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80" w:type="dxa"/>
        <w:tblLook w:val="04A0" w:firstRow="1" w:lastRow="0" w:firstColumn="1" w:lastColumn="0" w:noHBand="0" w:noVBand="1"/>
      </w:tblPr>
      <w:tblGrid>
        <w:gridCol w:w="3227"/>
        <w:gridCol w:w="5953"/>
      </w:tblGrid>
      <w:tr w:rsidR="00F0521B" w:rsidRPr="00A919B1" w14:paraId="1C03D734" w14:textId="77777777" w:rsidTr="00EC662F">
        <w:tc>
          <w:tcPr>
            <w:tcW w:w="3227" w:type="dxa"/>
          </w:tcPr>
          <w:p w14:paraId="4B5A66BE"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66245CAA"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75F13175" w14:textId="77777777" w:rsidTr="00EC662F">
        <w:tc>
          <w:tcPr>
            <w:tcW w:w="3227" w:type="dxa"/>
          </w:tcPr>
          <w:p w14:paraId="5A639984"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3A053C90" w14:textId="7491BD9E" w:rsidR="00717531" w:rsidRPr="000C33EB" w:rsidRDefault="00D50A72" w:rsidP="00CA2013">
            <w:pPr>
              <w:spacing w:before="60" w:after="60" w:line="276" w:lineRule="auto"/>
              <w:jc w:val="both"/>
              <w:rPr>
                <w:rFonts w:ascii="Arial" w:hAnsi="Arial" w:cs="Arial"/>
                <w:sz w:val="20"/>
              </w:rPr>
            </w:pPr>
            <w:r w:rsidRPr="00D50A72">
              <w:rPr>
                <w:rFonts w:ascii="Arial" w:hAnsi="Arial" w:cs="Arial"/>
                <w:sz w:val="20"/>
              </w:rPr>
              <w:t xml:space="preserve">Meter Data Management System (MDMS) </w:t>
            </w:r>
          </w:p>
        </w:tc>
      </w:tr>
      <w:tr w:rsidR="00EB6A30" w:rsidRPr="00A919B1" w14:paraId="5CE83E95" w14:textId="77777777" w:rsidTr="00EC662F">
        <w:tc>
          <w:tcPr>
            <w:tcW w:w="3227" w:type="dxa"/>
          </w:tcPr>
          <w:p w14:paraId="41034AD8"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365B0554" w14:textId="3348B718" w:rsidR="00EB6A30" w:rsidRPr="00F0521B" w:rsidRDefault="00CA2013" w:rsidP="00FA31B2">
            <w:pPr>
              <w:spacing w:before="60" w:after="60" w:line="276" w:lineRule="auto"/>
              <w:jc w:val="both"/>
              <w:rPr>
                <w:rFonts w:ascii="Arial" w:hAnsi="Arial" w:cs="Arial"/>
                <w:sz w:val="20"/>
              </w:rPr>
            </w:pPr>
            <w:r w:rsidRPr="00D50A72">
              <w:rPr>
                <w:rFonts w:ascii="Arial" w:hAnsi="Arial" w:cs="Arial"/>
                <w:sz w:val="20"/>
              </w:rPr>
              <w:t>Project</w:t>
            </w:r>
            <w:r>
              <w:rPr>
                <w:rFonts w:ascii="Arial" w:hAnsi="Arial" w:cs="Arial"/>
                <w:sz w:val="20"/>
              </w:rPr>
              <w:t xml:space="preserve">. </w:t>
            </w:r>
            <w:r w:rsidRPr="00CA2013">
              <w:rPr>
                <w:rFonts w:ascii="Arial" w:hAnsi="Arial" w:cs="Arial"/>
                <w:sz w:val="20"/>
              </w:rPr>
              <w:t xml:space="preserve">Implementation: 2 years from contract start. Support and Maintenance: </w:t>
            </w:r>
            <w:r w:rsidR="00907C78">
              <w:rPr>
                <w:rFonts w:ascii="Arial" w:hAnsi="Arial" w:cs="Arial"/>
                <w:sz w:val="20"/>
              </w:rPr>
              <w:t>8</w:t>
            </w:r>
            <w:r w:rsidRPr="00CA2013">
              <w:rPr>
                <w:rFonts w:ascii="Arial" w:hAnsi="Arial" w:cs="Arial"/>
                <w:sz w:val="20"/>
              </w:rPr>
              <w:t xml:space="preserve"> years</w:t>
            </w:r>
            <w:r>
              <w:rPr>
                <w:rFonts w:ascii="Arial" w:hAnsi="Arial" w:cs="Arial"/>
                <w:sz w:val="20"/>
              </w:rPr>
              <w:t xml:space="preserve"> </w:t>
            </w:r>
            <w:r w:rsidRPr="00CA2013">
              <w:rPr>
                <w:rFonts w:ascii="Arial" w:hAnsi="Arial" w:cs="Arial"/>
                <w:sz w:val="20"/>
              </w:rPr>
              <w:t>contract. Total contract period of (</w:t>
            </w:r>
            <w:r w:rsidR="00495274">
              <w:rPr>
                <w:rFonts w:ascii="Arial" w:hAnsi="Arial" w:cs="Arial"/>
                <w:sz w:val="20"/>
              </w:rPr>
              <w:t>10</w:t>
            </w:r>
            <w:r w:rsidRPr="00CA2013">
              <w:rPr>
                <w:rFonts w:ascii="Arial" w:hAnsi="Arial" w:cs="Arial"/>
                <w:sz w:val="20"/>
              </w:rPr>
              <w:t>)</w:t>
            </w:r>
            <w:r w:rsidR="00495274">
              <w:rPr>
                <w:rFonts w:ascii="Arial" w:hAnsi="Arial" w:cs="Arial"/>
                <w:sz w:val="20"/>
              </w:rPr>
              <w:t xml:space="preserve"> t</w:t>
            </w:r>
            <w:r w:rsidRPr="00CA2013">
              <w:rPr>
                <w:rFonts w:ascii="Arial" w:hAnsi="Arial" w:cs="Arial"/>
                <w:sz w:val="20"/>
              </w:rPr>
              <w:t>en years.</w:t>
            </w:r>
          </w:p>
        </w:tc>
      </w:tr>
      <w:tr w:rsidR="00304117" w:rsidRPr="00A919B1" w14:paraId="21E2946B" w14:textId="77777777" w:rsidTr="00EC662F">
        <w:tc>
          <w:tcPr>
            <w:tcW w:w="3227" w:type="dxa"/>
          </w:tcPr>
          <w:p w14:paraId="57DE2656"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00719EB7" w14:textId="4E95AB3F" w:rsidR="00304117" w:rsidRPr="00CF781D" w:rsidRDefault="00D50A72" w:rsidP="00F0521B">
            <w:pPr>
              <w:spacing w:before="60" w:after="60" w:line="276" w:lineRule="auto"/>
              <w:jc w:val="both"/>
              <w:rPr>
                <w:rFonts w:ascii="Arial" w:hAnsi="Arial" w:cs="Arial"/>
                <w:sz w:val="20"/>
              </w:rPr>
            </w:pPr>
            <w:r>
              <w:rPr>
                <w:rFonts w:ascii="Arial" w:hAnsi="Arial" w:cs="Arial"/>
                <w:sz w:val="20"/>
              </w:rPr>
              <w:t>Joosty Skhosana</w:t>
            </w:r>
          </w:p>
        </w:tc>
      </w:tr>
    </w:tbl>
    <w:p w14:paraId="0C64A0B8" w14:textId="77777777" w:rsidR="00EB6A30" w:rsidRPr="00EB6A30" w:rsidRDefault="00EB6A30" w:rsidP="00EB6A30">
      <w:pPr>
        <w:spacing w:line="276" w:lineRule="auto"/>
        <w:rPr>
          <w:rFonts w:ascii="Arial" w:hAnsi="Arial" w:cs="Arial"/>
        </w:rPr>
      </w:pPr>
    </w:p>
    <w:p w14:paraId="430184A9" w14:textId="564D0EBD" w:rsidR="00D50A72" w:rsidRPr="003D66FA" w:rsidRDefault="00304117" w:rsidP="00D50A72">
      <w:pPr>
        <w:spacing w:before="120" w:after="120" w:line="276" w:lineRule="auto"/>
        <w:rPr>
          <w:rFonts w:ascii="Arial" w:hAnsi="Arial" w:cs="Arial"/>
          <w:b/>
        </w:rPr>
      </w:pPr>
      <w:r w:rsidRPr="003D66FA">
        <w:rPr>
          <w:rFonts w:ascii="Arial" w:hAnsi="Arial" w:cs="Arial"/>
          <w:b/>
        </w:rPr>
        <w:t>Section 1</w:t>
      </w:r>
      <w:r w:rsidR="00D50A72" w:rsidRPr="00D50A72">
        <w:rPr>
          <w:rFonts w:ascii="Arial" w:hAnsi="Arial" w:cs="Arial"/>
          <w:b/>
        </w:rPr>
        <w:t xml:space="preserve"> </w:t>
      </w:r>
      <w:r w:rsidR="00D50A72" w:rsidRPr="003D66FA">
        <w:rPr>
          <w:rFonts w:ascii="Arial" w:hAnsi="Arial" w:cs="Arial"/>
          <w:b/>
        </w:rPr>
        <w:t>Criteria for Preferential Procurement</w:t>
      </w:r>
      <w:r w:rsidR="00D50A72">
        <w:rPr>
          <w:rFonts w:ascii="Arial" w:hAnsi="Arial" w:cs="Arial"/>
          <w:b/>
        </w:rPr>
        <w:t xml:space="preserve"> (N/A)</w:t>
      </w:r>
    </w:p>
    <w:tbl>
      <w:tblPr>
        <w:tblStyle w:val="TableGrid"/>
        <w:tblW w:w="0" w:type="auto"/>
        <w:tblLook w:val="04A0" w:firstRow="1" w:lastRow="0" w:firstColumn="1" w:lastColumn="0" w:noHBand="0" w:noVBand="1"/>
      </w:tblPr>
      <w:tblGrid>
        <w:gridCol w:w="9016"/>
      </w:tblGrid>
      <w:tr w:rsidR="00304117" w:rsidRPr="00A919B1" w14:paraId="3DC41B27" w14:textId="77777777" w:rsidTr="00304117">
        <w:tc>
          <w:tcPr>
            <w:tcW w:w="9016" w:type="dxa"/>
            <w:shd w:val="clear" w:color="auto" w:fill="000000" w:themeFill="text1"/>
          </w:tcPr>
          <w:p w14:paraId="5B71F4AB" w14:textId="35DB1E2D" w:rsidR="00304117" w:rsidRPr="00A919B1" w:rsidRDefault="00D50A72" w:rsidP="00304117">
            <w:pPr>
              <w:spacing w:before="60" w:after="60" w:line="276" w:lineRule="auto"/>
              <w:rPr>
                <w:rFonts w:ascii="Arial" w:hAnsi="Arial" w:cs="Arial"/>
                <w:sz w:val="22"/>
              </w:rPr>
            </w:pPr>
            <w:r w:rsidRPr="002F3FBB">
              <w:rPr>
                <w:rFonts w:ascii="Arial" w:hAnsi="Arial" w:cs="Arial"/>
                <w:sz w:val="20"/>
              </w:rPr>
              <w:t>SDL&amp;I will apply the following criteria</w:t>
            </w:r>
          </w:p>
        </w:tc>
      </w:tr>
      <w:tr w:rsidR="00304117" w:rsidRPr="00D754CB" w14:paraId="45633DD6" w14:textId="77777777" w:rsidTr="00115ECC">
        <w:trPr>
          <w:trHeight w:val="298"/>
        </w:trPr>
        <w:tc>
          <w:tcPr>
            <w:tcW w:w="9016" w:type="dxa"/>
          </w:tcPr>
          <w:p w14:paraId="27526CDA"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6D52112" w14:textId="77777777" w:rsidTr="00304117">
              <w:tc>
                <w:tcPr>
                  <w:tcW w:w="5680" w:type="dxa"/>
                  <w:tcBorders>
                    <w:right w:val="single" w:sz="4" w:space="0" w:color="auto"/>
                  </w:tcBorders>
                </w:tcPr>
                <w:p w14:paraId="2026BE30"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95B0CDC"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5090A19"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43DC1F11" w14:textId="77777777" w:rsidTr="00304117">
              <w:tc>
                <w:tcPr>
                  <w:tcW w:w="5680" w:type="dxa"/>
                  <w:tcBorders>
                    <w:right w:val="single" w:sz="4" w:space="0" w:color="auto"/>
                  </w:tcBorders>
                </w:tcPr>
                <w:p w14:paraId="79628E05"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4EF57E4" w14:textId="77777777" w:rsidR="00304117" w:rsidRPr="00EB6A30" w:rsidRDefault="006B3FA2"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D0BAC40" w14:textId="77777777" w:rsidR="00304117" w:rsidRPr="00EB6A30" w:rsidRDefault="006B3FA2" w:rsidP="00304117">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6D09A039" w14:textId="77777777" w:rsidTr="00304117">
              <w:tc>
                <w:tcPr>
                  <w:tcW w:w="5680" w:type="dxa"/>
                  <w:tcBorders>
                    <w:right w:val="single" w:sz="4" w:space="0" w:color="auto"/>
                  </w:tcBorders>
                </w:tcPr>
                <w:p w14:paraId="6EA0A6EA" w14:textId="77777777"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243053C0" w14:textId="77777777" w:rsidR="00845A4B" w:rsidRPr="00845A4B" w:rsidRDefault="006B3FA2" w:rsidP="001B42A9">
                  <w:pPr>
                    <w:spacing w:before="60" w:after="60"/>
                    <w:jc w:val="center"/>
                    <w:rPr>
                      <w:rFonts w:ascii="Arial" w:hAnsi="Arial" w:cs="Arial"/>
                      <w:b/>
                      <w:sz w:val="20"/>
                    </w:rPr>
                  </w:pPr>
                  <w:r w:rsidRPr="00845A4B">
                    <w:rPr>
                      <w:rFonts w:ascii="Arial" w:hAnsi="Arial" w:cs="Arial"/>
                      <w:b/>
                      <w:sz w:val="20"/>
                    </w:rPr>
                    <w:t>Not applicable</w:t>
                  </w:r>
                </w:p>
              </w:tc>
            </w:tr>
          </w:tbl>
          <w:p w14:paraId="2554A2BE"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08F4831C" w14:textId="77777777" w:rsidTr="00304117">
              <w:tc>
                <w:tcPr>
                  <w:tcW w:w="5680" w:type="dxa"/>
                  <w:tcBorders>
                    <w:right w:val="single" w:sz="4" w:space="0" w:color="auto"/>
                  </w:tcBorders>
                </w:tcPr>
                <w:p w14:paraId="3AF42C90"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5E6C79"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57447D4"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31115AD8" w14:textId="77777777" w:rsidTr="00304117">
              <w:tc>
                <w:tcPr>
                  <w:tcW w:w="5680" w:type="dxa"/>
                  <w:tcBorders>
                    <w:right w:val="single" w:sz="4" w:space="0" w:color="auto"/>
                  </w:tcBorders>
                </w:tcPr>
                <w:p w14:paraId="27567CA6"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3BF8BDFA"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09CF936" w14:textId="77777777"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52CA1475" w14:textId="77777777" w:rsidTr="00304117">
              <w:tc>
                <w:tcPr>
                  <w:tcW w:w="5680" w:type="dxa"/>
                  <w:tcBorders>
                    <w:right w:val="single" w:sz="4" w:space="0" w:color="auto"/>
                  </w:tcBorders>
                </w:tcPr>
                <w:p w14:paraId="01D6DC3A"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2ACB42B0" w14:textId="77777777"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14:paraId="2D7FB807" w14:textId="77777777" w:rsidR="00304117" w:rsidRPr="00EB6A30" w:rsidRDefault="00304117" w:rsidP="00304117">
            <w:pPr>
              <w:rPr>
                <w:rFonts w:ascii="Arial" w:hAnsi="Arial" w:cs="Arial"/>
                <w:sz w:val="20"/>
              </w:rPr>
            </w:pPr>
          </w:p>
          <w:p w14:paraId="17C3B11F"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496EBE2A"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14:paraId="38822B2C"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74BF0F9F"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14:paraId="60C74264"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574AEB71"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70372437"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6665CCA5" w14:textId="77777777" w:rsidTr="00304117">
              <w:tc>
                <w:tcPr>
                  <w:tcW w:w="5680" w:type="dxa"/>
                  <w:tcBorders>
                    <w:right w:val="single" w:sz="4" w:space="0" w:color="auto"/>
                  </w:tcBorders>
                </w:tcPr>
                <w:p w14:paraId="0E754DD7"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537EE52"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DBEA8FE"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55F3FEE0" w14:textId="77777777" w:rsidTr="00304117">
              <w:tc>
                <w:tcPr>
                  <w:tcW w:w="5680" w:type="dxa"/>
                  <w:tcBorders>
                    <w:right w:val="single" w:sz="4" w:space="0" w:color="auto"/>
                  </w:tcBorders>
                </w:tcPr>
                <w:p w14:paraId="6A68D4DE"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2BB3D50" w14:textId="77777777" w:rsidR="00304117" w:rsidRPr="00EB6A30" w:rsidRDefault="00845A4B"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742BF8C8" w14:textId="77777777" w:rsidR="00304117" w:rsidRPr="00EB6A30" w:rsidRDefault="00845A4B" w:rsidP="00304117">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D2CA920" w14:textId="77777777" w:rsidTr="00304117">
              <w:tc>
                <w:tcPr>
                  <w:tcW w:w="5680" w:type="dxa"/>
                  <w:tcBorders>
                    <w:right w:val="single" w:sz="4" w:space="0" w:color="auto"/>
                  </w:tcBorders>
                </w:tcPr>
                <w:p w14:paraId="0C85B8B6" w14:textId="77777777" w:rsidR="00845A4B" w:rsidRPr="00EB6A30" w:rsidRDefault="00845A4B"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010BCFB9"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bl>
          <w:p w14:paraId="7560FDF3" w14:textId="77777777" w:rsidR="00304117" w:rsidRPr="00EB6A30" w:rsidRDefault="00304117" w:rsidP="00304117">
            <w:pPr>
              <w:rPr>
                <w:rFonts w:ascii="Arial" w:hAnsi="Arial" w:cs="Arial"/>
                <w:sz w:val="20"/>
              </w:rPr>
            </w:pPr>
          </w:p>
          <w:p w14:paraId="24FB49F7"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575157C7"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Proof of a sub-contract agreement/s must be submitted.</w:t>
            </w:r>
          </w:p>
          <w:p w14:paraId="66A15F55"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Sub-contractor/s B-BBEE certificate / sworn affidavit must be submitted.</w:t>
            </w:r>
          </w:p>
          <w:p w14:paraId="57D32B4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Sub-contracting agreements can only be concluded with one of the following entities;</w:t>
            </w:r>
          </w:p>
          <w:p w14:paraId="5B2F1B41"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393560C2"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4FCDCBA4"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250A3243"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13370C75"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41E5AF5C"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23852182"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0B480AC5"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65D1DABE"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407" w:type="dxa"/>
        <w:tblLook w:val="04A0" w:firstRow="1" w:lastRow="0" w:firstColumn="1" w:lastColumn="0" w:noHBand="0" w:noVBand="1"/>
      </w:tblPr>
      <w:tblGrid>
        <w:gridCol w:w="9407"/>
      </w:tblGrid>
      <w:tr w:rsidR="00304117" w:rsidRPr="00726078" w14:paraId="216BFFF3" w14:textId="77777777" w:rsidTr="00074C17">
        <w:trPr>
          <w:trHeight w:val="447"/>
        </w:trPr>
        <w:tc>
          <w:tcPr>
            <w:tcW w:w="9407" w:type="dxa"/>
            <w:shd w:val="clear" w:color="auto" w:fill="000000" w:themeFill="text1"/>
          </w:tcPr>
          <w:p w14:paraId="3EC18730"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1F191021" w14:textId="77777777" w:rsidTr="00B35AA2">
        <w:trPr>
          <w:trHeight w:val="1999"/>
        </w:trPr>
        <w:tc>
          <w:tcPr>
            <w:tcW w:w="9407" w:type="dxa"/>
          </w:tcPr>
          <w:p w14:paraId="4746DA01" w14:textId="77777777" w:rsidR="00637900" w:rsidRPr="00EB6A30" w:rsidRDefault="0063790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9A77EC" w:rsidRPr="00EB6A30" w14:paraId="1300D69E" w14:textId="77777777" w:rsidTr="00074C17">
              <w:trPr>
                <w:gridAfter w:val="1"/>
                <w:wAfter w:w="1035" w:type="dxa"/>
                <w:trHeight w:val="365"/>
              </w:trPr>
              <w:tc>
                <w:tcPr>
                  <w:tcW w:w="5522" w:type="dxa"/>
                  <w:gridSpan w:val="2"/>
                  <w:tcBorders>
                    <w:right w:val="single" w:sz="4" w:space="0" w:color="auto"/>
                  </w:tcBorders>
                </w:tcPr>
                <w:p w14:paraId="04263235" w14:textId="77777777" w:rsidR="009A77EC" w:rsidRPr="00EB6A30" w:rsidRDefault="009A77EC" w:rsidP="0063790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860C690"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3AE5BB4"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689057AB" w14:textId="77777777" w:rsidTr="00074C17">
              <w:trPr>
                <w:gridAfter w:val="1"/>
                <w:wAfter w:w="1035" w:type="dxa"/>
                <w:trHeight w:val="491"/>
              </w:trPr>
              <w:tc>
                <w:tcPr>
                  <w:tcW w:w="5522" w:type="dxa"/>
                  <w:gridSpan w:val="2"/>
                  <w:tcBorders>
                    <w:right w:val="single" w:sz="4" w:space="0" w:color="auto"/>
                  </w:tcBorders>
                </w:tcPr>
                <w:p w14:paraId="22363727"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14EE9F26"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215C2F53"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53D5D485" w14:textId="77777777" w:rsidTr="003D66FA">
              <w:trPr>
                <w:gridAfter w:val="1"/>
                <w:wAfter w:w="1035" w:type="dxa"/>
                <w:trHeight w:val="969"/>
              </w:trPr>
              <w:tc>
                <w:tcPr>
                  <w:tcW w:w="5522" w:type="dxa"/>
                  <w:gridSpan w:val="2"/>
                </w:tcPr>
                <w:p w14:paraId="04803722" w14:textId="77777777" w:rsidR="00637900" w:rsidRPr="00EB6A30" w:rsidRDefault="00637900" w:rsidP="00637900">
                  <w:pPr>
                    <w:rPr>
                      <w:rFonts w:ascii="Arial" w:hAnsi="Arial" w:cs="Arial"/>
                      <w:sz w:val="20"/>
                    </w:rPr>
                  </w:pPr>
                </w:p>
                <w:p w14:paraId="45CFB811" w14:textId="77777777" w:rsidR="003D66FA" w:rsidRPr="00EB6A30" w:rsidRDefault="003D66FA" w:rsidP="002855B7">
                  <w:pPr>
                    <w:ind w:right="-3795"/>
                    <w:rPr>
                      <w:rFonts w:ascii="Arial" w:hAnsi="Arial" w:cs="Arial"/>
                      <w:sz w:val="20"/>
                    </w:rPr>
                  </w:pPr>
                </w:p>
                <w:p w14:paraId="4CD53E2A" w14:textId="77777777" w:rsidR="002855B7"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p w14:paraId="2BBEB0DE" w14:textId="77777777" w:rsidR="00845A4B" w:rsidRPr="00EB6A30" w:rsidRDefault="00845A4B" w:rsidP="003D66FA">
                  <w:pPr>
                    <w:ind w:right="-3795"/>
                    <w:rPr>
                      <w:rFonts w:ascii="Arial" w:hAnsi="Arial" w:cs="Arial"/>
                      <w:sz w:val="20"/>
                    </w:rPr>
                  </w:pPr>
                </w:p>
              </w:tc>
              <w:tc>
                <w:tcPr>
                  <w:tcW w:w="2619" w:type="dxa"/>
                  <w:gridSpan w:val="3"/>
                  <w:tcBorders>
                    <w:top w:val="single" w:sz="4" w:space="0" w:color="auto"/>
                  </w:tcBorders>
                </w:tcPr>
                <w:p w14:paraId="4D9405CC" w14:textId="77777777" w:rsidR="009A77EC" w:rsidRPr="00EB6A30" w:rsidRDefault="009A77EC" w:rsidP="002855B7">
                  <w:pPr>
                    <w:spacing w:before="60" w:after="60"/>
                    <w:ind w:left="1583"/>
                    <w:jc w:val="center"/>
                    <w:rPr>
                      <w:rFonts w:ascii="Arial" w:hAnsi="Arial" w:cs="Arial"/>
                      <w:b/>
                      <w:sz w:val="20"/>
                    </w:rPr>
                  </w:pPr>
                </w:p>
                <w:p w14:paraId="42AF3215" w14:textId="77777777" w:rsidR="001D3F40" w:rsidRPr="00EB6A30" w:rsidRDefault="001D3F40" w:rsidP="002855B7">
                  <w:pPr>
                    <w:spacing w:before="60" w:after="60"/>
                    <w:ind w:left="1583"/>
                    <w:jc w:val="center"/>
                    <w:rPr>
                      <w:rFonts w:ascii="Arial" w:hAnsi="Arial" w:cs="Arial"/>
                      <w:b/>
                      <w:sz w:val="20"/>
                    </w:rPr>
                  </w:pPr>
                </w:p>
                <w:p w14:paraId="56213AB3" w14:textId="77777777" w:rsidR="001D3F40" w:rsidRPr="00EB6A30" w:rsidRDefault="001D3F40" w:rsidP="002855B7">
                  <w:pPr>
                    <w:spacing w:before="60" w:after="60"/>
                    <w:ind w:left="1583"/>
                    <w:jc w:val="center"/>
                    <w:rPr>
                      <w:rFonts w:ascii="Arial" w:hAnsi="Arial" w:cs="Arial"/>
                      <w:b/>
                      <w:sz w:val="20"/>
                    </w:rPr>
                  </w:pPr>
                </w:p>
              </w:tc>
            </w:tr>
            <w:tr w:rsidR="00304117" w:rsidRPr="00EB6A30" w14:paraId="27F39595" w14:textId="77777777"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D46D6F2"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31B0D995"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6897F089"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3E90899D" w14:textId="77777777" w:rsidTr="00347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46BE387D"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57" w:type="dxa"/>
                  <w:gridSpan w:val="2"/>
                </w:tcPr>
                <w:p w14:paraId="0A89F891"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62" w:type="dxa"/>
                  <w:gridSpan w:val="3"/>
                </w:tcPr>
                <w:p w14:paraId="6A118E64"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49FC2C78" w14:textId="77777777" w:rsidR="00F3247D" w:rsidRDefault="00F3247D" w:rsidP="00845A4B">
            <w:pPr>
              <w:spacing w:before="60" w:after="60" w:line="276" w:lineRule="auto"/>
              <w:rPr>
                <w:rFonts w:ascii="Arial" w:hAnsi="Arial" w:cs="Arial"/>
                <w:b/>
                <w:sz w:val="20"/>
              </w:rPr>
            </w:pPr>
          </w:p>
          <w:p w14:paraId="6A42C8AA"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returnable</w:t>
            </w:r>
            <w:r w:rsidR="00845A4B">
              <w:rPr>
                <w:rFonts w:ascii="Arial" w:hAnsi="Arial" w:cs="Arial"/>
                <w:sz w:val="20"/>
              </w:rPr>
              <w:t>s</w:t>
            </w:r>
            <w:r w:rsidR="005C2E51">
              <w:rPr>
                <w:rFonts w:ascii="Arial" w:hAnsi="Arial" w:cs="Arial"/>
                <w:sz w:val="20"/>
              </w:rPr>
              <w:t xml:space="preserve"> if applicable</w:t>
            </w:r>
            <w:r w:rsidR="00304117" w:rsidRPr="00EB6A30">
              <w:rPr>
                <w:rFonts w:ascii="Arial" w:hAnsi="Arial" w:cs="Arial"/>
                <w:sz w:val="20"/>
              </w:rPr>
              <w:t>.</w:t>
            </w:r>
          </w:p>
        </w:tc>
      </w:tr>
    </w:tbl>
    <w:p w14:paraId="1F8C8AD2" w14:textId="77777777" w:rsidR="001D3F40" w:rsidRDefault="001D3F40" w:rsidP="00304117">
      <w:pPr>
        <w:spacing w:before="240" w:after="120" w:line="276" w:lineRule="auto"/>
        <w:rPr>
          <w:rFonts w:ascii="Arial" w:hAnsi="Arial" w:cs="Arial"/>
          <w:b/>
          <w:sz w:val="22"/>
        </w:rPr>
      </w:pPr>
    </w:p>
    <w:p w14:paraId="6DB6630B"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40BAC8DD" w14:textId="77777777" w:rsidTr="00304117">
        <w:tc>
          <w:tcPr>
            <w:tcW w:w="9016" w:type="dxa"/>
            <w:shd w:val="clear" w:color="auto" w:fill="000000" w:themeFill="text1"/>
          </w:tcPr>
          <w:p w14:paraId="09028526"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044A2674" w14:textId="77777777" w:rsidTr="00304117">
        <w:tc>
          <w:tcPr>
            <w:tcW w:w="9016" w:type="dxa"/>
          </w:tcPr>
          <w:p w14:paraId="58B899C1" w14:textId="77777777" w:rsidR="009A77EC" w:rsidRPr="00EB6A30" w:rsidRDefault="009A77EC">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9A77EC" w:rsidRPr="00EB6A30" w14:paraId="38146676" w14:textId="77777777" w:rsidTr="00737B23">
              <w:tc>
                <w:tcPr>
                  <w:tcW w:w="5680" w:type="dxa"/>
                  <w:tcBorders>
                    <w:right w:val="single" w:sz="4" w:space="0" w:color="auto"/>
                  </w:tcBorders>
                </w:tcPr>
                <w:p w14:paraId="3CEF684A" w14:textId="77777777" w:rsidR="009A77EC" w:rsidRPr="00EB6A30" w:rsidRDefault="009A77EC" w:rsidP="00C95EC4">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780BD4B"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0EABAFE"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758A42BC" w14:textId="77777777" w:rsidTr="00737B23">
              <w:tc>
                <w:tcPr>
                  <w:tcW w:w="5680" w:type="dxa"/>
                  <w:tcBorders>
                    <w:right w:val="single" w:sz="4" w:space="0" w:color="auto"/>
                  </w:tcBorders>
                </w:tcPr>
                <w:p w14:paraId="01AB7B96"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AB0DE3E"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E4AC591"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13D4642" w14:textId="77777777" w:rsidTr="00737B23">
              <w:tc>
                <w:tcPr>
                  <w:tcW w:w="5680" w:type="dxa"/>
                  <w:tcBorders>
                    <w:right w:val="single" w:sz="4" w:space="0" w:color="auto"/>
                  </w:tcBorders>
                </w:tcPr>
                <w:p w14:paraId="542F1830"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DBFC6E0"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13FCAE61" w14:textId="77777777" w:rsidTr="00737B23">
              <w:tc>
                <w:tcPr>
                  <w:tcW w:w="5680" w:type="dxa"/>
                </w:tcPr>
                <w:p w14:paraId="16BD2560" w14:textId="77777777" w:rsidR="009A77EC" w:rsidRPr="00EB6A30" w:rsidRDefault="009A77EC" w:rsidP="00737B23">
                  <w:pPr>
                    <w:ind w:left="426"/>
                    <w:jc w:val="center"/>
                    <w:rPr>
                      <w:rFonts w:ascii="Arial" w:hAnsi="Arial" w:cs="Arial"/>
                      <w:sz w:val="20"/>
                    </w:rPr>
                  </w:pPr>
                </w:p>
              </w:tc>
              <w:tc>
                <w:tcPr>
                  <w:tcW w:w="2694" w:type="dxa"/>
                  <w:gridSpan w:val="2"/>
                  <w:tcBorders>
                    <w:top w:val="single" w:sz="4" w:space="0" w:color="auto"/>
                  </w:tcBorders>
                </w:tcPr>
                <w:p w14:paraId="714F8DB8" w14:textId="77777777" w:rsidR="009A77EC" w:rsidRPr="00EB6A30" w:rsidRDefault="009A77EC" w:rsidP="00737B23">
                  <w:pPr>
                    <w:spacing w:before="60" w:after="60"/>
                    <w:jc w:val="center"/>
                    <w:rPr>
                      <w:rFonts w:ascii="Arial" w:hAnsi="Arial" w:cs="Arial"/>
                      <w:b/>
                      <w:sz w:val="20"/>
                    </w:rPr>
                  </w:pPr>
                </w:p>
              </w:tc>
            </w:tr>
          </w:tbl>
          <w:p w14:paraId="5FBA6D51"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304117" w:rsidRPr="00EB6A30" w14:paraId="48D70488" w14:textId="77777777" w:rsidTr="00304117">
              <w:tc>
                <w:tcPr>
                  <w:tcW w:w="2930" w:type="dxa"/>
                  <w:shd w:val="clear" w:color="auto" w:fill="D9D9D9" w:themeFill="background1" w:themeFillShade="D9"/>
                </w:tcPr>
                <w:p w14:paraId="0E00B178"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BA4F16E"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11CEE294"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23988FF1" w14:textId="77777777" w:rsidTr="00304117">
              <w:tc>
                <w:tcPr>
                  <w:tcW w:w="2930" w:type="dxa"/>
                </w:tcPr>
                <w:p w14:paraId="7BD5BB28"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5179E0FF"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30" w:type="dxa"/>
                </w:tcPr>
                <w:p w14:paraId="4BB96D07" w14:textId="77777777" w:rsidR="00304117" w:rsidRPr="00EB6A30" w:rsidRDefault="00304117" w:rsidP="00304117">
                  <w:pPr>
                    <w:spacing w:before="60" w:after="60"/>
                    <w:rPr>
                      <w:rFonts w:ascii="Arial" w:hAnsi="Arial" w:cs="Arial"/>
                      <w:sz w:val="20"/>
                    </w:rPr>
                  </w:pPr>
                </w:p>
              </w:tc>
            </w:tr>
            <w:tr w:rsidR="00304117" w:rsidRPr="00EB6A30" w14:paraId="112EA842" w14:textId="77777777" w:rsidTr="00304117">
              <w:tc>
                <w:tcPr>
                  <w:tcW w:w="2930" w:type="dxa"/>
                </w:tcPr>
                <w:p w14:paraId="2ED6E7B2"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30" w:type="dxa"/>
                </w:tcPr>
                <w:p w14:paraId="058354A9"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30" w:type="dxa"/>
                </w:tcPr>
                <w:p w14:paraId="1A538554" w14:textId="77777777" w:rsidR="00304117" w:rsidRPr="00EB6A30" w:rsidRDefault="00304117" w:rsidP="00304117">
                  <w:pPr>
                    <w:spacing w:before="60" w:after="60"/>
                    <w:rPr>
                      <w:rFonts w:ascii="Arial" w:hAnsi="Arial" w:cs="Arial"/>
                      <w:sz w:val="20"/>
                    </w:rPr>
                  </w:pPr>
                </w:p>
              </w:tc>
            </w:tr>
          </w:tbl>
          <w:p w14:paraId="45F99D0E" w14:textId="77777777" w:rsidR="00304117" w:rsidRPr="00EB6A30" w:rsidRDefault="00304117" w:rsidP="00304117">
            <w:pPr>
              <w:spacing w:before="60" w:after="60" w:line="276" w:lineRule="auto"/>
              <w:rPr>
                <w:rFonts w:ascii="Arial" w:hAnsi="Arial" w:cs="Arial"/>
                <w:sz w:val="20"/>
              </w:rPr>
            </w:pPr>
          </w:p>
          <w:p w14:paraId="140AFAF4"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2BB1F261" w14:textId="77777777" w:rsidR="003633CD" w:rsidRDefault="003633CD" w:rsidP="002319CA">
      <w:pPr>
        <w:spacing w:before="60" w:after="60" w:line="276" w:lineRule="auto"/>
        <w:rPr>
          <w:rFonts w:ascii="Arial" w:hAnsi="Arial" w:cs="Arial"/>
          <w:b/>
          <w:sz w:val="20"/>
        </w:rPr>
      </w:pPr>
    </w:p>
    <w:p w14:paraId="64AC3C97" w14:textId="0ED1542C" w:rsidR="003633CD" w:rsidRDefault="003633CD" w:rsidP="002319CA">
      <w:pPr>
        <w:spacing w:before="60" w:after="60" w:line="276" w:lineRule="auto"/>
        <w:rPr>
          <w:rFonts w:ascii="Arial" w:hAnsi="Arial" w:cs="Arial"/>
          <w:b/>
          <w:sz w:val="20"/>
        </w:rPr>
      </w:pPr>
    </w:p>
    <w:p w14:paraId="0F96E69E" w14:textId="2B19EB94" w:rsidR="003B3AF9" w:rsidRDefault="003B3AF9" w:rsidP="002319CA">
      <w:pPr>
        <w:spacing w:before="60" w:after="60" w:line="276" w:lineRule="auto"/>
        <w:rPr>
          <w:rFonts w:ascii="Arial" w:hAnsi="Arial" w:cs="Arial"/>
          <w:b/>
          <w:sz w:val="20"/>
        </w:rPr>
      </w:pPr>
    </w:p>
    <w:p w14:paraId="1C6F5EBD" w14:textId="7792478E" w:rsidR="003B3AF9" w:rsidRDefault="003B3AF9" w:rsidP="002319CA">
      <w:pPr>
        <w:spacing w:before="60" w:after="60" w:line="276" w:lineRule="auto"/>
        <w:rPr>
          <w:rFonts w:ascii="Arial" w:hAnsi="Arial" w:cs="Arial"/>
          <w:b/>
          <w:sz w:val="20"/>
        </w:rPr>
      </w:pPr>
    </w:p>
    <w:p w14:paraId="41D01D0E" w14:textId="67F76F56" w:rsidR="003B3AF9" w:rsidRDefault="003B3AF9" w:rsidP="002319CA">
      <w:pPr>
        <w:spacing w:before="60" w:after="60" w:line="276" w:lineRule="auto"/>
        <w:rPr>
          <w:rFonts w:ascii="Arial" w:hAnsi="Arial" w:cs="Arial"/>
          <w:b/>
          <w:sz w:val="20"/>
        </w:rPr>
      </w:pPr>
    </w:p>
    <w:p w14:paraId="1A771A80" w14:textId="66405553" w:rsidR="003B3AF9" w:rsidRDefault="003B3AF9" w:rsidP="002319CA">
      <w:pPr>
        <w:spacing w:before="60" w:after="60" w:line="276" w:lineRule="auto"/>
        <w:rPr>
          <w:rFonts w:ascii="Arial" w:hAnsi="Arial" w:cs="Arial"/>
          <w:b/>
          <w:sz w:val="20"/>
        </w:rPr>
      </w:pPr>
    </w:p>
    <w:p w14:paraId="4D162D2A" w14:textId="77777777" w:rsidR="003B3AF9" w:rsidRDefault="003B3AF9" w:rsidP="002319CA">
      <w:pPr>
        <w:spacing w:before="60" w:after="60" w:line="276" w:lineRule="auto"/>
        <w:rPr>
          <w:rFonts w:ascii="Arial" w:hAnsi="Arial" w:cs="Arial"/>
          <w:b/>
          <w:sz w:val="20"/>
        </w:rPr>
      </w:pPr>
    </w:p>
    <w:p w14:paraId="3E9D6664" w14:textId="77777777" w:rsidR="002319CA" w:rsidRPr="003B3AF9" w:rsidRDefault="002B02CB" w:rsidP="003B3AF9">
      <w:pPr>
        <w:spacing w:before="120" w:after="120" w:line="276" w:lineRule="auto"/>
        <w:rPr>
          <w:rFonts w:ascii="Arial" w:hAnsi="Arial" w:cs="Arial"/>
          <w:b/>
          <w:sz w:val="22"/>
        </w:rPr>
      </w:pPr>
      <w:r w:rsidRPr="003B3AF9">
        <w:rPr>
          <w:rFonts w:ascii="Arial" w:hAnsi="Arial" w:cs="Arial"/>
          <w:b/>
          <w:sz w:val="22"/>
        </w:rPr>
        <w:lastRenderedPageBreak/>
        <w:t xml:space="preserve">2.3 National Industrial Participation Program (NIPP) </w:t>
      </w:r>
    </w:p>
    <w:p w14:paraId="0BA97063" w14:textId="60319871" w:rsidR="002B02CB" w:rsidRPr="002B02CB" w:rsidRDefault="002B02CB" w:rsidP="003B3AF9">
      <w:pPr>
        <w:spacing w:after="200" w:line="360" w:lineRule="auto"/>
        <w:jc w:val="both"/>
        <w:rPr>
          <w:rFonts w:ascii="Arial" w:hAnsi="Arial" w:cs="Arial"/>
          <w:sz w:val="20"/>
          <w:szCs w:val="22"/>
        </w:rPr>
      </w:pPr>
      <w:r w:rsidRPr="002B02CB">
        <w:rPr>
          <w:rFonts w:ascii="Arial" w:hAnsi="Arial" w:cs="Arial"/>
          <w:sz w:val="20"/>
          <w:szCs w:val="22"/>
        </w:rPr>
        <w:t>NIPP is a program that seeks to leverage economic benefits and support the development of South African industry by effectively utilizing the instrument of government procurement. The NIPP program is mandatory on all government and parastatal purchases or lease contracts (goods and services) with an imported content equal to or exceeding US$5 million.</w:t>
      </w:r>
    </w:p>
    <w:p w14:paraId="7E4932D8" w14:textId="77777777" w:rsidR="002B02CB" w:rsidRPr="002B02CB" w:rsidRDefault="002B02CB" w:rsidP="003B3AF9">
      <w:pPr>
        <w:spacing w:after="200" w:line="360" w:lineRule="auto"/>
        <w:jc w:val="both"/>
        <w:rPr>
          <w:rFonts w:ascii="Arial" w:hAnsi="Arial" w:cs="Arial"/>
          <w:sz w:val="20"/>
          <w:szCs w:val="22"/>
        </w:rPr>
      </w:pPr>
      <w:r w:rsidRPr="002B02CB">
        <w:rPr>
          <w:rFonts w:ascii="Arial" w:hAnsi="Arial" w:cs="Arial"/>
          <w:sz w:val="20"/>
          <w:szCs w:val="22"/>
        </w:rPr>
        <w:t>The program is targeted at the South African and foreign industries, enterprises, and suppliers of goods and services to government / parastatals, where the imported content of such goods and services equals to or exceeds US$5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 &amp; D and technology transfer.</w:t>
      </w:r>
    </w:p>
    <w:p w14:paraId="5930811A" w14:textId="77777777" w:rsidR="002B02CB" w:rsidRPr="002B02CB" w:rsidRDefault="002B02CB" w:rsidP="003B3AF9">
      <w:pPr>
        <w:spacing w:after="200" w:line="360" w:lineRule="auto"/>
        <w:jc w:val="both"/>
        <w:rPr>
          <w:rFonts w:ascii="Arial" w:hAnsi="Arial" w:cs="Arial"/>
          <w:sz w:val="20"/>
          <w:szCs w:val="22"/>
        </w:rPr>
      </w:pPr>
      <w:r w:rsidRPr="002B02CB">
        <w:rPr>
          <w:rFonts w:ascii="Arial" w:hAnsi="Arial" w:cs="Arial"/>
          <w:sz w:val="20"/>
          <w:szCs w:val="22"/>
        </w:rPr>
        <w:t>Companies with a NIPP obligation are required to sign this obligation agreement with The Department of Trade, Industry and Competition (the DTIC) before the contract with Eskom Holdings SOC Ltd, as a purchasing entity, is signed.  The obligation agreement governs the relationship between the DTIC and supplier. It defines the NIPP obligation value/s, requirements to fulfil the NIPP obligation, performance milestones, performance monitoring processes and the NIPP credit allocation criteria</w:t>
      </w:r>
    </w:p>
    <w:p w14:paraId="34D5AD5E" w14:textId="525587A6" w:rsidR="002B02CB" w:rsidRPr="002B02CB" w:rsidRDefault="002B02CB" w:rsidP="003B3AF9">
      <w:pPr>
        <w:spacing w:before="60" w:after="60" w:line="360" w:lineRule="auto"/>
        <w:rPr>
          <w:rFonts w:ascii="Arial" w:hAnsi="Arial" w:cs="Arial"/>
          <w:b/>
          <w:sz w:val="18"/>
        </w:rPr>
      </w:pPr>
      <w:r w:rsidRPr="002B02CB">
        <w:rPr>
          <w:rFonts w:ascii="Arial" w:hAnsi="Arial" w:cs="Arial"/>
          <w:b/>
          <w:sz w:val="20"/>
          <w:szCs w:val="22"/>
        </w:rPr>
        <w:t>All tenders with an import content that is equal to or exceeds the threshold of US$5 million, compels the winning bidder to negotiate and enter into a NIPP obligation agreement with the DTIC before signing the contract with Eskom.</w:t>
      </w:r>
    </w:p>
    <w:p w14:paraId="0468D0B6" w14:textId="34E96F7C" w:rsidR="00F3247D" w:rsidRDefault="00F3247D" w:rsidP="00304117">
      <w:pPr>
        <w:spacing w:before="60" w:after="60" w:line="276" w:lineRule="auto"/>
        <w:rPr>
          <w:rFonts w:ascii="Arial" w:hAnsi="Arial" w:cs="Arial"/>
          <w:b/>
          <w:sz w:val="20"/>
        </w:rPr>
      </w:pPr>
    </w:p>
    <w:p w14:paraId="7A66B7EB" w14:textId="51AAA456" w:rsidR="00A83F43" w:rsidRDefault="00A83F43" w:rsidP="00304117">
      <w:pPr>
        <w:spacing w:before="60" w:after="60" w:line="276" w:lineRule="auto"/>
        <w:rPr>
          <w:rFonts w:ascii="Arial" w:hAnsi="Arial" w:cs="Arial"/>
          <w:b/>
          <w:sz w:val="20"/>
        </w:rPr>
      </w:pPr>
    </w:p>
    <w:p w14:paraId="1A6F5BB9" w14:textId="3D1E91F0" w:rsidR="00A83F43" w:rsidRDefault="00A83F43" w:rsidP="00304117">
      <w:pPr>
        <w:spacing w:before="60" w:after="60" w:line="276" w:lineRule="auto"/>
        <w:rPr>
          <w:rFonts w:ascii="Arial" w:hAnsi="Arial" w:cs="Arial"/>
          <w:b/>
          <w:sz w:val="20"/>
        </w:rPr>
      </w:pPr>
    </w:p>
    <w:p w14:paraId="58D173D6" w14:textId="7655B5CD" w:rsidR="00A83F43" w:rsidRDefault="00A83F43" w:rsidP="00304117">
      <w:pPr>
        <w:spacing w:before="60" w:after="60" w:line="276" w:lineRule="auto"/>
        <w:rPr>
          <w:rFonts w:ascii="Arial" w:hAnsi="Arial" w:cs="Arial"/>
          <w:b/>
          <w:sz w:val="20"/>
        </w:rPr>
      </w:pPr>
    </w:p>
    <w:p w14:paraId="512C6A3D" w14:textId="2FF48E3D" w:rsidR="00A83F43" w:rsidRDefault="00A83F43" w:rsidP="00304117">
      <w:pPr>
        <w:spacing w:before="60" w:after="60" w:line="276" w:lineRule="auto"/>
        <w:rPr>
          <w:rFonts w:ascii="Arial" w:hAnsi="Arial" w:cs="Arial"/>
          <w:b/>
          <w:sz w:val="20"/>
        </w:rPr>
      </w:pPr>
    </w:p>
    <w:p w14:paraId="54017919" w14:textId="578FA419" w:rsidR="00A83F43" w:rsidRDefault="00A83F43" w:rsidP="00304117">
      <w:pPr>
        <w:spacing w:before="60" w:after="60" w:line="276" w:lineRule="auto"/>
        <w:rPr>
          <w:rFonts w:ascii="Arial" w:hAnsi="Arial" w:cs="Arial"/>
          <w:b/>
          <w:sz w:val="20"/>
        </w:rPr>
      </w:pPr>
    </w:p>
    <w:p w14:paraId="3C974220" w14:textId="11D0A6CF" w:rsidR="00A83F43" w:rsidRDefault="00A83F43" w:rsidP="00304117">
      <w:pPr>
        <w:spacing w:before="60" w:after="60" w:line="276" w:lineRule="auto"/>
        <w:rPr>
          <w:rFonts w:ascii="Arial" w:hAnsi="Arial" w:cs="Arial"/>
          <w:b/>
          <w:sz w:val="20"/>
        </w:rPr>
      </w:pPr>
    </w:p>
    <w:p w14:paraId="0C9C1D3B" w14:textId="5C1A2597" w:rsidR="00A83F43" w:rsidRDefault="00A83F43" w:rsidP="00304117">
      <w:pPr>
        <w:spacing w:before="60" w:after="60" w:line="276" w:lineRule="auto"/>
        <w:rPr>
          <w:rFonts w:ascii="Arial" w:hAnsi="Arial" w:cs="Arial"/>
          <w:b/>
          <w:sz w:val="20"/>
        </w:rPr>
      </w:pPr>
    </w:p>
    <w:p w14:paraId="722104CB" w14:textId="77C1D202" w:rsidR="00A83F43" w:rsidRDefault="00A83F43" w:rsidP="00304117">
      <w:pPr>
        <w:spacing w:before="60" w:after="60" w:line="276" w:lineRule="auto"/>
        <w:rPr>
          <w:rFonts w:ascii="Arial" w:hAnsi="Arial" w:cs="Arial"/>
          <w:b/>
          <w:sz w:val="20"/>
        </w:rPr>
      </w:pPr>
    </w:p>
    <w:p w14:paraId="61A29714" w14:textId="358AB9F3" w:rsidR="00A83F43" w:rsidRDefault="00A83F43" w:rsidP="00304117">
      <w:pPr>
        <w:spacing w:before="60" w:after="60" w:line="276" w:lineRule="auto"/>
        <w:rPr>
          <w:rFonts w:ascii="Arial" w:hAnsi="Arial" w:cs="Arial"/>
          <w:b/>
          <w:sz w:val="20"/>
        </w:rPr>
      </w:pPr>
    </w:p>
    <w:p w14:paraId="260C7765" w14:textId="474D288B" w:rsidR="00A83F43" w:rsidRDefault="00A83F43" w:rsidP="00304117">
      <w:pPr>
        <w:spacing w:before="60" w:after="60" w:line="276" w:lineRule="auto"/>
        <w:rPr>
          <w:rFonts w:ascii="Arial" w:hAnsi="Arial" w:cs="Arial"/>
          <w:b/>
          <w:sz w:val="20"/>
        </w:rPr>
      </w:pPr>
    </w:p>
    <w:p w14:paraId="761947F1" w14:textId="42E9D486" w:rsidR="00A83F43" w:rsidRDefault="00A83F43" w:rsidP="00304117">
      <w:pPr>
        <w:spacing w:before="60" w:after="60" w:line="276" w:lineRule="auto"/>
        <w:rPr>
          <w:rFonts w:ascii="Arial" w:hAnsi="Arial" w:cs="Arial"/>
          <w:b/>
          <w:sz w:val="20"/>
        </w:rPr>
      </w:pPr>
    </w:p>
    <w:p w14:paraId="1F8AE8C8" w14:textId="2F10FACD" w:rsidR="00A83F43" w:rsidRDefault="00A83F43" w:rsidP="00304117">
      <w:pPr>
        <w:spacing w:before="60" w:after="60" w:line="276" w:lineRule="auto"/>
        <w:rPr>
          <w:rFonts w:ascii="Arial" w:hAnsi="Arial" w:cs="Arial"/>
          <w:b/>
          <w:sz w:val="20"/>
        </w:rPr>
      </w:pPr>
    </w:p>
    <w:p w14:paraId="39726284" w14:textId="743A25D6" w:rsidR="00A83F43" w:rsidRDefault="00A83F43" w:rsidP="00304117">
      <w:pPr>
        <w:spacing w:before="60" w:after="60" w:line="276" w:lineRule="auto"/>
        <w:rPr>
          <w:rFonts w:ascii="Arial" w:hAnsi="Arial" w:cs="Arial"/>
          <w:b/>
          <w:sz w:val="20"/>
        </w:rPr>
      </w:pPr>
    </w:p>
    <w:p w14:paraId="75CA724F" w14:textId="72902C5E" w:rsidR="00A83F43" w:rsidRDefault="00A83F43" w:rsidP="00304117">
      <w:pPr>
        <w:spacing w:before="60" w:after="60" w:line="276" w:lineRule="auto"/>
        <w:rPr>
          <w:rFonts w:ascii="Arial" w:hAnsi="Arial" w:cs="Arial"/>
          <w:b/>
          <w:sz w:val="20"/>
        </w:rPr>
      </w:pPr>
    </w:p>
    <w:p w14:paraId="2003131A" w14:textId="31009726" w:rsidR="00A83F43" w:rsidRDefault="00A83F43" w:rsidP="00304117">
      <w:pPr>
        <w:spacing w:before="60" w:after="60" w:line="276" w:lineRule="auto"/>
        <w:rPr>
          <w:rFonts w:ascii="Arial" w:hAnsi="Arial" w:cs="Arial"/>
          <w:b/>
          <w:sz w:val="20"/>
        </w:rPr>
      </w:pPr>
    </w:p>
    <w:p w14:paraId="7EB36A50" w14:textId="44027347" w:rsidR="00A83F43" w:rsidRDefault="00A83F43" w:rsidP="00304117">
      <w:pPr>
        <w:spacing w:before="60" w:after="60" w:line="276" w:lineRule="auto"/>
        <w:rPr>
          <w:rFonts w:ascii="Arial" w:hAnsi="Arial" w:cs="Arial"/>
          <w:b/>
          <w:sz w:val="20"/>
        </w:rPr>
      </w:pPr>
    </w:p>
    <w:p w14:paraId="11472161" w14:textId="77777777" w:rsidR="00A83F43" w:rsidRDefault="00A83F43" w:rsidP="00304117">
      <w:pPr>
        <w:spacing w:before="60" w:after="60" w:line="276" w:lineRule="auto"/>
        <w:rPr>
          <w:rFonts w:ascii="Arial" w:hAnsi="Arial" w:cs="Arial"/>
          <w:b/>
          <w:sz w:val="20"/>
        </w:rPr>
      </w:pPr>
    </w:p>
    <w:p w14:paraId="441B7643"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217A156E" w14:textId="77777777" w:rsidTr="00737B23">
        <w:tc>
          <w:tcPr>
            <w:tcW w:w="9016" w:type="dxa"/>
            <w:shd w:val="clear" w:color="auto" w:fill="000000" w:themeFill="text1"/>
          </w:tcPr>
          <w:p w14:paraId="6C94BF41"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7131675E" w14:textId="77777777" w:rsidTr="003127C7">
        <w:trPr>
          <w:trHeight w:val="2424"/>
        </w:trPr>
        <w:tc>
          <w:tcPr>
            <w:tcW w:w="9016" w:type="dxa"/>
            <w:shd w:val="clear" w:color="auto" w:fill="FFFFFF" w:themeFill="background1"/>
          </w:tcPr>
          <w:p w14:paraId="6394D754" w14:textId="77777777"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sidR="00EF4E0F">
              <w:rPr>
                <w:rFonts w:ascii="Arial" w:hAnsi="Arial" w:cs="Arial"/>
                <w:sz w:val="20"/>
              </w:rPr>
              <w:t>tender</w:t>
            </w:r>
            <w:r w:rsidRPr="00CF781D">
              <w:rPr>
                <w:rFonts w:ascii="Arial" w:hAnsi="Arial" w:cs="Arial"/>
                <w:sz w:val="20"/>
              </w:rPr>
              <w:t>ers must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60159E76" w14:textId="77777777" w:rsidR="00CF781D" w:rsidRPr="00CF781D" w:rsidRDefault="00CF781D" w:rsidP="00CF781D">
            <w:pPr>
              <w:tabs>
                <w:tab w:val="left" w:pos="720"/>
              </w:tabs>
              <w:spacing w:line="276" w:lineRule="auto"/>
              <w:ind w:left="360"/>
              <w:jc w:val="both"/>
              <w:rPr>
                <w:rFonts w:ascii="Arial" w:hAnsi="Arial" w:cs="Arial"/>
                <w:b/>
                <w:sz w:val="20"/>
              </w:rPr>
            </w:pPr>
          </w:p>
          <w:p w14:paraId="386CF2C1"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46A9A071"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7CF014"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78133815"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8"/>
              <w:gridCol w:w="2767"/>
            </w:tblGrid>
            <w:tr w:rsidR="007D4E0A" w14:paraId="70091447" w14:textId="77777777" w:rsidTr="007D4E0A">
              <w:tc>
                <w:tcPr>
                  <w:tcW w:w="2862" w:type="dxa"/>
                  <w:vMerge w:val="restart"/>
                  <w:tcBorders>
                    <w:top w:val="single" w:sz="4" w:space="0" w:color="auto"/>
                    <w:left w:val="single" w:sz="4" w:space="0" w:color="auto"/>
                    <w:bottom w:val="single" w:sz="4" w:space="0" w:color="auto"/>
                    <w:right w:val="single" w:sz="4" w:space="0" w:color="auto"/>
                  </w:tcBorders>
                  <w:hideMark/>
                </w:tcPr>
                <w:p w14:paraId="145B718C" w14:textId="77777777" w:rsidR="007D4E0A" w:rsidRDefault="007D4E0A">
                  <w:pPr>
                    <w:spacing w:line="276" w:lineRule="auto"/>
                    <w:rPr>
                      <w:rFonts w:ascii="Arial" w:hAnsi="Arial" w:cs="Arial"/>
                      <w:b/>
                      <w:bCs/>
                      <w:color w:val="000000"/>
                      <w:sz w:val="20"/>
                    </w:rPr>
                  </w:pPr>
                  <w:bookmarkStart w:id="0" w:name="_Hlk94539797"/>
                </w:p>
                <w:p w14:paraId="131FBB57"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698" w:type="dxa"/>
                  <w:tcBorders>
                    <w:top w:val="single" w:sz="4" w:space="0" w:color="auto"/>
                    <w:left w:val="single" w:sz="4" w:space="0" w:color="auto"/>
                    <w:bottom w:val="single" w:sz="4" w:space="0" w:color="auto"/>
                    <w:right w:val="single" w:sz="4" w:space="0" w:color="auto"/>
                  </w:tcBorders>
                </w:tcPr>
                <w:p w14:paraId="4362A3EA"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67" w:type="dxa"/>
                  <w:tcBorders>
                    <w:top w:val="single" w:sz="4" w:space="0" w:color="auto"/>
                    <w:left w:val="single" w:sz="4" w:space="0" w:color="auto"/>
                    <w:bottom w:val="single" w:sz="4" w:space="0" w:color="auto"/>
                    <w:right w:val="single" w:sz="4" w:space="0" w:color="auto"/>
                  </w:tcBorders>
                  <w:hideMark/>
                </w:tcPr>
                <w:p w14:paraId="3A372166"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15AAB50A" w14:textId="77777777" w:rsidTr="007D4E0A">
              <w:trPr>
                <w:trHeight w:val="652"/>
              </w:trPr>
              <w:tc>
                <w:tcPr>
                  <w:tcW w:w="2862" w:type="dxa"/>
                  <w:vMerge/>
                  <w:tcBorders>
                    <w:top w:val="single" w:sz="4" w:space="0" w:color="auto"/>
                    <w:left w:val="single" w:sz="4" w:space="0" w:color="auto"/>
                    <w:bottom w:val="single" w:sz="4" w:space="0" w:color="auto"/>
                    <w:right w:val="single" w:sz="4" w:space="0" w:color="auto"/>
                  </w:tcBorders>
                  <w:vAlign w:val="center"/>
                  <w:hideMark/>
                </w:tcPr>
                <w:p w14:paraId="275BD9E9" w14:textId="77777777" w:rsidR="007D4E0A" w:rsidRDefault="007D4E0A">
                  <w:pPr>
                    <w:rPr>
                      <w:rFonts w:ascii="Arial" w:hAnsi="Arial" w:cs="Arial"/>
                      <w:b/>
                      <w:sz w:val="20"/>
                    </w:rPr>
                  </w:pPr>
                </w:p>
              </w:tc>
              <w:tc>
                <w:tcPr>
                  <w:tcW w:w="2698" w:type="dxa"/>
                  <w:tcBorders>
                    <w:top w:val="single" w:sz="4" w:space="0" w:color="auto"/>
                    <w:left w:val="single" w:sz="4" w:space="0" w:color="auto"/>
                    <w:bottom w:val="single" w:sz="4" w:space="0" w:color="auto"/>
                    <w:right w:val="single" w:sz="4" w:space="0" w:color="auto"/>
                  </w:tcBorders>
                </w:tcPr>
                <w:p w14:paraId="09C38BB3" w14:textId="77777777" w:rsidR="007D4E0A" w:rsidRDefault="007D4E0A" w:rsidP="007D4E0A">
                  <w:pPr>
                    <w:spacing w:line="276" w:lineRule="auto"/>
                    <w:jc w:val="center"/>
                    <w:rPr>
                      <w:rFonts w:ascii="Arial" w:hAnsi="Arial" w:cs="Arial"/>
                      <w:b/>
                      <w:sz w:val="20"/>
                    </w:rPr>
                  </w:pPr>
                </w:p>
                <w:p w14:paraId="2DD31384" w14:textId="44E245EE" w:rsidR="007D4E0A" w:rsidRPr="007D4E0A" w:rsidRDefault="00E97605" w:rsidP="00FB2E48">
                  <w:pPr>
                    <w:spacing w:line="276" w:lineRule="auto"/>
                    <w:jc w:val="center"/>
                    <w:rPr>
                      <w:rFonts w:ascii="Arial" w:hAnsi="Arial" w:cs="Arial"/>
                      <w:sz w:val="20"/>
                    </w:rPr>
                  </w:pPr>
                  <w:r>
                    <w:rPr>
                      <w:rFonts w:ascii="Arial" w:hAnsi="Arial" w:cs="Arial"/>
                      <w:sz w:val="20"/>
                    </w:rPr>
                    <w:t>5</w:t>
                  </w:r>
                  <w:r w:rsidR="00102D62">
                    <w:rPr>
                      <w:rFonts w:ascii="Arial" w:hAnsi="Arial" w:cs="Arial"/>
                      <w:sz w:val="20"/>
                    </w:rPr>
                    <w:t>0</w:t>
                  </w:r>
                  <w:r w:rsidR="007D4E0A" w:rsidRPr="007D4E0A">
                    <w:rPr>
                      <w:rFonts w:ascii="Arial" w:hAnsi="Arial" w:cs="Arial"/>
                      <w:sz w:val="20"/>
                    </w:rPr>
                    <w:t>%</w:t>
                  </w:r>
                  <w:r w:rsidR="00102D62">
                    <w:rPr>
                      <w:rFonts w:ascii="Arial" w:hAnsi="Arial" w:cs="Arial"/>
                      <w:sz w:val="20"/>
                    </w:rPr>
                    <w:t xml:space="preserve"> of contract amount</w:t>
                  </w:r>
                </w:p>
              </w:tc>
              <w:tc>
                <w:tcPr>
                  <w:tcW w:w="2767" w:type="dxa"/>
                  <w:tcBorders>
                    <w:top w:val="single" w:sz="4" w:space="0" w:color="auto"/>
                    <w:left w:val="single" w:sz="4" w:space="0" w:color="auto"/>
                    <w:bottom w:val="single" w:sz="4" w:space="0" w:color="auto"/>
                    <w:right w:val="single" w:sz="4" w:space="0" w:color="auto"/>
                  </w:tcBorders>
                </w:tcPr>
                <w:p w14:paraId="15A07F5B" w14:textId="77777777" w:rsidR="007D4E0A" w:rsidRDefault="007D4E0A">
                  <w:pPr>
                    <w:spacing w:line="276" w:lineRule="auto"/>
                    <w:jc w:val="both"/>
                    <w:rPr>
                      <w:rFonts w:ascii="Arial" w:hAnsi="Arial" w:cs="Arial"/>
                      <w:sz w:val="20"/>
                    </w:rPr>
                  </w:pPr>
                </w:p>
                <w:p w14:paraId="494275B6" w14:textId="77777777" w:rsidR="007D4E0A" w:rsidRPr="007D4E0A" w:rsidRDefault="007D4E0A">
                  <w:pPr>
                    <w:spacing w:line="276" w:lineRule="auto"/>
                    <w:jc w:val="both"/>
                    <w:rPr>
                      <w:rFonts w:ascii="Arial" w:hAnsi="Arial" w:cs="Arial"/>
                      <w:sz w:val="20"/>
                    </w:rPr>
                  </w:pPr>
                </w:p>
              </w:tc>
            </w:tr>
            <w:bookmarkEnd w:id="0"/>
          </w:tbl>
          <w:p w14:paraId="50F00604" w14:textId="77777777" w:rsidR="00534A84" w:rsidRDefault="00534A84" w:rsidP="00534A84">
            <w:pPr>
              <w:tabs>
                <w:tab w:val="left" w:pos="720"/>
              </w:tabs>
              <w:spacing w:line="360" w:lineRule="auto"/>
              <w:ind w:left="360"/>
              <w:jc w:val="both"/>
              <w:rPr>
                <w:rFonts w:ascii="Arial" w:hAnsi="Arial" w:cs="Arial"/>
                <w:b/>
                <w:sz w:val="20"/>
                <w:lang w:val="en-ZA"/>
              </w:rPr>
            </w:pPr>
          </w:p>
          <w:p w14:paraId="2323A8F0" w14:textId="3790CBE4" w:rsidR="002319CA" w:rsidRDefault="00D479A6" w:rsidP="002319CA">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 xml:space="preserve">Local to site:  </w:t>
            </w:r>
          </w:p>
          <w:p w14:paraId="2A14BEBA" w14:textId="48EAB6C7" w:rsidR="00D479A6" w:rsidRDefault="00CA7AEF" w:rsidP="002319CA">
            <w:pPr>
              <w:tabs>
                <w:tab w:val="left" w:pos="720"/>
              </w:tabs>
              <w:spacing w:line="360" w:lineRule="auto"/>
              <w:ind w:left="360"/>
              <w:jc w:val="both"/>
              <w:rPr>
                <w:rFonts w:ascii="Arial" w:hAnsi="Arial" w:cs="Arial"/>
                <w:sz w:val="20"/>
                <w:lang w:val="en-ZA"/>
              </w:rPr>
            </w:pPr>
            <w:r w:rsidRPr="00CA7AEF">
              <w:rPr>
                <w:rFonts w:ascii="Arial" w:hAnsi="Arial" w:cs="Arial"/>
                <w:sz w:val="20"/>
                <w:lang w:val="en-ZA"/>
              </w:rPr>
              <w:t>Local to site refers to provinces</w:t>
            </w:r>
            <w:r w:rsidR="00D86CD2">
              <w:rPr>
                <w:rFonts w:ascii="Arial" w:hAnsi="Arial" w:cs="Arial"/>
                <w:sz w:val="20"/>
                <w:lang w:val="en-ZA"/>
              </w:rPr>
              <w:t>, districts and municipalities</w:t>
            </w:r>
            <w:r w:rsidRPr="00CA7AEF">
              <w:rPr>
                <w:rFonts w:ascii="Arial" w:hAnsi="Arial" w:cs="Arial"/>
                <w:sz w:val="20"/>
                <w:lang w:val="en-ZA"/>
              </w:rPr>
              <w:t xml:space="preserve"> where </w:t>
            </w:r>
            <w:r w:rsidR="00D86CD2">
              <w:rPr>
                <w:rFonts w:ascii="Arial" w:hAnsi="Arial" w:cs="Arial"/>
                <w:sz w:val="20"/>
                <w:lang w:val="en-ZA"/>
              </w:rPr>
              <w:t xml:space="preserve">goods and services are supplied to </w:t>
            </w:r>
            <w:r w:rsidRPr="00CA7AEF">
              <w:rPr>
                <w:rFonts w:ascii="Arial" w:hAnsi="Arial" w:cs="Arial"/>
                <w:sz w:val="20"/>
                <w:lang w:val="en-ZA"/>
              </w:rPr>
              <w:t>Eskom.   The aim</w:t>
            </w:r>
            <w:r w:rsidR="00D86CD2">
              <w:rPr>
                <w:rFonts w:ascii="Arial" w:hAnsi="Arial" w:cs="Arial"/>
                <w:sz w:val="20"/>
                <w:lang w:val="en-ZA"/>
              </w:rPr>
              <w:t xml:space="preserve"> of measuring local to site</w:t>
            </w:r>
            <w:r w:rsidRPr="00CA7AEF">
              <w:rPr>
                <w:rFonts w:ascii="Arial" w:hAnsi="Arial" w:cs="Arial"/>
                <w:sz w:val="20"/>
                <w:lang w:val="en-ZA"/>
              </w:rPr>
              <w:t xml:space="preserve"> is for </w:t>
            </w:r>
            <w:r>
              <w:rPr>
                <w:rFonts w:ascii="Arial" w:hAnsi="Arial" w:cs="Arial"/>
                <w:sz w:val="20"/>
                <w:lang w:val="en-ZA"/>
              </w:rPr>
              <w:t>tenderer</w:t>
            </w:r>
            <w:r w:rsidRPr="00CA7AEF">
              <w:rPr>
                <w:rFonts w:ascii="Arial" w:hAnsi="Arial" w:cs="Arial"/>
                <w:sz w:val="20"/>
                <w:lang w:val="en-ZA"/>
              </w:rPr>
              <w:t xml:space="preserve">s to spend some of their </w:t>
            </w:r>
            <w:r w:rsidR="00D86CD2">
              <w:rPr>
                <w:rFonts w:ascii="Arial" w:hAnsi="Arial" w:cs="Arial"/>
                <w:sz w:val="20"/>
                <w:lang w:val="en-ZA"/>
              </w:rPr>
              <w:t>contract amount</w:t>
            </w:r>
            <w:r w:rsidRPr="00CA7AEF">
              <w:rPr>
                <w:rFonts w:ascii="Arial" w:hAnsi="Arial" w:cs="Arial"/>
                <w:sz w:val="20"/>
                <w:lang w:val="en-ZA"/>
              </w:rPr>
              <w:t xml:space="preserve"> at locations where Eskom is </w:t>
            </w:r>
            <w:r w:rsidR="00D86CD2">
              <w:rPr>
                <w:rFonts w:ascii="Arial" w:hAnsi="Arial" w:cs="Arial"/>
                <w:sz w:val="20"/>
                <w:lang w:val="en-ZA"/>
              </w:rPr>
              <w:t>receiving the goods and services</w:t>
            </w:r>
            <w:r w:rsidRPr="00CA7AEF">
              <w:rPr>
                <w:rFonts w:ascii="Arial" w:hAnsi="Arial" w:cs="Arial"/>
                <w:sz w:val="20"/>
                <w:lang w:val="en-ZA"/>
              </w:rPr>
              <w:t xml:space="preserve">.   The expenditure could be a combination of </w:t>
            </w:r>
            <w:r>
              <w:rPr>
                <w:rFonts w:ascii="Arial" w:hAnsi="Arial" w:cs="Arial"/>
                <w:sz w:val="20"/>
                <w:lang w:val="en-ZA"/>
              </w:rPr>
              <w:t>procu</w:t>
            </w:r>
            <w:r w:rsidRPr="00CA7AEF">
              <w:rPr>
                <w:rFonts w:ascii="Arial" w:hAnsi="Arial" w:cs="Arial"/>
                <w:sz w:val="20"/>
                <w:lang w:val="en-ZA"/>
              </w:rPr>
              <w:t xml:space="preserve">ring (core and non-core services) from local-to-site suppliers, recruiting </w:t>
            </w:r>
            <w:r w:rsidR="00102D62" w:rsidRPr="00CA7AEF">
              <w:rPr>
                <w:rFonts w:ascii="Arial" w:hAnsi="Arial" w:cs="Arial"/>
                <w:sz w:val="20"/>
                <w:lang w:val="en-ZA"/>
              </w:rPr>
              <w:t>employees</w:t>
            </w:r>
            <w:r w:rsidRPr="00CA7AEF">
              <w:rPr>
                <w:rFonts w:ascii="Arial" w:hAnsi="Arial" w:cs="Arial"/>
                <w:sz w:val="20"/>
                <w:lang w:val="en-ZA"/>
              </w:rPr>
              <w:t xml:space="preserve"> and developing skills of candidates selected from the local-to-site regions</w:t>
            </w:r>
            <w:r w:rsidR="00102D62">
              <w:rPr>
                <w:rFonts w:ascii="Arial" w:hAnsi="Arial" w:cs="Arial"/>
                <w:sz w:val="20"/>
                <w:lang w:val="en-ZA"/>
              </w:rPr>
              <w:t>.</w:t>
            </w:r>
          </w:p>
          <w:p w14:paraId="27C1DBEB" w14:textId="531E8037" w:rsidR="00102D62" w:rsidRDefault="00102D62" w:rsidP="002319CA">
            <w:pPr>
              <w:tabs>
                <w:tab w:val="left" w:pos="720"/>
              </w:tabs>
              <w:spacing w:line="360" w:lineRule="auto"/>
              <w:ind w:left="360"/>
              <w:jc w:val="both"/>
              <w:rPr>
                <w:rFonts w:ascii="Arial" w:hAnsi="Arial" w:cs="Arial"/>
                <w:sz w:val="20"/>
                <w:lang w:val="en-ZA"/>
              </w:rPr>
            </w:pPr>
          </w:p>
          <w:p w14:paraId="5429A083" w14:textId="77777777" w:rsidR="00102D62" w:rsidRDefault="00102D62" w:rsidP="002319C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8"/>
              <w:gridCol w:w="2767"/>
            </w:tblGrid>
            <w:tr w:rsidR="00102D62" w14:paraId="5D482C5A" w14:textId="77777777" w:rsidTr="00C319B3">
              <w:tc>
                <w:tcPr>
                  <w:tcW w:w="2862" w:type="dxa"/>
                  <w:vMerge w:val="restart"/>
                  <w:tcBorders>
                    <w:top w:val="single" w:sz="4" w:space="0" w:color="auto"/>
                    <w:left w:val="single" w:sz="4" w:space="0" w:color="auto"/>
                    <w:bottom w:val="single" w:sz="4" w:space="0" w:color="auto"/>
                    <w:right w:val="single" w:sz="4" w:space="0" w:color="auto"/>
                  </w:tcBorders>
                  <w:hideMark/>
                </w:tcPr>
                <w:p w14:paraId="0282E7E2" w14:textId="77777777" w:rsidR="00102D62" w:rsidRDefault="00102D62" w:rsidP="00102D62">
                  <w:pPr>
                    <w:spacing w:line="276" w:lineRule="auto"/>
                    <w:rPr>
                      <w:rFonts w:ascii="Arial" w:hAnsi="Arial" w:cs="Arial"/>
                      <w:b/>
                      <w:bCs/>
                      <w:color w:val="000000"/>
                      <w:sz w:val="20"/>
                    </w:rPr>
                  </w:pPr>
                </w:p>
                <w:p w14:paraId="73067455" w14:textId="7AA3E6F6" w:rsidR="00102D62" w:rsidRDefault="00102D62" w:rsidP="00102D62">
                  <w:pPr>
                    <w:spacing w:line="276" w:lineRule="auto"/>
                    <w:rPr>
                      <w:rFonts w:ascii="Arial" w:hAnsi="Arial" w:cs="Arial"/>
                      <w:b/>
                      <w:sz w:val="20"/>
                    </w:rPr>
                  </w:pPr>
                  <w:r>
                    <w:rPr>
                      <w:rFonts w:ascii="Arial" w:hAnsi="Arial" w:cs="Arial"/>
                      <w:b/>
                      <w:bCs/>
                      <w:color w:val="000000"/>
                      <w:sz w:val="20"/>
                    </w:rPr>
                    <w:t xml:space="preserve">Local to site </w:t>
                  </w:r>
                </w:p>
              </w:tc>
              <w:tc>
                <w:tcPr>
                  <w:tcW w:w="2698" w:type="dxa"/>
                  <w:tcBorders>
                    <w:top w:val="single" w:sz="4" w:space="0" w:color="auto"/>
                    <w:left w:val="single" w:sz="4" w:space="0" w:color="auto"/>
                    <w:bottom w:val="single" w:sz="4" w:space="0" w:color="auto"/>
                    <w:right w:val="single" w:sz="4" w:space="0" w:color="auto"/>
                  </w:tcBorders>
                </w:tcPr>
                <w:p w14:paraId="59A9D9AA" w14:textId="77777777" w:rsidR="00102D62" w:rsidRDefault="00102D62" w:rsidP="00102D62">
                  <w:pPr>
                    <w:spacing w:line="276" w:lineRule="auto"/>
                    <w:jc w:val="center"/>
                    <w:rPr>
                      <w:rFonts w:ascii="Arial" w:hAnsi="Arial" w:cs="Arial"/>
                      <w:b/>
                      <w:sz w:val="20"/>
                    </w:rPr>
                  </w:pPr>
                  <w:r>
                    <w:rPr>
                      <w:rFonts w:ascii="Arial" w:hAnsi="Arial" w:cs="Arial"/>
                      <w:b/>
                      <w:sz w:val="20"/>
                    </w:rPr>
                    <w:t>Eskom target</w:t>
                  </w:r>
                </w:p>
              </w:tc>
              <w:tc>
                <w:tcPr>
                  <w:tcW w:w="2767" w:type="dxa"/>
                  <w:tcBorders>
                    <w:top w:val="single" w:sz="4" w:space="0" w:color="auto"/>
                    <w:left w:val="single" w:sz="4" w:space="0" w:color="auto"/>
                    <w:bottom w:val="single" w:sz="4" w:space="0" w:color="auto"/>
                    <w:right w:val="single" w:sz="4" w:space="0" w:color="auto"/>
                  </w:tcBorders>
                  <w:hideMark/>
                </w:tcPr>
                <w:p w14:paraId="6410382E" w14:textId="77777777" w:rsidR="00102D62" w:rsidRDefault="00102D62" w:rsidP="00102D62">
                  <w:pPr>
                    <w:spacing w:line="276" w:lineRule="auto"/>
                    <w:jc w:val="center"/>
                    <w:rPr>
                      <w:rFonts w:ascii="Arial" w:hAnsi="Arial" w:cs="Arial"/>
                      <w:b/>
                      <w:sz w:val="20"/>
                    </w:rPr>
                  </w:pPr>
                  <w:r>
                    <w:rPr>
                      <w:rFonts w:ascii="Arial" w:hAnsi="Arial" w:cs="Arial"/>
                      <w:b/>
                      <w:sz w:val="20"/>
                    </w:rPr>
                    <w:t>Tenderer Proposal</w:t>
                  </w:r>
                </w:p>
              </w:tc>
            </w:tr>
            <w:tr w:rsidR="00102D62" w14:paraId="560CF8B4" w14:textId="77777777" w:rsidTr="00C319B3">
              <w:trPr>
                <w:trHeight w:val="652"/>
              </w:trPr>
              <w:tc>
                <w:tcPr>
                  <w:tcW w:w="2862" w:type="dxa"/>
                  <w:vMerge/>
                  <w:tcBorders>
                    <w:top w:val="single" w:sz="4" w:space="0" w:color="auto"/>
                    <w:left w:val="single" w:sz="4" w:space="0" w:color="auto"/>
                    <w:bottom w:val="single" w:sz="4" w:space="0" w:color="auto"/>
                    <w:right w:val="single" w:sz="4" w:space="0" w:color="auto"/>
                  </w:tcBorders>
                  <w:vAlign w:val="center"/>
                  <w:hideMark/>
                </w:tcPr>
                <w:p w14:paraId="34DA6B43" w14:textId="77777777" w:rsidR="00102D62" w:rsidRDefault="00102D62" w:rsidP="00102D62">
                  <w:pPr>
                    <w:rPr>
                      <w:rFonts w:ascii="Arial" w:hAnsi="Arial" w:cs="Arial"/>
                      <w:b/>
                      <w:sz w:val="20"/>
                    </w:rPr>
                  </w:pPr>
                </w:p>
              </w:tc>
              <w:tc>
                <w:tcPr>
                  <w:tcW w:w="2698" w:type="dxa"/>
                  <w:tcBorders>
                    <w:top w:val="single" w:sz="4" w:space="0" w:color="auto"/>
                    <w:left w:val="single" w:sz="4" w:space="0" w:color="auto"/>
                    <w:bottom w:val="single" w:sz="4" w:space="0" w:color="auto"/>
                    <w:right w:val="single" w:sz="4" w:space="0" w:color="auto"/>
                  </w:tcBorders>
                </w:tcPr>
                <w:p w14:paraId="3A51B8C4" w14:textId="77777777" w:rsidR="00102D62" w:rsidRDefault="00102D62" w:rsidP="00102D62">
                  <w:pPr>
                    <w:spacing w:line="276" w:lineRule="auto"/>
                    <w:jc w:val="center"/>
                    <w:rPr>
                      <w:rFonts w:ascii="Arial" w:hAnsi="Arial" w:cs="Arial"/>
                      <w:b/>
                      <w:sz w:val="20"/>
                    </w:rPr>
                  </w:pPr>
                </w:p>
                <w:p w14:paraId="6C29FF5B" w14:textId="2802F934" w:rsidR="00102D62" w:rsidRPr="007D4E0A" w:rsidRDefault="00102D62" w:rsidP="00102D62">
                  <w:pPr>
                    <w:spacing w:line="276" w:lineRule="auto"/>
                    <w:jc w:val="center"/>
                    <w:rPr>
                      <w:rFonts w:ascii="Arial" w:hAnsi="Arial" w:cs="Arial"/>
                      <w:sz w:val="20"/>
                    </w:rPr>
                  </w:pPr>
                  <w:r>
                    <w:rPr>
                      <w:rFonts w:ascii="Arial" w:hAnsi="Arial" w:cs="Arial"/>
                      <w:sz w:val="20"/>
                    </w:rPr>
                    <w:t>5</w:t>
                  </w:r>
                  <w:r w:rsidRPr="007D4E0A">
                    <w:rPr>
                      <w:rFonts w:ascii="Arial" w:hAnsi="Arial" w:cs="Arial"/>
                      <w:sz w:val="20"/>
                    </w:rPr>
                    <w:t>%</w:t>
                  </w:r>
                  <w:r>
                    <w:rPr>
                      <w:rFonts w:ascii="Arial" w:hAnsi="Arial" w:cs="Arial"/>
                      <w:sz w:val="20"/>
                    </w:rPr>
                    <w:t xml:space="preserve"> of contract amount</w:t>
                  </w:r>
                </w:p>
              </w:tc>
              <w:tc>
                <w:tcPr>
                  <w:tcW w:w="2767" w:type="dxa"/>
                  <w:tcBorders>
                    <w:top w:val="single" w:sz="4" w:space="0" w:color="auto"/>
                    <w:left w:val="single" w:sz="4" w:space="0" w:color="auto"/>
                    <w:bottom w:val="single" w:sz="4" w:space="0" w:color="auto"/>
                    <w:right w:val="single" w:sz="4" w:space="0" w:color="auto"/>
                  </w:tcBorders>
                </w:tcPr>
                <w:p w14:paraId="22364331" w14:textId="77777777" w:rsidR="00102D62" w:rsidRDefault="00102D62" w:rsidP="00102D62">
                  <w:pPr>
                    <w:spacing w:line="276" w:lineRule="auto"/>
                    <w:jc w:val="both"/>
                    <w:rPr>
                      <w:rFonts w:ascii="Arial" w:hAnsi="Arial" w:cs="Arial"/>
                      <w:sz w:val="20"/>
                    </w:rPr>
                  </w:pPr>
                </w:p>
                <w:p w14:paraId="16BC6F77" w14:textId="77777777" w:rsidR="00102D62" w:rsidRPr="007D4E0A" w:rsidRDefault="00102D62" w:rsidP="00102D62">
                  <w:pPr>
                    <w:spacing w:line="276" w:lineRule="auto"/>
                    <w:jc w:val="both"/>
                    <w:rPr>
                      <w:rFonts w:ascii="Arial" w:hAnsi="Arial" w:cs="Arial"/>
                      <w:sz w:val="20"/>
                    </w:rPr>
                  </w:pPr>
                </w:p>
              </w:tc>
            </w:tr>
          </w:tbl>
          <w:p w14:paraId="1E79A443" w14:textId="77777777" w:rsidR="00102D62" w:rsidRPr="002632AA" w:rsidRDefault="00102D62" w:rsidP="002319CA">
            <w:pPr>
              <w:tabs>
                <w:tab w:val="left" w:pos="720"/>
              </w:tabs>
              <w:spacing w:line="360" w:lineRule="auto"/>
              <w:ind w:left="360"/>
              <w:jc w:val="both"/>
              <w:rPr>
                <w:rFonts w:ascii="Arial" w:hAnsi="Arial" w:cs="Arial"/>
                <w:b/>
                <w:sz w:val="20"/>
                <w:lang w:val="en-ZA"/>
              </w:rPr>
            </w:pPr>
          </w:p>
          <w:p w14:paraId="78E5C09B" w14:textId="77777777" w:rsidR="002632AA" w:rsidRDefault="002632AA" w:rsidP="002632AA">
            <w:pPr>
              <w:tabs>
                <w:tab w:val="left" w:pos="720"/>
              </w:tabs>
              <w:spacing w:line="360" w:lineRule="auto"/>
              <w:ind w:left="360"/>
              <w:jc w:val="both"/>
              <w:rPr>
                <w:rFonts w:ascii="Arial" w:hAnsi="Arial" w:cs="Arial"/>
                <w:b/>
                <w:sz w:val="20"/>
                <w:lang w:val="en-ZA"/>
              </w:rPr>
            </w:pPr>
          </w:p>
          <w:p w14:paraId="211AEEC0"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2145F9B8" w14:textId="77777777" w:rsidR="006E14B5" w:rsidRPr="006E14B5" w:rsidRDefault="006E14B5" w:rsidP="006E14B5">
            <w:pPr>
              <w:tabs>
                <w:tab w:val="left" w:pos="720"/>
              </w:tabs>
              <w:spacing w:line="360" w:lineRule="auto"/>
              <w:jc w:val="both"/>
              <w:rPr>
                <w:rFonts w:ascii="Arial" w:hAnsi="Arial" w:cs="Arial"/>
                <w:sz w:val="20"/>
                <w:u w:val="single"/>
              </w:rPr>
            </w:pPr>
          </w:p>
          <w:p w14:paraId="1489C3A4" w14:textId="77777777" w:rsidR="006E14B5" w:rsidRPr="006E14B5" w:rsidRDefault="002632AA" w:rsidP="006E14B5">
            <w:pPr>
              <w:tabs>
                <w:tab w:val="left" w:pos="720"/>
              </w:tabs>
              <w:spacing w:line="360" w:lineRule="auto"/>
              <w:ind w:left="360"/>
              <w:jc w:val="both"/>
              <w:rPr>
                <w:rFonts w:ascii="Arial" w:hAnsi="Arial" w:cs="Arial"/>
                <w:sz w:val="20"/>
                <w:u w:val="single"/>
              </w:rPr>
            </w:pPr>
            <w:r>
              <w:rPr>
                <w:rFonts w:ascii="Arial" w:hAnsi="Arial" w:cs="Arial"/>
                <w:sz w:val="20"/>
                <w:lang w:val="en-ZA"/>
              </w:rPr>
              <w:t>S</w:t>
            </w:r>
            <w:r w:rsidR="00861BE0" w:rsidRPr="006E14B5">
              <w:rPr>
                <w:rFonts w:ascii="Arial" w:hAnsi="Arial" w:cs="Arial"/>
                <w:sz w:val="20"/>
                <w:lang w:val="en-ZA"/>
              </w:rPr>
              <w:t xml:space="preserve">ubcontracting </w:t>
            </w:r>
            <w:r>
              <w:rPr>
                <w:rFonts w:ascii="Arial" w:hAnsi="Arial" w:cs="Arial"/>
                <w:sz w:val="20"/>
                <w:lang w:val="en-ZA"/>
              </w:rPr>
              <w:t>refers to activities which the tenderer outsources to other enterprises in its supply chain</w:t>
            </w:r>
            <w:r w:rsidR="003462C3">
              <w:rPr>
                <w:rFonts w:ascii="Arial" w:hAnsi="Arial" w:cs="Arial"/>
                <w:sz w:val="20"/>
                <w:lang w:val="en-ZA"/>
              </w:rPr>
              <w:t xml:space="preserve"> </w:t>
            </w:r>
            <w:r w:rsidR="005C2E51">
              <w:rPr>
                <w:rFonts w:ascii="Arial" w:hAnsi="Arial" w:cs="Arial"/>
                <w:sz w:val="20"/>
                <w:lang w:val="en-ZA"/>
              </w:rPr>
              <w:t>duri</w:t>
            </w:r>
            <w:r w:rsidR="003462C3">
              <w:rPr>
                <w:rFonts w:ascii="Arial" w:hAnsi="Arial" w:cs="Arial"/>
                <w:sz w:val="20"/>
                <w:lang w:val="en-ZA"/>
              </w:rPr>
              <w:t>n</w:t>
            </w:r>
            <w:r w:rsidR="005C2E51">
              <w:rPr>
                <w:rFonts w:ascii="Arial" w:hAnsi="Arial" w:cs="Arial"/>
                <w:sz w:val="20"/>
                <w:lang w:val="en-ZA"/>
              </w:rPr>
              <w:t>g</w:t>
            </w:r>
            <w:r w:rsidR="003462C3">
              <w:rPr>
                <w:rFonts w:ascii="Arial" w:hAnsi="Arial" w:cs="Arial"/>
                <w:sz w:val="20"/>
                <w:lang w:val="en-ZA"/>
              </w:rPr>
              <w:t xml:space="preserve"> the execution of the </w:t>
            </w:r>
            <w:r w:rsidR="005C2E51">
              <w:rPr>
                <w:rFonts w:ascii="Arial" w:hAnsi="Arial" w:cs="Arial"/>
                <w:sz w:val="20"/>
                <w:lang w:val="en-ZA"/>
              </w:rPr>
              <w:t xml:space="preserve">contract </w:t>
            </w:r>
            <w:r w:rsidR="003462C3">
              <w:rPr>
                <w:rFonts w:ascii="Arial" w:hAnsi="Arial" w:cs="Arial"/>
                <w:sz w:val="20"/>
                <w:lang w:val="en-ZA"/>
              </w:rPr>
              <w:t>scope of work</w:t>
            </w:r>
            <w:r>
              <w:rPr>
                <w:rFonts w:ascii="Arial" w:hAnsi="Arial" w:cs="Arial"/>
                <w:sz w:val="20"/>
                <w:lang w:val="en-ZA"/>
              </w:rPr>
              <w:t xml:space="preserve">. </w:t>
            </w:r>
            <w:r w:rsidR="00861BE0" w:rsidRPr="006E14B5">
              <w:rPr>
                <w:rFonts w:ascii="Arial" w:hAnsi="Arial" w:cs="Arial"/>
                <w:sz w:val="20"/>
                <w:lang w:val="en-ZA"/>
              </w:rPr>
              <w:t>Th</w:t>
            </w:r>
            <w:r>
              <w:rPr>
                <w:rFonts w:ascii="Arial" w:hAnsi="Arial" w:cs="Arial"/>
                <w:sz w:val="20"/>
                <w:lang w:val="en-ZA"/>
              </w:rPr>
              <w:t>e</w:t>
            </w:r>
            <w:r w:rsidR="00861BE0" w:rsidRPr="006E14B5">
              <w:rPr>
                <w:rFonts w:ascii="Arial" w:hAnsi="Arial" w:cs="Arial"/>
                <w:sz w:val="20"/>
                <w:lang w:val="en-ZA"/>
              </w:rPr>
              <w:t xml:space="preserve"> </w:t>
            </w:r>
            <w:r>
              <w:rPr>
                <w:rFonts w:ascii="Arial" w:hAnsi="Arial" w:cs="Arial"/>
                <w:sz w:val="20"/>
                <w:lang w:val="en-ZA"/>
              </w:rPr>
              <w:t xml:space="preserve">subcontracted activities </w:t>
            </w:r>
            <w:r w:rsidR="00861BE0" w:rsidRPr="006E14B5">
              <w:rPr>
                <w:rFonts w:ascii="Arial" w:hAnsi="Arial" w:cs="Arial"/>
                <w:sz w:val="20"/>
                <w:lang w:val="en-ZA"/>
              </w:rPr>
              <w:t xml:space="preserve">shall be </w:t>
            </w:r>
            <w:r w:rsidR="003462C3">
              <w:rPr>
                <w:rFonts w:ascii="Arial" w:hAnsi="Arial" w:cs="Arial"/>
                <w:sz w:val="20"/>
                <w:lang w:val="en-ZA"/>
              </w:rPr>
              <w:t>outsourced to enterprises</w:t>
            </w:r>
            <w:r w:rsidR="00BF476B">
              <w:rPr>
                <w:rFonts w:ascii="Arial" w:hAnsi="Arial" w:cs="Arial"/>
                <w:sz w:val="20"/>
                <w:lang w:val="en-ZA"/>
              </w:rPr>
              <w:t xml:space="preserve"> which are</w:t>
            </w:r>
            <w:r w:rsidR="003462C3">
              <w:rPr>
                <w:rFonts w:ascii="Arial" w:hAnsi="Arial" w:cs="Arial"/>
                <w:sz w:val="20"/>
                <w:lang w:val="en-ZA"/>
              </w:rPr>
              <w:t xml:space="preserve"> </w:t>
            </w:r>
            <w:r w:rsidR="00861BE0" w:rsidRPr="006E14B5">
              <w:rPr>
                <w:rFonts w:ascii="Arial" w:hAnsi="Arial" w:cs="Arial"/>
                <w:sz w:val="20"/>
                <w:lang w:val="en-ZA"/>
              </w:rPr>
              <w:t>Black People with Disabilities (BPwD)</w:t>
            </w:r>
            <w:r w:rsidR="003462C3">
              <w:rPr>
                <w:rFonts w:ascii="Arial" w:hAnsi="Arial" w:cs="Arial"/>
                <w:sz w:val="20"/>
                <w:lang w:val="en-ZA"/>
              </w:rPr>
              <w:t xml:space="preserve"> Owned</w:t>
            </w:r>
            <w:r w:rsidR="00861BE0" w:rsidRPr="006E14B5">
              <w:rPr>
                <w:rFonts w:ascii="Arial" w:hAnsi="Arial" w:cs="Arial"/>
                <w:sz w:val="20"/>
                <w:lang w:val="en-ZA"/>
              </w:rPr>
              <w:t xml:space="preserve">, Black Youth Owned (BYO), Black Women Owned (BWO) and Black Owned (BO).   </w:t>
            </w:r>
            <w:r w:rsidR="006E14B5" w:rsidRPr="006E14B5">
              <w:rPr>
                <w:rFonts w:ascii="Arial" w:hAnsi="Arial" w:cs="Arial"/>
                <w:sz w:val="20"/>
              </w:rPr>
              <w:t>Activities</w:t>
            </w:r>
            <w:r>
              <w:rPr>
                <w:rFonts w:ascii="Arial" w:hAnsi="Arial" w:cs="Arial"/>
                <w:sz w:val="20"/>
              </w:rPr>
              <w:t>,</w:t>
            </w:r>
            <w:r w:rsidR="006E14B5" w:rsidRPr="006E14B5">
              <w:rPr>
                <w:rFonts w:ascii="Arial" w:hAnsi="Arial" w:cs="Arial"/>
                <w:sz w:val="20"/>
              </w:rPr>
              <w:t xml:space="preserve"> </w:t>
            </w:r>
            <w:r w:rsidR="00D641CE">
              <w:rPr>
                <w:rFonts w:ascii="Arial" w:hAnsi="Arial" w:cs="Arial"/>
                <w:sz w:val="20"/>
              </w:rPr>
              <w:t xml:space="preserve">which </w:t>
            </w:r>
            <w:r w:rsidR="006E14B5" w:rsidRPr="006E14B5">
              <w:rPr>
                <w:rFonts w:ascii="Arial" w:hAnsi="Arial" w:cs="Arial"/>
                <w:sz w:val="20"/>
              </w:rPr>
              <w:t xml:space="preserve">may be </w:t>
            </w:r>
            <w:r w:rsidR="006E14B5" w:rsidRPr="006E14B5">
              <w:rPr>
                <w:rFonts w:ascii="Arial" w:hAnsi="Arial" w:cs="Arial"/>
                <w:sz w:val="20"/>
              </w:rPr>
              <w:lastRenderedPageBreak/>
              <w:t>subcontracted</w:t>
            </w:r>
            <w:r>
              <w:rPr>
                <w:rFonts w:ascii="Arial" w:hAnsi="Arial" w:cs="Arial"/>
                <w:sz w:val="20"/>
              </w:rPr>
              <w:t xml:space="preserve"> to designated black owned </w:t>
            </w:r>
            <w:r w:rsidR="00D641CE">
              <w:rPr>
                <w:rFonts w:ascii="Arial" w:hAnsi="Arial" w:cs="Arial"/>
                <w:sz w:val="20"/>
              </w:rPr>
              <w:t>enterprises,</w:t>
            </w:r>
            <w:r w:rsidR="006E14B5" w:rsidRPr="006E14B5">
              <w:rPr>
                <w:rFonts w:ascii="Arial" w:hAnsi="Arial" w:cs="Arial"/>
                <w:sz w:val="20"/>
              </w:rPr>
              <w:t xml:space="preserve"> </w:t>
            </w:r>
            <w:r w:rsidR="00D641CE">
              <w:rPr>
                <w:rFonts w:ascii="Arial" w:hAnsi="Arial" w:cs="Arial"/>
                <w:sz w:val="20"/>
              </w:rPr>
              <w:t>incl</w:t>
            </w:r>
            <w:r>
              <w:rPr>
                <w:rFonts w:ascii="Arial" w:hAnsi="Arial" w:cs="Arial"/>
                <w:sz w:val="20"/>
              </w:rPr>
              <w:t>u</w:t>
            </w:r>
            <w:r w:rsidR="00D641CE">
              <w:rPr>
                <w:rFonts w:ascii="Arial" w:hAnsi="Arial" w:cs="Arial"/>
                <w:sz w:val="20"/>
              </w:rPr>
              <w:t>de analytics, data management and overheads and must</w:t>
            </w:r>
            <w:r>
              <w:rPr>
                <w:rFonts w:ascii="Arial" w:hAnsi="Arial" w:cs="Arial"/>
                <w:sz w:val="20"/>
              </w:rPr>
              <w:t xml:space="preserve"> be submitted in the table below</w:t>
            </w:r>
            <w:r w:rsidR="006E14B5" w:rsidRPr="006E14B5">
              <w:rPr>
                <w:rFonts w:ascii="Arial" w:hAnsi="Arial" w:cs="Arial"/>
                <w:sz w:val="20"/>
              </w:rPr>
              <w:t>.</w:t>
            </w:r>
          </w:p>
          <w:p w14:paraId="04231C1C"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102"/>
              <w:gridCol w:w="2103"/>
            </w:tblGrid>
            <w:tr w:rsidR="00D641CE" w:rsidRPr="000C5130" w14:paraId="0E819A8A" w14:textId="77777777" w:rsidTr="007707B4">
              <w:trPr>
                <w:trHeight w:val="470"/>
              </w:trPr>
              <w:tc>
                <w:tcPr>
                  <w:tcW w:w="3264" w:type="dxa"/>
                  <w:shd w:val="clear" w:color="auto" w:fill="D9D9D9" w:themeFill="background1" w:themeFillShade="D9"/>
                </w:tcPr>
                <w:p w14:paraId="51FA141F" w14:textId="77777777" w:rsidR="00D641CE" w:rsidRPr="000C5130" w:rsidRDefault="00D641CE" w:rsidP="005C7FE5">
                  <w:pPr>
                    <w:tabs>
                      <w:tab w:val="left" w:pos="720"/>
                    </w:tabs>
                    <w:jc w:val="both"/>
                    <w:rPr>
                      <w:rFonts w:ascii="Arial" w:hAnsi="Arial" w:cs="Arial"/>
                      <w:b/>
                      <w:sz w:val="20"/>
                    </w:rPr>
                  </w:pPr>
                  <w:r>
                    <w:rPr>
                      <w:rFonts w:ascii="Arial" w:hAnsi="Arial" w:cs="Arial"/>
                      <w:b/>
                      <w:sz w:val="20"/>
                    </w:rPr>
                    <w:t>Subcontracted Designated Group</w:t>
                  </w:r>
                </w:p>
              </w:tc>
              <w:tc>
                <w:tcPr>
                  <w:tcW w:w="2102" w:type="dxa"/>
                  <w:shd w:val="clear" w:color="auto" w:fill="D9D9D9" w:themeFill="background1" w:themeFillShade="D9"/>
                </w:tcPr>
                <w:p w14:paraId="01E2BAB6" w14:textId="0E15E7B0" w:rsidR="00D641CE" w:rsidRPr="000C5130" w:rsidRDefault="00D641CE" w:rsidP="003462C3">
                  <w:pPr>
                    <w:tabs>
                      <w:tab w:val="left" w:pos="720"/>
                    </w:tabs>
                    <w:jc w:val="center"/>
                    <w:rPr>
                      <w:rFonts w:ascii="Arial" w:hAnsi="Arial" w:cs="Arial"/>
                      <w:b/>
                      <w:sz w:val="20"/>
                    </w:rPr>
                  </w:pPr>
                  <w:r>
                    <w:rPr>
                      <w:rFonts w:ascii="Arial" w:hAnsi="Arial" w:cs="Arial"/>
                      <w:b/>
                      <w:sz w:val="20"/>
                    </w:rPr>
                    <w:t>Eskom Target</w:t>
                  </w:r>
                  <w:r w:rsidR="00102D62">
                    <w:rPr>
                      <w:rFonts w:ascii="Arial" w:hAnsi="Arial" w:cs="Arial"/>
                      <w:b/>
                      <w:sz w:val="20"/>
                    </w:rPr>
                    <w:t xml:space="preserve"> of contract amount</w:t>
                  </w:r>
                </w:p>
              </w:tc>
              <w:tc>
                <w:tcPr>
                  <w:tcW w:w="2103" w:type="dxa"/>
                  <w:shd w:val="clear" w:color="auto" w:fill="D9D9D9" w:themeFill="background1" w:themeFillShade="D9"/>
                </w:tcPr>
                <w:p w14:paraId="72219C99" w14:textId="77777777" w:rsidR="00D641CE" w:rsidRPr="000C5130" w:rsidRDefault="00D641CE" w:rsidP="00750B4A">
                  <w:pPr>
                    <w:tabs>
                      <w:tab w:val="left" w:pos="720"/>
                    </w:tabs>
                    <w:jc w:val="center"/>
                    <w:rPr>
                      <w:rFonts w:ascii="Arial" w:hAnsi="Arial" w:cs="Arial"/>
                      <w:b/>
                      <w:sz w:val="20"/>
                    </w:rPr>
                  </w:pPr>
                  <w:r w:rsidRPr="000C5130">
                    <w:rPr>
                      <w:rFonts w:ascii="Arial" w:hAnsi="Arial" w:cs="Arial"/>
                      <w:b/>
                      <w:sz w:val="20"/>
                    </w:rPr>
                    <w:t>Tenderer Proposal</w:t>
                  </w:r>
                </w:p>
              </w:tc>
            </w:tr>
            <w:tr w:rsidR="003462C3" w:rsidRPr="000C5130" w14:paraId="4EC5D36F" w14:textId="77777777" w:rsidTr="00A553E0">
              <w:trPr>
                <w:trHeight w:val="553"/>
              </w:trPr>
              <w:tc>
                <w:tcPr>
                  <w:tcW w:w="3264" w:type="dxa"/>
                  <w:shd w:val="clear" w:color="auto" w:fill="auto"/>
                </w:tcPr>
                <w:p w14:paraId="1D125B67" w14:textId="77777777" w:rsidR="003462C3" w:rsidRPr="000C5130" w:rsidRDefault="003462C3" w:rsidP="005C7FE5">
                  <w:pPr>
                    <w:tabs>
                      <w:tab w:val="left" w:pos="720"/>
                    </w:tabs>
                    <w:jc w:val="both"/>
                    <w:rPr>
                      <w:rFonts w:ascii="Arial" w:hAnsi="Arial" w:cs="Arial"/>
                      <w:sz w:val="20"/>
                    </w:rPr>
                  </w:pPr>
                  <w:r>
                    <w:rPr>
                      <w:rFonts w:ascii="Arial" w:hAnsi="Arial" w:cs="Arial"/>
                      <w:sz w:val="20"/>
                    </w:rPr>
                    <w:t xml:space="preserve">Black Owned </w:t>
                  </w:r>
                </w:p>
                <w:p w14:paraId="64494BE4" w14:textId="77777777" w:rsidR="003462C3" w:rsidRPr="000C5130" w:rsidRDefault="003462C3" w:rsidP="005C7FE5">
                  <w:pPr>
                    <w:tabs>
                      <w:tab w:val="left" w:pos="720"/>
                    </w:tabs>
                    <w:jc w:val="both"/>
                    <w:rPr>
                      <w:rFonts w:ascii="Arial" w:hAnsi="Arial" w:cs="Arial"/>
                      <w:sz w:val="20"/>
                    </w:rPr>
                  </w:pPr>
                </w:p>
              </w:tc>
              <w:tc>
                <w:tcPr>
                  <w:tcW w:w="2102" w:type="dxa"/>
                  <w:shd w:val="clear" w:color="auto" w:fill="auto"/>
                </w:tcPr>
                <w:p w14:paraId="6AF162FC" w14:textId="59C9AF93" w:rsidR="003462C3" w:rsidRPr="000C5130" w:rsidRDefault="00102D62" w:rsidP="00D641CE">
                  <w:pPr>
                    <w:tabs>
                      <w:tab w:val="left" w:pos="720"/>
                    </w:tabs>
                    <w:jc w:val="center"/>
                    <w:rPr>
                      <w:rFonts w:ascii="Arial" w:hAnsi="Arial" w:cs="Arial"/>
                      <w:sz w:val="20"/>
                    </w:rPr>
                  </w:pPr>
                  <w:r>
                    <w:rPr>
                      <w:rFonts w:ascii="Arial" w:hAnsi="Arial" w:cs="Arial"/>
                      <w:sz w:val="20"/>
                    </w:rPr>
                    <w:t>4</w:t>
                  </w:r>
                  <w:r w:rsidR="00D641CE">
                    <w:rPr>
                      <w:rFonts w:ascii="Arial" w:hAnsi="Arial" w:cs="Arial"/>
                      <w:sz w:val="20"/>
                    </w:rPr>
                    <w:t>.0%</w:t>
                  </w:r>
                </w:p>
              </w:tc>
              <w:tc>
                <w:tcPr>
                  <w:tcW w:w="2103" w:type="dxa"/>
                  <w:shd w:val="clear" w:color="auto" w:fill="auto"/>
                </w:tcPr>
                <w:p w14:paraId="496F52BC" w14:textId="77777777" w:rsidR="003462C3" w:rsidRPr="000C5130" w:rsidRDefault="003462C3" w:rsidP="005C7FE5">
                  <w:pPr>
                    <w:tabs>
                      <w:tab w:val="left" w:pos="720"/>
                    </w:tabs>
                    <w:jc w:val="both"/>
                    <w:rPr>
                      <w:rFonts w:ascii="Arial" w:hAnsi="Arial" w:cs="Arial"/>
                      <w:sz w:val="20"/>
                    </w:rPr>
                  </w:pPr>
                </w:p>
              </w:tc>
            </w:tr>
            <w:tr w:rsidR="003462C3" w:rsidRPr="000C5130" w14:paraId="08165483" w14:textId="77777777" w:rsidTr="00076255">
              <w:trPr>
                <w:trHeight w:val="553"/>
              </w:trPr>
              <w:tc>
                <w:tcPr>
                  <w:tcW w:w="3264" w:type="dxa"/>
                  <w:shd w:val="clear" w:color="auto" w:fill="auto"/>
                </w:tcPr>
                <w:p w14:paraId="164D1AB3" w14:textId="77777777" w:rsidR="003462C3" w:rsidRDefault="003462C3" w:rsidP="005C7FE5">
                  <w:pPr>
                    <w:tabs>
                      <w:tab w:val="left" w:pos="720"/>
                    </w:tabs>
                    <w:jc w:val="both"/>
                    <w:rPr>
                      <w:rFonts w:ascii="Arial" w:hAnsi="Arial" w:cs="Arial"/>
                      <w:sz w:val="20"/>
                    </w:rPr>
                  </w:pPr>
                  <w:r>
                    <w:rPr>
                      <w:rFonts w:ascii="Arial" w:hAnsi="Arial" w:cs="Arial"/>
                      <w:sz w:val="20"/>
                    </w:rPr>
                    <w:t>Black Women Owned</w:t>
                  </w:r>
                </w:p>
              </w:tc>
              <w:tc>
                <w:tcPr>
                  <w:tcW w:w="2102" w:type="dxa"/>
                  <w:shd w:val="clear" w:color="auto" w:fill="auto"/>
                </w:tcPr>
                <w:p w14:paraId="2706028C" w14:textId="77777777" w:rsidR="003462C3" w:rsidRPr="000C5130" w:rsidRDefault="00D641CE" w:rsidP="00D641CE">
                  <w:pPr>
                    <w:tabs>
                      <w:tab w:val="left" w:pos="720"/>
                    </w:tabs>
                    <w:jc w:val="center"/>
                    <w:rPr>
                      <w:rFonts w:ascii="Arial" w:hAnsi="Arial" w:cs="Arial"/>
                      <w:sz w:val="20"/>
                    </w:rPr>
                  </w:pPr>
                  <w:r>
                    <w:rPr>
                      <w:rFonts w:ascii="Arial" w:hAnsi="Arial" w:cs="Arial"/>
                      <w:sz w:val="20"/>
                    </w:rPr>
                    <w:t>3.0%</w:t>
                  </w:r>
                </w:p>
              </w:tc>
              <w:tc>
                <w:tcPr>
                  <w:tcW w:w="2103" w:type="dxa"/>
                  <w:shd w:val="clear" w:color="auto" w:fill="auto"/>
                </w:tcPr>
                <w:p w14:paraId="2C9C6D35" w14:textId="77777777" w:rsidR="003462C3" w:rsidRPr="000C5130" w:rsidRDefault="003462C3" w:rsidP="005C7FE5">
                  <w:pPr>
                    <w:tabs>
                      <w:tab w:val="left" w:pos="720"/>
                    </w:tabs>
                    <w:jc w:val="both"/>
                    <w:rPr>
                      <w:rFonts w:ascii="Arial" w:hAnsi="Arial" w:cs="Arial"/>
                      <w:sz w:val="20"/>
                    </w:rPr>
                  </w:pPr>
                </w:p>
              </w:tc>
            </w:tr>
            <w:tr w:rsidR="003462C3" w:rsidRPr="000C5130" w14:paraId="2932B18B" w14:textId="77777777" w:rsidTr="00076255">
              <w:trPr>
                <w:trHeight w:val="553"/>
              </w:trPr>
              <w:tc>
                <w:tcPr>
                  <w:tcW w:w="3264" w:type="dxa"/>
                  <w:shd w:val="clear" w:color="auto" w:fill="auto"/>
                </w:tcPr>
                <w:p w14:paraId="5BB4D94A" w14:textId="77777777" w:rsidR="003462C3" w:rsidRDefault="003462C3" w:rsidP="005C7FE5">
                  <w:pPr>
                    <w:tabs>
                      <w:tab w:val="left" w:pos="720"/>
                    </w:tabs>
                    <w:jc w:val="both"/>
                    <w:rPr>
                      <w:rFonts w:ascii="Arial" w:hAnsi="Arial" w:cs="Arial"/>
                      <w:sz w:val="20"/>
                    </w:rPr>
                  </w:pPr>
                  <w:r>
                    <w:rPr>
                      <w:rFonts w:ascii="Arial" w:hAnsi="Arial" w:cs="Arial"/>
                      <w:sz w:val="20"/>
                    </w:rPr>
                    <w:t>Black Youth Owned</w:t>
                  </w:r>
                </w:p>
              </w:tc>
              <w:tc>
                <w:tcPr>
                  <w:tcW w:w="2102" w:type="dxa"/>
                  <w:shd w:val="clear" w:color="auto" w:fill="auto"/>
                </w:tcPr>
                <w:p w14:paraId="4400D276" w14:textId="77777777" w:rsidR="003462C3" w:rsidRPr="000C5130" w:rsidRDefault="00D641CE" w:rsidP="00D641CE">
                  <w:pPr>
                    <w:tabs>
                      <w:tab w:val="left" w:pos="720"/>
                    </w:tabs>
                    <w:jc w:val="center"/>
                    <w:rPr>
                      <w:rFonts w:ascii="Arial" w:hAnsi="Arial" w:cs="Arial"/>
                      <w:sz w:val="20"/>
                    </w:rPr>
                  </w:pPr>
                  <w:r>
                    <w:rPr>
                      <w:rFonts w:ascii="Arial" w:hAnsi="Arial" w:cs="Arial"/>
                      <w:sz w:val="20"/>
                    </w:rPr>
                    <w:t>2.0%</w:t>
                  </w:r>
                </w:p>
              </w:tc>
              <w:tc>
                <w:tcPr>
                  <w:tcW w:w="2103" w:type="dxa"/>
                  <w:shd w:val="clear" w:color="auto" w:fill="auto"/>
                </w:tcPr>
                <w:p w14:paraId="6E96C5E4" w14:textId="77777777" w:rsidR="003462C3" w:rsidRPr="000C5130" w:rsidRDefault="003462C3" w:rsidP="005C7FE5">
                  <w:pPr>
                    <w:tabs>
                      <w:tab w:val="left" w:pos="720"/>
                    </w:tabs>
                    <w:jc w:val="both"/>
                    <w:rPr>
                      <w:rFonts w:ascii="Arial" w:hAnsi="Arial" w:cs="Arial"/>
                      <w:sz w:val="20"/>
                    </w:rPr>
                  </w:pPr>
                </w:p>
              </w:tc>
            </w:tr>
            <w:tr w:rsidR="003462C3" w:rsidRPr="000C5130" w14:paraId="54BD91C6" w14:textId="77777777" w:rsidTr="00076255">
              <w:trPr>
                <w:trHeight w:val="553"/>
              </w:trPr>
              <w:tc>
                <w:tcPr>
                  <w:tcW w:w="3264" w:type="dxa"/>
                  <w:shd w:val="clear" w:color="auto" w:fill="auto"/>
                </w:tcPr>
                <w:p w14:paraId="18D1E2C3" w14:textId="77777777" w:rsidR="003462C3" w:rsidRDefault="003462C3" w:rsidP="005C7FE5">
                  <w:pPr>
                    <w:tabs>
                      <w:tab w:val="left" w:pos="720"/>
                    </w:tabs>
                    <w:jc w:val="both"/>
                    <w:rPr>
                      <w:rFonts w:ascii="Arial" w:hAnsi="Arial" w:cs="Arial"/>
                      <w:sz w:val="20"/>
                    </w:rPr>
                  </w:pPr>
                  <w:r>
                    <w:rPr>
                      <w:rFonts w:ascii="Arial" w:hAnsi="Arial" w:cs="Arial"/>
                      <w:sz w:val="20"/>
                    </w:rPr>
                    <w:t>Black Persons with Disability</w:t>
                  </w:r>
                </w:p>
              </w:tc>
              <w:tc>
                <w:tcPr>
                  <w:tcW w:w="2102" w:type="dxa"/>
                  <w:shd w:val="clear" w:color="auto" w:fill="auto"/>
                </w:tcPr>
                <w:p w14:paraId="46F50E55" w14:textId="77777777" w:rsidR="003462C3" w:rsidRPr="000C5130" w:rsidRDefault="00D641CE" w:rsidP="00D641CE">
                  <w:pPr>
                    <w:tabs>
                      <w:tab w:val="left" w:pos="720"/>
                    </w:tabs>
                    <w:jc w:val="center"/>
                    <w:rPr>
                      <w:rFonts w:ascii="Arial" w:hAnsi="Arial" w:cs="Arial"/>
                      <w:sz w:val="20"/>
                    </w:rPr>
                  </w:pPr>
                  <w:r>
                    <w:rPr>
                      <w:rFonts w:ascii="Arial" w:hAnsi="Arial" w:cs="Arial"/>
                      <w:sz w:val="20"/>
                    </w:rPr>
                    <w:t>1.0%</w:t>
                  </w:r>
                </w:p>
              </w:tc>
              <w:tc>
                <w:tcPr>
                  <w:tcW w:w="2103" w:type="dxa"/>
                  <w:shd w:val="clear" w:color="auto" w:fill="auto"/>
                </w:tcPr>
                <w:p w14:paraId="4233B543" w14:textId="77777777" w:rsidR="003462C3" w:rsidRPr="000C5130" w:rsidRDefault="003462C3" w:rsidP="005C7FE5">
                  <w:pPr>
                    <w:tabs>
                      <w:tab w:val="left" w:pos="720"/>
                    </w:tabs>
                    <w:jc w:val="both"/>
                    <w:rPr>
                      <w:rFonts w:ascii="Arial" w:hAnsi="Arial" w:cs="Arial"/>
                      <w:sz w:val="20"/>
                    </w:rPr>
                  </w:pPr>
                </w:p>
              </w:tc>
            </w:tr>
          </w:tbl>
          <w:p w14:paraId="078E28E2" w14:textId="77777777" w:rsidR="00861BE0" w:rsidRDefault="00861BE0" w:rsidP="00861BE0">
            <w:pPr>
              <w:pStyle w:val="ListParagraph"/>
              <w:rPr>
                <w:rFonts w:ascii="Arial" w:hAnsi="Arial" w:cs="Arial"/>
                <w:sz w:val="20"/>
                <w:lang w:val="en-ZA"/>
              </w:rPr>
            </w:pPr>
          </w:p>
          <w:p w14:paraId="73C3124E" w14:textId="77777777" w:rsidR="00861BE0" w:rsidRPr="00861BE0" w:rsidRDefault="00861BE0" w:rsidP="00861BE0">
            <w:pPr>
              <w:tabs>
                <w:tab w:val="left" w:pos="720"/>
              </w:tabs>
              <w:spacing w:line="276" w:lineRule="auto"/>
              <w:jc w:val="both"/>
              <w:rPr>
                <w:rFonts w:ascii="Arial" w:hAnsi="Arial" w:cs="Arial"/>
                <w:sz w:val="20"/>
                <w:lang w:val="en-ZA"/>
              </w:rPr>
            </w:pPr>
          </w:p>
          <w:p w14:paraId="1DA240FC"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74A3C6C1" w14:textId="77777777" w:rsidR="000263D8" w:rsidRPr="00FA31B2" w:rsidRDefault="000263D8"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FA31B2" w:rsidRPr="000C5130" w14:paraId="5AE8494C" w14:textId="77777777" w:rsidTr="00945A9E">
              <w:trPr>
                <w:trHeight w:val="323"/>
              </w:trPr>
              <w:tc>
                <w:tcPr>
                  <w:tcW w:w="3783" w:type="dxa"/>
                  <w:shd w:val="clear" w:color="auto" w:fill="D9D9D9" w:themeFill="background1" w:themeFillShade="D9"/>
                </w:tcPr>
                <w:p w14:paraId="4A0CD7B1"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783" w:type="dxa"/>
                  <w:shd w:val="clear" w:color="auto" w:fill="D9D9D9" w:themeFill="background1" w:themeFillShade="D9"/>
                </w:tcPr>
                <w:p w14:paraId="69BB8B9F"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69A86844" w14:textId="77777777" w:rsidTr="00945A9E">
              <w:trPr>
                <w:trHeight w:val="340"/>
              </w:trPr>
              <w:tc>
                <w:tcPr>
                  <w:tcW w:w="3783" w:type="dxa"/>
                  <w:shd w:val="clear" w:color="auto" w:fill="auto"/>
                </w:tcPr>
                <w:p w14:paraId="1C50D016" w14:textId="77777777" w:rsidR="00FA31B2" w:rsidRPr="000C5130" w:rsidRDefault="00FA31B2" w:rsidP="00FA31B2">
                  <w:pPr>
                    <w:tabs>
                      <w:tab w:val="left" w:pos="720"/>
                    </w:tabs>
                    <w:spacing w:line="276" w:lineRule="auto"/>
                    <w:jc w:val="both"/>
                    <w:rPr>
                      <w:rFonts w:ascii="Arial" w:hAnsi="Arial" w:cs="Arial"/>
                      <w:sz w:val="20"/>
                    </w:rPr>
                  </w:pPr>
                </w:p>
              </w:tc>
              <w:tc>
                <w:tcPr>
                  <w:tcW w:w="3783" w:type="dxa"/>
                  <w:shd w:val="clear" w:color="auto" w:fill="auto"/>
                </w:tcPr>
                <w:p w14:paraId="634BAFE9" w14:textId="77777777" w:rsidR="00FA31B2" w:rsidRPr="000C5130" w:rsidRDefault="00FA31B2" w:rsidP="00FA31B2">
                  <w:pPr>
                    <w:tabs>
                      <w:tab w:val="left" w:pos="720"/>
                    </w:tabs>
                    <w:spacing w:line="276" w:lineRule="auto"/>
                    <w:jc w:val="both"/>
                    <w:rPr>
                      <w:rFonts w:ascii="Arial" w:hAnsi="Arial" w:cs="Arial"/>
                      <w:sz w:val="20"/>
                    </w:rPr>
                  </w:pPr>
                </w:p>
              </w:tc>
            </w:tr>
          </w:tbl>
          <w:p w14:paraId="7CB4E4BF" w14:textId="77777777" w:rsidR="00FA31B2" w:rsidRDefault="00FA31B2" w:rsidP="00FA31B2">
            <w:pPr>
              <w:tabs>
                <w:tab w:val="left" w:pos="720"/>
              </w:tabs>
              <w:spacing w:line="360" w:lineRule="auto"/>
              <w:ind w:left="360"/>
              <w:jc w:val="both"/>
              <w:rPr>
                <w:rFonts w:ascii="Arial" w:hAnsi="Arial" w:cs="Arial"/>
                <w:b/>
                <w:sz w:val="20"/>
                <w:lang w:val="en-ZA"/>
              </w:rPr>
            </w:pPr>
          </w:p>
          <w:p w14:paraId="42B870BE"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38C9FE84"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FA31B2" w:rsidRPr="000C5130" w14:paraId="3D38C628" w14:textId="77777777" w:rsidTr="006E4F88">
              <w:trPr>
                <w:trHeight w:val="323"/>
              </w:trPr>
              <w:tc>
                <w:tcPr>
                  <w:tcW w:w="3783" w:type="dxa"/>
                  <w:shd w:val="clear" w:color="auto" w:fill="D9D9D9" w:themeFill="background1" w:themeFillShade="D9"/>
                </w:tcPr>
                <w:p w14:paraId="3835F175"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14:paraId="087CF7BD"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0FFE56DF" w14:textId="77777777" w:rsidTr="006E4F88">
              <w:trPr>
                <w:trHeight w:val="340"/>
              </w:trPr>
              <w:tc>
                <w:tcPr>
                  <w:tcW w:w="3783" w:type="dxa"/>
                  <w:shd w:val="clear" w:color="auto" w:fill="auto"/>
                </w:tcPr>
                <w:p w14:paraId="4616C4B9" w14:textId="77777777" w:rsidR="006E4F88" w:rsidRPr="000C5130" w:rsidRDefault="006E4F88" w:rsidP="006E4F88">
                  <w:pPr>
                    <w:tabs>
                      <w:tab w:val="left" w:pos="720"/>
                    </w:tabs>
                    <w:spacing w:line="276" w:lineRule="auto"/>
                    <w:jc w:val="both"/>
                    <w:rPr>
                      <w:rFonts w:ascii="Arial" w:hAnsi="Arial" w:cs="Arial"/>
                      <w:sz w:val="20"/>
                    </w:rPr>
                  </w:pPr>
                </w:p>
              </w:tc>
              <w:tc>
                <w:tcPr>
                  <w:tcW w:w="3783" w:type="dxa"/>
                  <w:shd w:val="clear" w:color="auto" w:fill="auto"/>
                </w:tcPr>
                <w:p w14:paraId="7285BF07" w14:textId="77777777" w:rsidR="006E4F88" w:rsidRPr="000C5130" w:rsidRDefault="006E4F88" w:rsidP="006E4F88">
                  <w:pPr>
                    <w:tabs>
                      <w:tab w:val="left" w:pos="720"/>
                    </w:tabs>
                    <w:spacing w:line="276" w:lineRule="auto"/>
                    <w:jc w:val="both"/>
                    <w:rPr>
                      <w:rFonts w:ascii="Arial" w:hAnsi="Arial" w:cs="Arial"/>
                      <w:sz w:val="20"/>
                    </w:rPr>
                  </w:pPr>
                </w:p>
              </w:tc>
            </w:tr>
          </w:tbl>
          <w:p w14:paraId="2B576F12" w14:textId="77777777" w:rsidR="006E4F88" w:rsidRDefault="006E4F88" w:rsidP="006E4F88">
            <w:pPr>
              <w:pStyle w:val="ListParagraph"/>
              <w:rPr>
                <w:rFonts w:ascii="Arial" w:hAnsi="Arial" w:cs="Arial"/>
                <w:b/>
                <w:sz w:val="20"/>
                <w:lang w:val="en-ZA"/>
              </w:rPr>
            </w:pPr>
          </w:p>
          <w:p w14:paraId="544CD902" w14:textId="77777777" w:rsidR="006E4F88" w:rsidRDefault="006E4F88" w:rsidP="006E4F88">
            <w:pPr>
              <w:pStyle w:val="ListParagraph"/>
              <w:rPr>
                <w:rFonts w:ascii="Arial" w:hAnsi="Arial" w:cs="Arial"/>
                <w:b/>
                <w:sz w:val="20"/>
                <w:lang w:val="en-ZA"/>
              </w:rPr>
            </w:pPr>
          </w:p>
          <w:p w14:paraId="232E08E8" w14:textId="77777777" w:rsidR="006E4F88" w:rsidRDefault="006E4F88" w:rsidP="006E4F88">
            <w:pPr>
              <w:pStyle w:val="ListParagraph"/>
              <w:rPr>
                <w:rFonts w:ascii="Arial" w:hAnsi="Arial" w:cs="Arial"/>
                <w:b/>
                <w:sz w:val="20"/>
                <w:lang w:val="en-ZA"/>
              </w:rPr>
            </w:pPr>
          </w:p>
          <w:p w14:paraId="38186454" w14:textId="77777777" w:rsidR="003127C7" w:rsidRDefault="003127C7" w:rsidP="007F15E3">
            <w:pPr>
              <w:tabs>
                <w:tab w:val="left" w:pos="720"/>
              </w:tabs>
              <w:spacing w:line="276" w:lineRule="auto"/>
              <w:jc w:val="both"/>
              <w:rPr>
                <w:rFonts w:ascii="Arial" w:hAnsi="Arial" w:cs="Arial"/>
                <w:b/>
                <w:sz w:val="20"/>
                <w:lang w:val="en-ZA"/>
              </w:rPr>
            </w:pPr>
          </w:p>
          <w:p w14:paraId="1ACDBF43" w14:textId="77777777" w:rsidR="00D641CE" w:rsidRDefault="00D641CE" w:rsidP="00D641CE">
            <w:pPr>
              <w:tabs>
                <w:tab w:val="left" w:pos="720"/>
              </w:tabs>
              <w:spacing w:line="276" w:lineRule="auto"/>
              <w:ind w:left="360"/>
              <w:jc w:val="both"/>
              <w:rPr>
                <w:rFonts w:ascii="Arial" w:hAnsi="Arial" w:cs="Arial"/>
                <w:b/>
                <w:sz w:val="20"/>
                <w:lang w:val="en-ZA"/>
              </w:rPr>
            </w:pPr>
          </w:p>
          <w:p w14:paraId="622F3186"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78BC6C2" w14:textId="77777777" w:rsidR="00506A41" w:rsidRDefault="00506A41" w:rsidP="00737B23">
            <w:pPr>
              <w:tabs>
                <w:tab w:val="left" w:pos="720"/>
              </w:tabs>
              <w:jc w:val="both"/>
              <w:rPr>
                <w:rFonts w:ascii="Arial" w:hAnsi="Arial" w:cs="Arial"/>
                <w:sz w:val="20"/>
              </w:rPr>
            </w:pPr>
          </w:p>
          <w:p w14:paraId="5854DB97"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r w:rsidR="002319CA">
              <w:rPr>
                <w:rFonts w:ascii="Arial" w:hAnsi="Arial" w:cs="Arial"/>
                <w:sz w:val="20"/>
              </w:rPr>
              <w:t>Mict</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all provinces in the country, and their composition shall be representative of the population demographics of South Africa</w:t>
            </w:r>
          </w:p>
          <w:p w14:paraId="4A7904E6" w14:textId="3BA9C443" w:rsidR="00AF6824" w:rsidRDefault="00AF6824" w:rsidP="00AF6824">
            <w:pPr>
              <w:tabs>
                <w:tab w:val="left" w:pos="720"/>
              </w:tabs>
              <w:jc w:val="both"/>
              <w:rPr>
                <w:rFonts w:ascii="Arial" w:hAnsi="Arial" w:cs="Arial"/>
                <w:sz w:val="20"/>
                <w:lang w:val="en-ZA"/>
              </w:rPr>
            </w:pPr>
          </w:p>
          <w:p w14:paraId="7ADB0572" w14:textId="77777777" w:rsidR="00717531" w:rsidRDefault="00717531"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701"/>
              <w:gridCol w:w="2127"/>
            </w:tblGrid>
            <w:tr w:rsidR="00717531" w:rsidRPr="000C5130" w14:paraId="34801E20" w14:textId="77777777" w:rsidTr="00D50A72">
              <w:trPr>
                <w:trHeight w:val="359"/>
              </w:trPr>
              <w:tc>
                <w:tcPr>
                  <w:tcW w:w="3811" w:type="dxa"/>
                  <w:shd w:val="clear" w:color="auto" w:fill="D9D9D9" w:themeFill="background1" w:themeFillShade="D9"/>
                </w:tcPr>
                <w:p w14:paraId="44BC51CF" w14:textId="77777777" w:rsidR="00717531" w:rsidRPr="000C5130" w:rsidRDefault="00717531" w:rsidP="00717531">
                  <w:pPr>
                    <w:tabs>
                      <w:tab w:val="left" w:pos="720"/>
                    </w:tabs>
                    <w:jc w:val="center"/>
                    <w:rPr>
                      <w:rFonts w:ascii="Arial" w:hAnsi="Arial" w:cs="Arial"/>
                      <w:b/>
                      <w:sz w:val="20"/>
                    </w:rPr>
                  </w:pPr>
                  <w:r>
                    <w:rPr>
                      <w:rFonts w:ascii="Arial" w:hAnsi="Arial" w:cs="Arial"/>
                      <w:b/>
                      <w:sz w:val="20"/>
                    </w:rPr>
                    <w:t>Skill type / Occupation</w:t>
                  </w:r>
                </w:p>
              </w:tc>
              <w:tc>
                <w:tcPr>
                  <w:tcW w:w="1701" w:type="dxa"/>
                  <w:shd w:val="clear" w:color="auto" w:fill="D9D9D9" w:themeFill="background1" w:themeFillShade="D9"/>
                </w:tcPr>
                <w:p w14:paraId="079B3C02" w14:textId="77777777" w:rsidR="00717531" w:rsidRDefault="00717531" w:rsidP="00717531">
                  <w:pPr>
                    <w:tabs>
                      <w:tab w:val="left" w:pos="720"/>
                    </w:tabs>
                    <w:jc w:val="center"/>
                    <w:rPr>
                      <w:rFonts w:ascii="Arial" w:hAnsi="Arial" w:cs="Arial"/>
                      <w:b/>
                      <w:sz w:val="20"/>
                    </w:rPr>
                  </w:pPr>
                  <w:r>
                    <w:rPr>
                      <w:rFonts w:ascii="Arial" w:hAnsi="Arial" w:cs="Arial"/>
                      <w:b/>
                      <w:sz w:val="20"/>
                    </w:rPr>
                    <w:t>Eskom target</w:t>
                  </w:r>
                </w:p>
              </w:tc>
              <w:tc>
                <w:tcPr>
                  <w:tcW w:w="2127" w:type="dxa"/>
                  <w:shd w:val="clear" w:color="auto" w:fill="D9D9D9" w:themeFill="background1" w:themeFillShade="D9"/>
                </w:tcPr>
                <w:p w14:paraId="6959C8FA" w14:textId="77777777" w:rsidR="00717531" w:rsidRPr="000C5130" w:rsidRDefault="00717531" w:rsidP="00717531">
                  <w:pPr>
                    <w:tabs>
                      <w:tab w:val="left" w:pos="720"/>
                    </w:tabs>
                    <w:jc w:val="center"/>
                    <w:rPr>
                      <w:rFonts w:ascii="Arial" w:hAnsi="Arial" w:cs="Arial"/>
                      <w:b/>
                      <w:sz w:val="20"/>
                    </w:rPr>
                  </w:pPr>
                  <w:r>
                    <w:rPr>
                      <w:rFonts w:ascii="Arial" w:hAnsi="Arial" w:cs="Arial"/>
                      <w:b/>
                      <w:sz w:val="20"/>
                    </w:rPr>
                    <w:t>Proposed Number of Candidates</w:t>
                  </w:r>
                </w:p>
              </w:tc>
            </w:tr>
            <w:tr w:rsidR="00717531" w:rsidRPr="000C5130" w14:paraId="2D9EF42B" w14:textId="77777777" w:rsidTr="00D50A72">
              <w:trPr>
                <w:trHeight w:val="359"/>
              </w:trPr>
              <w:tc>
                <w:tcPr>
                  <w:tcW w:w="3811" w:type="dxa"/>
                  <w:shd w:val="clear" w:color="auto" w:fill="auto"/>
                  <w:vAlign w:val="bottom"/>
                </w:tcPr>
                <w:p w14:paraId="32107C68" w14:textId="1A7437E3" w:rsidR="00717531" w:rsidRPr="008A3FC8" w:rsidRDefault="00F844C1" w:rsidP="00717531">
                  <w:pPr>
                    <w:spacing w:line="276" w:lineRule="auto"/>
                    <w:rPr>
                      <w:rFonts w:ascii="Arial" w:hAnsi="Arial" w:cs="Arial"/>
                      <w:sz w:val="20"/>
                    </w:rPr>
                  </w:pPr>
                  <w:r>
                    <w:rPr>
                      <w:rFonts w:ascii="Arial" w:hAnsi="Arial" w:cs="Arial"/>
                      <w:sz w:val="20"/>
                    </w:rPr>
                    <w:t>Software developer</w:t>
                  </w:r>
                </w:p>
              </w:tc>
              <w:tc>
                <w:tcPr>
                  <w:tcW w:w="1701" w:type="dxa"/>
                </w:tcPr>
                <w:p w14:paraId="3D815FE6" w14:textId="7295EF0C" w:rsidR="00717531" w:rsidRDefault="00F844C1" w:rsidP="00717531">
                  <w:pPr>
                    <w:jc w:val="center"/>
                    <w:rPr>
                      <w:rFonts w:ascii="Arial" w:hAnsi="Arial" w:cs="Arial"/>
                      <w:sz w:val="20"/>
                    </w:rPr>
                  </w:pPr>
                  <w:r>
                    <w:rPr>
                      <w:rFonts w:ascii="Arial" w:hAnsi="Arial" w:cs="Arial"/>
                      <w:sz w:val="20"/>
                    </w:rPr>
                    <w:t>10</w:t>
                  </w:r>
                </w:p>
              </w:tc>
              <w:tc>
                <w:tcPr>
                  <w:tcW w:w="2127" w:type="dxa"/>
                </w:tcPr>
                <w:p w14:paraId="2748C449" w14:textId="77777777" w:rsidR="00717531" w:rsidRPr="008A3FC8" w:rsidRDefault="00717531" w:rsidP="00717531">
                  <w:pPr>
                    <w:tabs>
                      <w:tab w:val="left" w:pos="720"/>
                    </w:tabs>
                    <w:jc w:val="center"/>
                    <w:rPr>
                      <w:rFonts w:ascii="Arial" w:hAnsi="Arial" w:cs="Arial"/>
                      <w:b/>
                      <w:sz w:val="20"/>
                    </w:rPr>
                  </w:pPr>
                </w:p>
              </w:tc>
            </w:tr>
            <w:tr w:rsidR="00717531" w:rsidRPr="000C5130" w14:paraId="6B86919F" w14:textId="77777777" w:rsidTr="00D50A72">
              <w:trPr>
                <w:trHeight w:val="359"/>
              </w:trPr>
              <w:tc>
                <w:tcPr>
                  <w:tcW w:w="3811" w:type="dxa"/>
                  <w:shd w:val="clear" w:color="auto" w:fill="auto"/>
                  <w:vAlign w:val="bottom"/>
                </w:tcPr>
                <w:p w14:paraId="4609F2AF" w14:textId="77777777" w:rsidR="00717531" w:rsidRPr="008A3FC8" w:rsidRDefault="00717531" w:rsidP="00717531">
                  <w:pPr>
                    <w:spacing w:line="276" w:lineRule="auto"/>
                    <w:rPr>
                      <w:rFonts w:ascii="Arial" w:hAnsi="Arial" w:cs="Arial"/>
                      <w:sz w:val="20"/>
                    </w:rPr>
                  </w:pPr>
                  <w:r>
                    <w:rPr>
                      <w:rFonts w:ascii="Arial" w:hAnsi="Arial" w:cs="Arial"/>
                      <w:sz w:val="20"/>
                    </w:rPr>
                    <w:t>Cyber security technician</w:t>
                  </w:r>
                </w:p>
              </w:tc>
              <w:tc>
                <w:tcPr>
                  <w:tcW w:w="1701" w:type="dxa"/>
                </w:tcPr>
                <w:p w14:paraId="06AFEDFB" w14:textId="296221B5" w:rsidR="00717531" w:rsidRDefault="00F844C1" w:rsidP="00717531">
                  <w:pPr>
                    <w:jc w:val="center"/>
                    <w:rPr>
                      <w:rFonts w:ascii="Arial" w:hAnsi="Arial" w:cs="Arial"/>
                      <w:sz w:val="20"/>
                    </w:rPr>
                  </w:pPr>
                  <w:r>
                    <w:rPr>
                      <w:rFonts w:ascii="Arial" w:hAnsi="Arial" w:cs="Arial"/>
                      <w:sz w:val="20"/>
                    </w:rPr>
                    <w:t>20</w:t>
                  </w:r>
                </w:p>
              </w:tc>
              <w:tc>
                <w:tcPr>
                  <w:tcW w:w="2127" w:type="dxa"/>
                </w:tcPr>
                <w:p w14:paraId="264977D3" w14:textId="77777777" w:rsidR="00717531" w:rsidRPr="008A3FC8" w:rsidRDefault="00717531" w:rsidP="00717531">
                  <w:pPr>
                    <w:tabs>
                      <w:tab w:val="left" w:pos="720"/>
                    </w:tabs>
                    <w:jc w:val="center"/>
                    <w:rPr>
                      <w:rFonts w:ascii="Arial" w:hAnsi="Arial" w:cs="Arial"/>
                      <w:b/>
                      <w:sz w:val="20"/>
                    </w:rPr>
                  </w:pPr>
                </w:p>
              </w:tc>
            </w:tr>
            <w:tr w:rsidR="00717531" w:rsidRPr="000C5130" w14:paraId="42D51B8F" w14:textId="77777777" w:rsidTr="00D50A72">
              <w:trPr>
                <w:trHeight w:val="359"/>
              </w:trPr>
              <w:tc>
                <w:tcPr>
                  <w:tcW w:w="3811" w:type="dxa"/>
                  <w:shd w:val="clear" w:color="auto" w:fill="auto"/>
                  <w:vAlign w:val="bottom"/>
                </w:tcPr>
                <w:p w14:paraId="248D74E7" w14:textId="2D946756" w:rsidR="00717531" w:rsidRDefault="00D50A72" w:rsidP="00717531">
                  <w:pPr>
                    <w:spacing w:line="276" w:lineRule="auto"/>
                    <w:rPr>
                      <w:rFonts w:ascii="Arial" w:hAnsi="Arial" w:cs="Arial"/>
                      <w:sz w:val="20"/>
                    </w:rPr>
                  </w:pPr>
                  <w:r>
                    <w:rPr>
                      <w:rFonts w:ascii="Arial" w:hAnsi="Arial" w:cs="Arial"/>
                      <w:sz w:val="20"/>
                    </w:rPr>
                    <w:t xml:space="preserve">System </w:t>
                  </w:r>
                  <w:r w:rsidR="00717531">
                    <w:rPr>
                      <w:rFonts w:ascii="Arial" w:hAnsi="Arial" w:cs="Arial"/>
                      <w:sz w:val="20"/>
                    </w:rPr>
                    <w:t>administrator</w:t>
                  </w:r>
                </w:p>
              </w:tc>
              <w:tc>
                <w:tcPr>
                  <w:tcW w:w="1701" w:type="dxa"/>
                </w:tcPr>
                <w:p w14:paraId="61CA8A5F" w14:textId="2C642CE5" w:rsidR="00717531" w:rsidRDefault="00F844C1" w:rsidP="00717531">
                  <w:pPr>
                    <w:jc w:val="center"/>
                    <w:rPr>
                      <w:rFonts w:ascii="Arial" w:hAnsi="Arial" w:cs="Arial"/>
                      <w:sz w:val="20"/>
                    </w:rPr>
                  </w:pPr>
                  <w:r>
                    <w:rPr>
                      <w:rFonts w:ascii="Arial" w:hAnsi="Arial" w:cs="Arial"/>
                      <w:sz w:val="20"/>
                    </w:rPr>
                    <w:t>1</w:t>
                  </w:r>
                  <w:r w:rsidR="00907C78">
                    <w:rPr>
                      <w:rFonts w:ascii="Arial" w:hAnsi="Arial" w:cs="Arial"/>
                      <w:sz w:val="20"/>
                    </w:rPr>
                    <w:t>5</w:t>
                  </w:r>
                </w:p>
              </w:tc>
              <w:tc>
                <w:tcPr>
                  <w:tcW w:w="2127" w:type="dxa"/>
                </w:tcPr>
                <w:p w14:paraId="322B5127" w14:textId="77777777" w:rsidR="00717531" w:rsidRPr="008A3FC8" w:rsidRDefault="00717531" w:rsidP="00717531">
                  <w:pPr>
                    <w:tabs>
                      <w:tab w:val="left" w:pos="720"/>
                    </w:tabs>
                    <w:jc w:val="center"/>
                    <w:rPr>
                      <w:rFonts w:ascii="Arial" w:hAnsi="Arial" w:cs="Arial"/>
                      <w:b/>
                      <w:sz w:val="20"/>
                    </w:rPr>
                  </w:pPr>
                </w:p>
              </w:tc>
            </w:tr>
            <w:tr w:rsidR="00717531" w:rsidRPr="000C5130" w14:paraId="5025BA5C" w14:textId="77777777" w:rsidTr="00D50A72">
              <w:trPr>
                <w:trHeight w:val="359"/>
              </w:trPr>
              <w:tc>
                <w:tcPr>
                  <w:tcW w:w="3811" w:type="dxa"/>
                  <w:shd w:val="clear" w:color="auto" w:fill="auto"/>
                  <w:vAlign w:val="bottom"/>
                </w:tcPr>
                <w:p w14:paraId="048F275A" w14:textId="77777777" w:rsidR="00717531" w:rsidRDefault="00717531" w:rsidP="00717531">
                  <w:pPr>
                    <w:spacing w:line="276" w:lineRule="auto"/>
                    <w:rPr>
                      <w:rFonts w:ascii="Arial" w:hAnsi="Arial" w:cs="Arial"/>
                      <w:sz w:val="20"/>
                    </w:rPr>
                  </w:pPr>
                  <w:r>
                    <w:rPr>
                      <w:rFonts w:ascii="Arial" w:hAnsi="Arial" w:cs="Arial"/>
                      <w:sz w:val="20"/>
                    </w:rPr>
                    <w:t>Data analyst</w:t>
                  </w:r>
                </w:p>
              </w:tc>
              <w:tc>
                <w:tcPr>
                  <w:tcW w:w="1701" w:type="dxa"/>
                </w:tcPr>
                <w:p w14:paraId="02E5587A" w14:textId="6AE96CDB" w:rsidR="00717531" w:rsidRDefault="00717531" w:rsidP="00717531">
                  <w:pPr>
                    <w:jc w:val="center"/>
                    <w:rPr>
                      <w:rFonts w:ascii="Arial" w:hAnsi="Arial" w:cs="Arial"/>
                      <w:sz w:val="20"/>
                    </w:rPr>
                  </w:pPr>
                  <w:r>
                    <w:rPr>
                      <w:rFonts w:ascii="Arial" w:hAnsi="Arial" w:cs="Arial"/>
                      <w:sz w:val="20"/>
                    </w:rPr>
                    <w:t>1</w:t>
                  </w:r>
                  <w:r w:rsidR="00907C78">
                    <w:rPr>
                      <w:rFonts w:ascii="Arial" w:hAnsi="Arial" w:cs="Arial"/>
                      <w:sz w:val="20"/>
                    </w:rPr>
                    <w:t>5</w:t>
                  </w:r>
                </w:p>
              </w:tc>
              <w:tc>
                <w:tcPr>
                  <w:tcW w:w="2127" w:type="dxa"/>
                </w:tcPr>
                <w:p w14:paraId="337FFD50" w14:textId="77777777" w:rsidR="00717531" w:rsidRPr="008A3FC8" w:rsidRDefault="00717531" w:rsidP="00717531">
                  <w:pPr>
                    <w:tabs>
                      <w:tab w:val="left" w:pos="720"/>
                    </w:tabs>
                    <w:jc w:val="center"/>
                    <w:rPr>
                      <w:rFonts w:ascii="Arial" w:hAnsi="Arial" w:cs="Arial"/>
                      <w:b/>
                      <w:sz w:val="20"/>
                    </w:rPr>
                  </w:pPr>
                </w:p>
              </w:tc>
            </w:tr>
            <w:tr w:rsidR="00D50A72" w:rsidRPr="000C5130" w14:paraId="01806C69" w14:textId="77777777" w:rsidTr="00D50A72">
              <w:trPr>
                <w:trHeight w:val="359"/>
              </w:trPr>
              <w:tc>
                <w:tcPr>
                  <w:tcW w:w="3811" w:type="dxa"/>
                  <w:shd w:val="clear" w:color="auto" w:fill="auto"/>
                  <w:vAlign w:val="bottom"/>
                </w:tcPr>
                <w:p w14:paraId="4CE3E4AD" w14:textId="07A4D3F0" w:rsidR="00D50A72" w:rsidRPr="005B15B8" w:rsidRDefault="004D5FB5" w:rsidP="00717531">
                  <w:pPr>
                    <w:spacing w:line="276" w:lineRule="auto"/>
                    <w:rPr>
                      <w:rFonts w:ascii="Arial" w:hAnsi="Arial" w:cs="Arial"/>
                      <w:sz w:val="20"/>
                      <w:highlight w:val="yellow"/>
                    </w:rPr>
                  </w:pPr>
                  <w:r>
                    <w:rPr>
                      <w:rFonts w:ascii="Arial" w:hAnsi="Arial" w:cs="Arial"/>
                      <w:sz w:val="20"/>
                    </w:rPr>
                    <w:t>System integrator</w:t>
                  </w:r>
                  <w:r w:rsidR="00D50A72" w:rsidRPr="00F844C1">
                    <w:rPr>
                      <w:rFonts w:ascii="Arial" w:hAnsi="Arial" w:cs="Arial"/>
                      <w:sz w:val="20"/>
                    </w:rPr>
                    <w:t xml:space="preserve"> architect</w:t>
                  </w:r>
                </w:p>
              </w:tc>
              <w:tc>
                <w:tcPr>
                  <w:tcW w:w="1701" w:type="dxa"/>
                </w:tcPr>
                <w:p w14:paraId="5DC89B22" w14:textId="52B34EED" w:rsidR="00D50A72" w:rsidRDefault="00F844C1" w:rsidP="00717531">
                  <w:pPr>
                    <w:jc w:val="center"/>
                    <w:rPr>
                      <w:rFonts w:ascii="Arial" w:hAnsi="Arial" w:cs="Arial"/>
                      <w:sz w:val="20"/>
                    </w:rPr>
                  </w:pPr>
                  <w:r>
                    <w:rPr>
                      <w:rFonts w:ascii="Arial" w:hAnsi="Arial" w:cs="Arial"/>
                      <w:sz w:val="20"/>
                    </w:rPr>
                    <w:t>10</w:t>
                  </w:r>
                </w:p>
              </w:tc>
              <w:tc>
                <w:tcPr>
                  <w:tcW w:w="2127" w:type="dxa"/>
                </w:tcPr>
                <w:p w14:paraId="73F462D5" w14:textId="77777777" w:rsidR="00D50A72" w:rsidRPr="008A3FC8" w:rsidRDefault="00D50A72" w:rsidP="00717531">
                  <w:pPr>
                    <w:tabs>
                      <w:tab w:val="left" w:pos="720"/>
                    </w:tabs>
                    <w:jc w:val="center"/>
                    <w:rPr>
                      <w:rFonts w:ascii="Arial" w:hAnsi="Arial" w:cs="Arial"/>
                      <w:b/>
                      <w:sz w:val="20"/>
                    </w:rPr>
                  </w:pPr>
                </w:p>
              </w:tc>
            </w:tr>
            <w:tr w:rsidR="00252E23" w:rsidRPr="000C5130" w14:paraId="582905E6" w14:textId="77777777" w:rsidTr="00D50A72">
              <w:trPr>
                <w:trHeight w:val="359"/>
              </w:trPr>
              <w:tc>
                <w:tcPr>
                  <w:tcW w:w="3811" w:type="dxa"/>
                  <w:shd w:val="clear" w:color="auto" w:fill="auto"/>
                  <w:vAlign w:val="bottom"/>
                </w:tcPr>
                <w:p w14:paraId="250F7107" w14:textId="3F108409" w:rsidR="00252E23" w:rsidRPr="005B15B8" w:rsidRDefault="00F844C1" w:rsidP="00717531">
                  <w:pPr>
                    <w:spacing w:line="276" w:lineRule="auto"/>
                    <w:rPr>
                      <w:rFonts w:ascii="Arial" w:hAnsi="Arial" w:cs="Arial"/>
                      <w:sz w:val="20"/>
                      <w:highlight w:val="yellow"/>
                    </w:rPr>
                  </w:pPr>
                  <w:r w:rsidRPr="00F844C1">
                    <w:rPr>
                      <w:rFonts w:ascii="Arial" w:hAnsi="Arial" w:cs="Arial"/>
                      <w:sz w:val="20"/>
                    </w:rPr>
                    <w:lastRenderedPageBreak/>
                    <w:t>Advanced metering infrastructure</w:t>
                  </w:r>
                  <w:r w:rsidR="00252E23" w:rsidRPr="00F844C1">
                    <w:rPr>
                      <w:rFonts w:ascii="Arial" w:hAnsi="Arial" w:cs="Arial"/>
                      <w:sz w:val="20"/>
                    </w:rPr>
                    <w:t xml:space="preserve"> technician</w:t>
                  </w:r>
                </w:p>
              </w:tc>
              <w:tc>
                <w:tcPr>
                  <w:tcW w:w="1701" w:type="dxa"/>
                </w:tcPr>
                <w:p w14:paraId="5C6FD5DC" w14:textId="135A2072" w:rsidR="00252E23" w:rsidRDefault="00F844C1" w:rsidP="00717531">
                  <w:pPr>
                    <w:jc w:val="center"/>
                    <w:rPr>
                      <w:rFonts w:ascii="Arial" w:hAnsi="Arial" w:cs="Arial"/>
                      <w:sz w:val="20"/>
                    </w:rPr>
                  </w:pPr>
                  <w:r>
                    <w:rPr>
                      <w:rFonts w:ascii="Arial" w:hAnsi="Arial" w:cs="Arial"/>
                      <w:sz w:val="20"/>
                    </w:rPr>
                    <w:t>20</w:t>
                  </w:r>
                </w:p>
              </w:tc>
              <w:tc>
                <w:tcPr>
                  <w:tcW w:w="2127" w:type="dxa"/>
                </w:tcPr>
                <w:p w14:paraId="496C3B3A" w14:textId="77777777" w:rsidR="00252E23" w:rsidRPr="008A3FC8" w:rsidRDefault="00252E23" w:rsidP="00717531">
                  <w:pPr>
                    <w:tabs>
                      <w:tab w:val="left" w:pos="720"/>
                    </w:tabs>
                    <w:jc w:val="center"/>
                    <w:rPr>
                      <w:rFonts w:ascii="Arial" w:hAnsi="Arial" w:cs="Arial"/>
                      <w:b/>
                      <w:sz w:val="20"/>
                    </w:rPr>
                  </w:pPr>
                </w:p>
              </w:tc>
            </w:tr>
          </w:tbl>
          <w:p w14:paraId="1FBDCB9D" w14:textId="7404446F" w:rsidR="00D641CE" w:rsidRDefault="00D641CE" w:rsidP="00AF6824">
            <w:pPr>
              <w:tabs>
                <w:tab w:val="left" w:pos="720"/>
              </w:tabs>
              <w:jc w:val="both"/>
              <w:rPr>
                <w:rFonts w:ascii="Arial" w:hAnsi="Arial" w:cs="Arial"/>
                <w:sz w:val="20"/>
                <w:lang w:val="en-ZA"/>
              </w:rPr>
            </w:pPr>
          </w:p>
          <w:p w14:paraId="09088395" w14:textId="77777777" w:rsidR="00E500CF" w:rsidRDefault="00E500CF" w:rsidP="00E500CF">
            <w:pPr>
              <w:tabs>
                <w:tab w:val="left" w:pos="720"/>
              </w:tabs>
              <w:ind w:left="720"/>
              <w:jc w:val="both"/>
              <w:rPr>
                <w:rFonts w:ascii="Arial" w:hAnsi="Arial" w:cs="Arial"/>
                <w:sz w:val="20"/>
                <w:lang w:val="en-ZA"/>
              </w:rPr>
            </w:pPr>
          </w:p>
          <w:p w14:paraId="26AC9ED5" w14:textId="77777777" w:rsidR="00E500CF" w:rsidRDefault="00E500CF" w:rsidP="00AF6824">
            <w:pPr>
              <w:tabs>
                <w:tab w:val="left" w:pos="720"/>
              </w:tabs>
              <w:jc w:val="both"/>
              <w:rPr>
                <w:rFonts w:ascii="Arial" w:hAnsi="Arial" w:cs="Arial"/>
                <w:sz w:val="20"/>
                <w:lang w:val="en-ZA"/>
              </w:rPr>
            </w:pPr>
          </w:p>
          <w:p w14:paraId="47561198"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also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BEDC13F"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7B1B5D3C"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63D4AE59" w14:textId="77777777" w:rsidR="00AF6824" w:rsidRPr="000C5130" w:rsidRDefault="00AF6824" w:rsidP="00737B23">
            <w:pPr>
              <w:tabs>
                <w:tab w:val="left" w:pos="720"/>
              </w:tabs>
              <w:jc w:val="both"/>
              <w:rPr>
                <w:rFonts w:ascii="Arial" w:hAnsi="Arial" w:cs="Arial"/>
                <w:sz w:val="20"/>
              </w:rPr>
            </w:pPr>
          </w:p>
        </w:tc>
      </w:tr>
    </w:tbl>
    <w:p w14:paraId="0F577597" w14:textId="77777777" w:rsidR="00A346F0" w:rsidRDefault="00A346F0" w:rsidP="00EB6A30">
      <w:pPr>
        <w:spacing w:after="120" w:line="276" w:lineRule="auto"/>
        <w:rPr>
          <w:rFonts w:ascii="Arial" w:hAnsi="Arial" w:cs="Arial"/>
          <w:b/>
          <w:sz w:val="22"/>
        </w:rPr>
      </w:pPr>
    </w:p>
    <w:p w14:paraId="2946DFD3"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2BDEB64E" w14:textId="77777777" w:rsidTr="00987ACB">
        <w:tc>
          <w:tcPr>
            <w:tcW w:w="9050" w:type="dxa"/>
            <w:shd w:val="clear" w:color="auto" w:fill="000000"/>
          </w:tcPr>
          <w:p w14:paraId="1F055D73"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2195032C" w14:textId="77777777" w:rsidTr="006E4F88">
        <w:trPr>
          <w:trHeight w:val="1046"/>
        </w:trPr>
        <w:tc>
          <w:tcPr>
            <w:tcW w:w="9050" w:type="dxa"/>
            <w:shd w:val="clear" w:color="auto" w:fill="auto"/>
          </w:tcPr>
          <w:p w14:paraId="1A04AAA6" w14:textId="77777777" w:rsidR="00EF4E0F" w:rsidRDefault="00EF4E0F" w:rsidP="00AF6824">
            <w:pPr>
              <w:spacing w:line="360" w:lineRule="auto"/>
              <w:contextualSpacing/>
              <w:jc w:val="both"/>
              <w:rPr>
                <w:rFonts w:ascii="Arial" w:eastAsia="Calibri" w:hAnsi="Arial" w:cs="Arial"/>
                <w:sz w:val="20"/>
                <w:szCs w:val="22"/>
                <w:lang w:val="en-ZA"/>
              </w:rPr>
            </w:pPr>
          </w:p>
          <w:p w14:paraId="401373C1" w14:textId="77777777" w:rsid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p w14:paraId="454C7799" w14:textId="77777777" w:rsidR="00EF4E0F" w:rsidRPr="00602047" w:rsidRDefault="00EF4E0F" w:rsidP="00AF6824">
            <w:pPr>
              <w:spacing w:line="360" w:lineRule="auto"/>
              <w:contextualSpacing/>
              <w:jc w:val="both"/>
              <w:rPr>
                <w:rFonts w:ascii="Arial" w:eastAsia="Calibri" w:hAnsi="Arial" w:cs="Arial"/>
                <w:sz w:val="20"/>
                <w:szCs w:val="22"/>
                <w:lang w:val="en-ZA"/>
              </w:rPr>
            </w:pPr>
          </w:p>
        </w:tc>
      </w:tr>
    </w:tbl>
    <w:p w14:paraId="234A262B" w14:textId="70D84673" w:rsidR="00717531" w:rsidRDefault="00717531" w:rsidP="00C7656D">
      <w:pPr>
        <w:spacing w:after="200" w:line="276" w:lineRule="auto"/>
        <w:rPr>
          <w:rFonts w:ascii="Arial" w:hAnsi="Arial" w:cs="Arial"/>
          <w:b/>
          <w:sz w:val="22"/>
        </w:rPr>
      </w:pPr>
    </w:p>
    <w:p w14:paraId="6FF15293" w14:textId="77777777"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64C00681" w14:textId="77777777" w:rsidTr="00987ACB">
        <w:tc>
          <w:tcPr>
            <w:tcW w:w="9050" w:type="dxa"/>
            <w:shd w:val="clear" w:color="auto" w:fill="000000"/>
          </w:tcPr>
          <w:p w14:paraId="17F9C9D1" w14:textId="77777777" w:rsidR="00990864" w:rsidRPr="006260D8" w:rsidRDefault="00990864" w:rsidP="00987ACB">
            <w:pPr>
              <w:tabs>
                <w:tab w:val="left" w:pos="720"/>
              </w:tabs>
              <w:jc w:val="both"/>
              <w:rPr>
                <w:rFonts w:ascii="Arial" w:hAnsi="Arial" w:cs="Arial"/>
                <w:sz w:val="20"/>
              </w:rPr>
            </w:pPr>
          </w:p>
        </w:tc>
      </w:tr>
      <w:tr w:rsidR="00990864" w:rsidRPr="000C5130" w14:paraId="2F05A33A" w14:textId="77777777" w:rsidTr="00AB650A">
        <w:trPr>
          <w:trHeight w:val="2032"/>
        </w:trPr>
        <w:tc>
          <w:tcPr>
            <w:tcW w:w="9050" w:type="dxa"/>
            <w:shd w:val="clear" w:color="auto" w:fill="DDD9C3" w:themeFill="background2" w:themeFillShade="E6"/>
          </w:tcPr>
          <w:p w14:paraId="35C669D1"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1"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1"/>
          </w:p>
          <w:p w14:paraId="17D6406F"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11729D1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5007E99"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543D7098" w14:textId="6F8149F8" w:rsidR="00AF55CA" w:rsidRDefault="00AF55CA" w:rsidP="00EB6A30">
      <w:pPr>
        <w:spacing w:after="120" w:line="276" w:lineRule="auto"/>
        <w:rPr>
          <w:rFonts w:ascii="Arial" w:hAnsi="Arial" w:cs="Arial"/>
          <w:b/>
          <w:sz w:val="22"/>
        </w:rPr>
      </w:pPr>
    </w:p>
    <w:p w14:paraId="4DFF96A5" w14:textId="614312FA" w:rsidR="00A83F43" w:rsidRDefault="00A83F43" w:rsidP="00EB6A30">
      <w:pPr>
        <w:spacing w:after="120" w:line="276" w:lineRule="auto"/>
        <w:rPr>
          <w:rFonts w:ascii="Arial" w:hAnsi="Arial" w:cs="Arial"/>
          <w:b/>
          <w:sz w:val="22"/>
        </w:rPr>
      </w:pPr>
    </w:p>
    <w:p w14:paraId="653BF542" w14:textId="223DDE8B" w:rsidR="00A83F43" w:rsidRDefault="00A83F43" w:rsidP="00EB6A30">
      <w:pPr>
        <w:spacing w:after="120" w:line="276" w:lineRule="auto"/>
        <w:rPr>
          <w:rFonts w:ascii="Arial" w:hAnsi="Arial" w:cs="Arial"/>
          <w:b/>
          <w:sz w:val="22"/>
        </w:rPr>
      </w:pPr>
    </w:p>
    <w:p w14:paraId="3A8F2E7F" w14:textId="21F79A3A" w:rsidR="00F844C1" w:rsidRDefault="00F844C1" w:rsidP="00EB6A30">
      <w:pPr>
        <w:spacing w:after="120" w:line="276" w:lineRule="auto"/>
        <w:rPr>
          <w:rFonts w:ascii="Arial" w:hAnsi="Arial" w:cs="Arial"/>
          <w:b/>
          <w:sz w:val="22"/>
        </w:rPr>
      </w:pPr>
    </w:p>
    <w:p w14:paraId="32E45F9D" w14:textId="7E34DAE1" w:rsidR="00F844C1" w:rsidRDefault="00F844C1" w:rsidP="00EB6A30">
      <w:pPr>
        <w:spacing w:after="120" w:line="276" w:lineRule="auto"/>
        <w:rPr>
          <w:rFonts w:ascii="Arial" w:hAnsi="Arial" w:cs="Arial"/>
          <w:b/>
          <w:sz w:val="22"/>
        </w:rPr>
      </w:pPr>
    </w:p>
    <w:p w14:paraId="4CBDE991" w14:textId="77777777" w:rsidR="00F844C1" w:rsidRDefault="00F844C1" w:rsidP="00EB6A30">
      <w:pPr>
        <w:spacing w:after="120" w:line="276" w:lineRule="auto"/>
        <w:rPr>
          <w:rFonts w:ascii="Arial" w:hAnsi="Arial" w:cs="Arial"/>
          <w:b/>
          <w:sz w:val="22"/>
        </w:rPr>
      </w:pPr>
    </w:p>
    <w:p w14:paraId="3D53E48C" w14:textId="77777777" w:rsidR="00874A63" w:rsidRDefault="00874A63" w:rsidP="00EB6A30">
      <w:pPr>
        <w:spacing w:line="276" w:lineRule="auto"/>
        <w:rPr>
          <w:rFonts w:ascii="Arial" w:hAnsi="Arial" w:cs="Arial"/>
          <w:b/>
          <w:sz w:val="22"/>
        </w:rPr>
      </w:pPr>
    </w:p>
    <w:p w14:paraId="5673A0E8" w14:textId="3F26C52F"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DF5A43">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A2223CA" w14:textId="77777777" w:rsidTr="00987ACB">
        <w:tc>
          <w:tcPr>
            <w:tcW w:w="9016" w:type="dxa"/>
            <w:shd w:val="clear" w:color="auto" w:fill="000000" w:themeFill="text1"/>
          </w:tcPr>
          <w:p w14:paraId="2CF0BA2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5B5BA6D" w14:textId="77777777" w:rsidTr="003D66FA">
        <w:tc>
          <w:tcPr>
            <w:tcW w:w="9016" w:type="dxa"/>
            <w:shd w:val="clear" w:color="auto" w:fill="DDD9C3" w:themeFill="background2" w:themeFillShade="E6"/>
          </w:tcPr>
          <w:p w14:paraId="7AC3CA01"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44298F7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9716887"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5EC3C18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16E46AFB"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53E8DA3A"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2708C20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16077F8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38B4056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6D3F41F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ED17D03"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7BDB560" w14:textId="2FCC8D7C" w:rsidR="00874A63" w:rsidRDefault="00874A63" w:rsidP="00304117">
      <w:pPr>
        <w:pBdr>
          <w:bottom w:val="single" w:sz="12" w:space="1" w:color="auto"/>
        </w:pBdr>
        <w:tabs>
          <w:tab w:val="left" w:pos="720"/>
        </w:tabs>
        <w:jc w:val="both"/>
        <w:rPr>
          <w:rFonts w:ascii="Arial" w:hAnsi="Arial" w:cs="Arial"/>
          <w:b/>
          <w:sz w:val="20"/>
        </w:rPr>
      </w:pPr>
    </w:p>
    <w:p w14:paraId="555CA723" w14:textId="5E84C26E" w:rsidR="00717531" w:rsidRDefault="00717531" w:rsidP="00304117">
      <w:pPr>
        <w:pBdr>
          <w:bottom w:val="single" w:sz="12" w:space="1" w:color="auto"/>
        </w:pBdr>
        <w:tabs>
          <w:tab w:val="left" w:pos="720"/>
        </w:tabs>
        <w:jc w:val="both"/>
        <w:rPr>
          <w:rFonts w:ascii="Arial" w:hAnsi="Arial" w:cs="Arial"/>
          <w:b/>
          <w:sz w:val="20"/>
        </w:rPr>
      </w:pPr>
    </w:p>
    <w:p w14:paraId="2623D233" w14:textId="4743B902" w:rsidR="00717531" w:rsidRDefault="00717531" w:rsidP="00304117">
      <w:pPr>
        <w:pBdr>
          <w:bottom w:val="single" w:sz="12" w:space="1" w:color="auto"/>
        </w:pBdr>
        <w:tabs>
          <w:tab w:val="left" w:pos="720"/>
        </w:tabs>
        <w:jc w:val="both"/>
        <w:rPr>
          <w:rFonts w:ascii="Arial" w:hAnsi="Arial" w:cs="Arial"/>
          <w:b/>
          <w:sz w:val="20"/>
        </w:rPr>
      </w:pPr>
    </w:p>
    <w:p w14:paraId="0C1D4A56" w14:textId="5AB97917" w:rsidR="00717531" w:rsidRDefault="00717531" w:rsidP="00304117">
      <w:pPr>
        <w:pBdr>
          <w:bottom w:val="single" w:sz="12" w:space="1" w:color="auto"/>
        </w:pBdr>
        <w:tabs>
          <w:tab w:val="left" w:pos="720"/>
        </w:tabs>
        <w:jc w:val="both"/>
        <w:rPr>
          <w:rFonts w:ascii="Arial" w:hAnsi="Arial" w:cs="Arial"/>
          <w:b/>
          <w:sz w:val="20"/>
        </w:rPr>
      </w:pPr>
    </w:p>
    <w:p w14:paraId="18675BDF" w14:textId="503C3ECC" w:rsidR="00717531" w:rsidRDefault="00717531" w:rsidP="00304117">
      <w:pPr>
        <w:pBdr>
          <w:bottom w:val="single" w:sz="12" w:space="1" w:color="auto"/>
        </w:pBdr>
        <w:tabs>
          <w:tab w:val="left" w:pos="720"/>
        </w:tabs>
        <w:jc w:val="both"/>
        <w:rPr>
          <w:rFonts w:ascii="Arial" w:hAnsi="Arial" w:cs="Arial"/>
          <w:b/>
          <w:sz w:val="20"/>
        </w:rPr>
      </w:pPr>
    </w:p>
    <w:p w14:paraId="3241E835" w14:textId="257619C3" w:rsidR="00717531" w:rsidRDefault="00717531" w:rsidP="00304117">
      <w:pPr>
        <w:pBdr>
          <w:bottom w:val="single" w:sz="12" w:space="1" w:color="auto"/>
        </w:pBdr>
        <w:tabs>
          <w:tab w:val="left" w:pos="720"/>
        </w:tabs>
        <w:jc w:val="both"/>
        <w:rPr>
          <w:rFonts w:ascii="Arial" w:hAnsi="Arial" w:cs="Arial"/>
          <w:b/>
          <w:sz w:val="20"/>
        </w:rPr>
      </w:pPr>
    </w:p>
    <w:p w14:paraId="3EC725E2" w14:textId="790512FC" w:rsidR="00717531" w:rsidRDefault="00717531" w:rsidP="00304117">
      <w:pPr>
        <w:pBdr>
          <w:bottom w:val="single" w:sz="12" w:space="1" w:color="auto"/>
        </w:pBdr>
        <w:tabs>
          <w:tab w:val="left" w:pos="720"/>
        </w:tabs>
        <w:jc w:val="both"/>
        <w:rPr>
          <w:rFonts w:ascii="Arial" w:hAnsi="Arial" w:cs="Arial"/>
          <w:b/>
          <w:sz w:val="20"/>
        </w:rPr>
      </w:pPr>
    </w:p>
    <w:p w14:paraId="52B63D1D" w14:textId="34536D35" w:rsidR="00717531" w:rsidRDefault="00717531" w:rsidP="00304117">
      <w:pPr>
        <w:pBdr>
          <w:bottom w:val="single" w:sz="12" w:space="1" w:color="auto"/>
        </w:pBdr>
        <w:tabs>
          <w:tab w:val="left" w:pos="720"/>
        </w:tabs>
        <w:jc w:val="both"/>
        <w:rPr>
          <w:rFonts w:ascii="Arial" w:hAnsi="Arial" w:cs="Arial"/>
          <w:b/>
          <w:sz w:val="20"/>
        </w:rPr>
      </w:pPr>
    </w:p>
    <w:p w14:paraId="5C4394CF" w14:textId="27B0A1C4" w:rsidR="00717531" w:rsidRDefault="00717531"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D641CE" w14:paraId="15EBD8BB" w14:textId="77777777" w:rsidTr="00D641CE">
        <w:tc>
          <w:tcPr>
            <w:tcW w:w="4508" w:type="dxa"/>
          </w:tcPr>
          <w:p w14:paraId="63E3EC2E" w14:textId="77777777" w:rsidR="00D641CE" w:rsidRDefault="00D641CE"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39E8856A" w14:textId="76EC7485" w:rsidR="00D641CE" w:rsidRDefault="00DF5A43" w:rsidP="00DF5A43">
            <w:pPr>
              <w:tabs>
                <w:tab w:val="left" w:pos="720"/>
              </w:tabs>
              <w:jc w:val="both"/>
              <w:rPr>
                <w:rFonts w:ascii="Arial" w:hAnsi="Arial" w:cs="Arial"/>
                <w:sz w:val="20"/>
              </w:rPr>
            </w:pPr>
            <w:r>
              <w:rPr>
                <w:rFonts w:ascii="Arial" w:hAnsi="Arial" w:cs="Arial"/>
                <w:sz w:val="20"/>
              </w:rPr>
              <w:t xml:space="preserve">Supplier name </w:t>
            </w:r>
            <w:r w:rsidR="00D641CE" w:rsidRPr="000C5130">
              <w:rPr>
                <w:rFonts w:ascii="Arial" w:hAnsi="Arial" w:cs="Arial"/>
                <w:sz w:val="20"/>
              </w:rPr>
              <w:t>:</w:t>
            </w:r>
            <w:r w:rsidR="00D641CE">
              <w:rPr>
                <w:rFonts w:ascii="Arial" w:hAnsi="Arial" w:cs="Arial"/>
                <w:sz w:val="20"/>
              </w:rPr>
              <w:t xml:space="preserve"> </w:t>
            </w:r>
          </w:p>
        </w:tc>
        <w:tc>
          <w:tcPr>
            <w:tcW w:w="4508" w:type="dxa"/>
          </w:tcPr>
          <w:p w14:paraId="28531225" w14:textId="77777777" w:rsidR="00D641CE" w:rsidRDefault="00D641CE" w:rsidP="00304117">
            <w:pPr>
              <w:tabs>
                <w:tab w:val="left" w:pos="720"/>
              </w:tabs>
              <w:jc w:val="both"/>
              <w:rPr>
                <w:rFonts w:ascii="Arial" w:hAnsi="Arial" w:cs="Arial"/>
                <w:sz w:val="20"/>
              </w:rPr>
            </w:pPr>
          </w:p>
        </w:tc>
      </w:tr>
      <w:tr w:rsidR="00D641CE" w:rsidRPr="00AC3774" w14:paraId="70D69FB9" w14:textId="77777777" w:rsidTr="00D641CE">
        <w:tc>
          <w:tcPr>
            <w:tcW w:w="4508" w:type="dxa"/>
          </w:tcPr>
          <w:p w14:paraId="13E635C2" w14:textId="77777777" w:rsidR="00D641CE" w:rsidRPr="00AC3774" w:rsidRDefault="00D641CE" w:rsidP="00304117">
            <w:pPr>
              <w:tabs>
                <w:tab w:val="left" w:pos="720"/>
              </w:tabs>
              <w:jc w:val="both"/>
              <w:rPr>
                <w:rFonts w:ascii="Arial" w:hAnsi="Arial" w:cs="Arial"/>
                <w:sz w:val="20"/>
              </w:rPr>
            </w:pPr>
          </w:p>
          <w:p w14:paraId="01A91352" w14:textId="77777777" w:rsidR="00D641CE" w:rsidRPr="00AC3774" w:rsidRDefault="00D641CE" w:rsidP="00304117">
            <w:pPr>
              <w:tabs>
                <w:tab w:val="left" w:pos="720"/>
              </w:tabs>
              <w:jc w:val="both"/>
              <w:rPr>
                <w:rFonts w:ascii="Arial" w:hAnsi="Arial" w:cs="Arial"/>
                <w:sz w:val="20"/>
              </w:rPr>
            </w:pPr>
          </w:p>
          <w:p w14:paraId="4E56DAF9" w14:textId="77777777" w:rsidR="00D641CE" w:rsidRPr="00AC3774" w:rsidRDefault="00D641CE" w:rsidP="00304117">
            <w:pPr>
              <w:tabs>
                <w:tab w:val="left" w:pos="720"/>
              </w:tabs>
              <w:jc w:val="both"/>
              <w:rPr>
                <w:rFonts w:ascii="Arial" w:hAnsi="Arial" w:cs="Arial"/>
                <w:sz w:val="20"/>
              </w:rPr>
            </w:pPr>
            <w:r w:rsidRPr="00AC3774">
              <w:rPr>
                <w:rFonts w:ascii="Arial" w:hAnsi="Arial" w:cs="Arial"/>
                <w:sz w:val="20"/>
              </w:rPr>
              <w:t>……………………………..</w:t>
            </w:r>
          </w:p>
          <w:p w14:paraId="751B6669" w14:textId="77777777" w:rsidR="00D641CE" w:rsidRPr="00AC3774" w:rsidRDefault="00D641CE" w:rsidP="00AC3774">
            <w:pPr>
              <w:tabs>
                <w:tab w:val="left" w:pos="720"/>
              </w:tabs>
              <w:jc w:val="both"/>
              <w:rPr>
                <w:rFonts w:ascii="Arial" w:hAnsi="Arial" w:cs="Arial"/>
                <w:sz w:val="20"/>
              </w:rPr>
            </w:pPr>
            <w:r>
              <w:rPr>
                <w:rFonts w:ascii="Arial" w:hAnsi="Arial" w:cs="Arial"/>
                <w:sz w:val="20"/>
              </w:rPr>
              <w:t>Senior Advisor</w:t>
            </w:r>
          </w:p>
        </w:tc>
        <w:tc>
          <w:tcPr>
            <w:tcW w:w="4508" w:type="dxa"/>
          </w:tcPr>
          <w:p w14:paraId="3734BB4A" w14:textId="77777777" w:rsidR="00D641CE" w:rsidRPr="00AC3774" w:rsidRDefault="00D641CE" w:rsidP="00750B4A">
            <w:pPr>
              <w:tabs>
                <w:tab w:val="left" w:pos="720"/>
              </w:tabs>
              <w:jc w:val="both"/>
              <w:rPr>
                <w:rFonts w:ascii="Arial" w:hAnsi="Arial" w:cs="Arial"/>
                <w:sz w:val="20"/>
              </w:rPr>
            </w:pPr>
          </w:p>
          <w:p w14:paraId="7D01C425" w14:textId="77777777" w:rsidR="00D641CE" w:rsidRPr="00AC3774" w:rsidRDefault="00D641CE" w:rsidP="00750B4A">
            <w:pPr>
              <w:tabs>
                <w:tab w:val="left" w:pos="720"/>
              </w:tabs>
              <w:jc w:val="both"/>
              <w:rPr>
                <w:rFonts w:ascii="Arial" w:hAnsi="Arial" w:cs="Arial"/>
                <w:sz w:val="20"/>
              </w:rPr>
            </w:pPr>
          </w:p>
          <w:p w14:paraId="47CEBD78" w14:textId="77777777" w:rsidR="00D641CE" w:rsidRPr="00AC3774" w:rsidRDefault="00D641CE" w:rsidP="00750B4A">
            <w:pPr>
              <w:tabs>
                <w:tab w:val="left" w:pos="720"/>
              </w:tabs>
              <w:jc w:val="both"/>
              <w:rPr>
                <w:rFonts w:ascii="Arial" w:hAnsi="Arial" w:cs="Arial"/>
                <w:sz w:val="20"/>
              </w:rPr>
            </w:pPr>
            <w:r w:rsidRPr="00AC3774">
              <w:rPr>
                <w:rFonts w:ascii="Arial" w:hAnsi="Arial" w:cs="Arial"/>
                <w:sz w:val="20"/>
              </w:rPr>
              <w:t>……………………………..</w:t>
            </w:r>
          </w:p>
          <w:p w14:paraId="61479283" w14:textId="31CD66CE" w:rsidR="00D641CE" w:rsidRPr="00AC3774" w:rsidRDefault="00D641CE" w:rsidP="00750B4A">
            <w:pPr>
              <w:tabs>
                <w:tab w:val="left" w:pos="720"/>
              </w:tabs>
              <w:jc w:val="both"/>
              <w:rPr>
                <w:rFonts w:ascii="Arial" w:hAnsi="Arial" w:cs="Arial"/>
                <w:sz w:val="20"/>
              </w:rPr>
            </w:pPr>
          </w:p>
        </w:tc>
        <w:tc>
          <w:tcPr>
            <w:tcW w:w="4508" w:type="dxa"/>
          </w:tcPr>
          <w:p w14:paraId="11CC9757" w14:textId="77777777" w:rsidR="00D641CE" w:rsidRPr="00AC3774" w:rsidRDefault="00D641CE" w:rsidP="00304117">
            <w:pPr>
              <w:tabs>
                <w:tab w:val="left" w:pos="720"/>
              </w:tabs>
              <w:jc w:val="both"/>
              <w:rPr>
                <w:rFonts w:ascii="Arial" w:hAnsi="Arial" w:cs="Arial"/>
                <w:sz w:val="20"/>
              </w:rPr>
            </w:pPr>
          </w:p>
        </w:tc>
      </w:tr>
      <w:tr w:rsidR="00D641CE" w:rsidRPr="00AC3774" w14:paraId="3FEF9A5A" w14:textId="77777777" w:rsidTr="00D641CE">
        <w:tc>
          <w:tcPr>
            <w:tcW w:w="4508" w:type="dxa"/>
          </w:tcPr>
          <w:p w14:paraId="74BA621B" w14:textId="77777777" w:rsidR="00D641CE" w:rsidRPr="00AC3774" w:rsidRDefault="00D641CE" w:rsidP="006E4F88">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2D52A736" w14:textId="77777777" w:rsidR="00D641CE" w:rsidRPr="00AC3774" w:rsidRDefault="00D641CE" w:rsidP="00750B4A">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56E590C4" w14:textId="77777777" w:rsidR="00D641CE" w:rsidRPr="00AC3774" w:rsidRDefault="00D641CE" w:rsidP="00304117">
            <w:pPr>
              <w:tabs>
                <w:tab w:val="left" w:pos="720"/>
              </w:tabs>
              <w:jc w:val="both"/>
              <w:rPr>
                <w:rFonts w:ascii="Arial" w:hAnsi="Arial" w:cs="Arial"/>
                <w:sz w:val="20"/>
              </w:rPr>
            </w:pPr>
          </w:p>
        </w:tc>
      </w:tr>
      <w:tr w:rsidR="00D641CE" w14:paraId="0785D98C" w14:textId="77777777" w:rsidTr="00D641CE">
        <w:tc>
          <w:tcPr>
            <w:tcW w:w="4508" w:type="dxa"/>
          </w:tcPr>
          <w:p w14:paraId="66013ECB" w14:textId="77777777" w:rsidR="00D641CE" w:rsidRPr="00AC3774" w:rsidRDefault="00D641CE" w:rsidP="00304117">
            <w:pPr>
              <w:tabs>
                <w:tab w:val="left" w:pos="720"/>
              </w:tabs>
              <w:jc w:val="both"/>
              <w:rPr>
                <w:rFonts w:ascii="Arial" w:hAnsi="Arial" w:cs="Arial"/>
                <w:sz w:val="20"/>
              </w:rPr>
            </w:pPr>
          </w:p>
          <w:p w14:paraId="58D2D241" w14:textId="41713921" w:rsidR="00D641CE" w:rsidRPr="00AC3774" w:rsidRDefault="00D641CE" w:rsidP="00FB2E48">
            <w:pPr>
              <w:tabs>
                <w:tab w:val="left" w:pos="720"/>
              </w:tabs>
              <w:jc w:val="both"/>
              <w:rPr>
                <w:rFonts w:ascii="Arial" w:hAnsi="Arial" w:cs="Arial"/>
                <w:sz w:val="20"/>
              </w:rPr>
            </w:pPr>
            <w:r>
              <w:rPr>
                <w:rFonts w:ascii="Arial" w:hAnsi="Arial" w:cs="Arial"/>
                <w:sz w:val="20"/>
              </w:rPr>
              <w:t xml:space="preserve">Date: </w:t>
            </w:r>
            <w:bookmarkStart w:id="2" w:name="_GoBack"/>
            <w:bookmarkEnd w:id="2"/>
          </w:p>
        </w:tc>
        <w:tc>
          <w:tcPr>
            <w:tcW w:w="4508" w:type="dxa"/>
          </w:tcPr>
          <w:p w14:paraId="2AD8DFA8" w14:textId="77777777" w:rsidR="00D641CE" w:rsidRPr="00AC3774" w:rsidRDefault="00D641CE" w:rsidP="00750B4A">
            <w:pPr>
              <w:tabs>
                <w:tab w:val="left" w:pos="720"/>
              </w:tabs>
              <w:jc w:val="both"/>
              <w:rPr>
                <w:rFonts w:ascii="Arial" w:hAnsi="Arial" w:cs="Arial"/>
                <w:sz w:val="20"/>
              </w:rPr>
            </w:pPr>
          </w:p>
          <w:p w14:paraId="5D08F3EA" w14:textId="77777777" w:rsidR="00D641CE" w:rsidRPr="00AC3774" w:rsidRDefault="00D641CE" w:rsidP="00750B4A">
            <w:pPr>
              <w:tabs>
                <w:tab w:val="left" w:pos="720"/>
              </w:tabs>
              <w:jc w:val="both"/>
              <w:rPr>
                <w:rFonts w:ascii="Arial" w:hAnsi="Arial" w:cs="Arial"/>
                <w:sz w:val="20"/>
              </w:rPr>
            </w:pPr>
            <w:r>
              <w:rPr>
                <w:rFonts w:ascii="Arial" w:hAnsi="Arial" w:cs="Arial"/>
                <w:sz w:val="20"/>
              </w:rPr>
              <w:t xml:space="preserve">Date: </w:t>
            </w:r>
          </w:p>
        </w:tc>
        <w:tc>
          <w:tcPr>
            <w:tcW w:w="4508" w:type="dxa"/>
          </w:tcPr>
          <w:p w14:paraId="3B824794" w14:textId="77777777" w:rsidR="00D641CE" w:rsidRPr="00AC3774" w:rsidRDefault="00D641CE" w:rsidP="00304117">
            <w:pPr>
              <w:tabs>
                <w:tab w:val="left" w:pos="720"/>
              </w:tabs>
              <w:jc w:val="both"/>
              <w:rPr>
                <w:rFonts w:ascii="Arial" w:hAnsi="Arial" w:cs="Arial"/>
                <w:sz w:val="20"/>
              </w:rPr>
            </w:pPr>
          </w:p>
          <w:p w14:paraId="1000BE01" w14:textId="77777777" w:rsidR="00D641CE" w:rsidRPr="00AC3774" w:rsidRDefault="00D641CE" w:rsidP="00304117">
            <w:pPr>
              <w:tabs>
                <w:tab w:val="left" w:pos="720"/>
              </w:tabs>
              <w:jc w:val="both"/>
              <w:rPr>
                <w:rFonts w:ascii="Arial" w:hAnsi="Arial" w:cs="Arial"/>
                <w:sz w:val="20"/>
              </w:rPr>
            </w:pPr>
          </w:p>
        </w:tc>
      </w:tr>
    </w:tbl>
    <w:p w14:paraId="34F797A4" w14:textId="77777777" w:rsidR="00B70E33" w:rsidRDefault="00B70E33" w:rsidP="008326AE">
      <w:pPr>
        <w:rPr>
          <w:rFonts w:ascii="Arial" w:hAnsi="Arial" w:cs="Arial"/>
          <w:sz w:val="20"/>
          <w:lang w:val="en-GB"/>
        </w:rPr>
      </w:pPr>
    </w:p>
    <w:p w14:paraId="198148DF" w14:textId="77777777" w:rsidR="00D641CE" w:rsidRDefault="00D641CE" w:rsidP="008326AE">
      <w:pPr>
        <w:rPr>
          <w:rFonts w:ascii="Arial" w:hAnsi="Arial" w:cs="Arial"/>
          <w:sz w:val="20"/>
          <w:lang w:val="en-GB"/>
        </w:rPr>
      </w:pPr>
    </w:p>
    <w:p w14:paraId="5D164C1A" w14:textId="77777777" w:rsidR="00D641CE" w:rsidRDefault="00D641CE" w:rsidP="008326AE">
      <w:pPr>
        <w:rPr>
          <w:rFonts w:ascii="Arial" w:hAnsi="Arial" w:cs="Arial"/>
          <w:sz w:val="20"/>
          <w:lang w:val="en-GB"/>
        </w:rPr>
      </w:pPr>
    </w:p>
    <w:sectPr w:rsidR="00D641CE"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42A4" w14:textId="77777777" w:rsidR="004F5231" w:rsidRDefault="004F5231" w:rsidP="00201A98">
      <w:r>
        <w:separator/>
      </w:r>
    </w:p>
  </w:endnote>
  <w:endnote w:type="continuationSeparator" w:id="0">
    <w:p w14:paraId="63908D19" w14:textId="77777777" w:rsidR="004F5231" w:rsidRDefault="004F523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BDFA"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59FE"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98B6135"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31CF25E" w14:textId="77777777" w:rsidR="00105474" w:rsidRPr="00105474" w:rsidRDefault="00105474" w:rsidP="00105474">
    <w:pPr>
      <w:pStyle w:val="Footer"/>
      <w:jc w:val="center"/>
      <w:rPr>
        <w:rFonts w:ascii="Arial" w:hAnsi="Arial" w:cs="Arial"/>
        <w:sz w:val="16"/>
        <w:szCs w:val="16"/>
        <w:lang w:val="en-GB"/>
      </w:rPr>
    </w:pPr>
  </w:p>
  <w:p w14:paraId="588AB7E5" w14:textId="28D560E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DF5A43">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DF5A43">
      <w:rPr>
        <w:rFonts w:ascii="Arial" w:hAnsi="Arial" w:cs="Arial"/>
        <w:noProof/>
        <w:sz w:val="16"/>
        <w:szCs w:val="16"/>
      </w:rPr>
      <w:t>7</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486D"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95E6F" w14:textId="77777777" w:rsidR="004F5231" w:rsidRDefault="004F5231" w:rsidP="00201A98">
      <w:r>
        <w:separator/>
      </w:r>
    </w:p>
  </w:footnote>
  <w:footnote w:type="continuationSeparator" w:id="0">
    <w:p w14:paraId="3C87B085" w14:textId="77777777" w:rsidR="004F5231" w:rsidRDefault="004F523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30E1"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0C42A269" w14:textId="77777777" w:rsidTr="00105474">
      <w:trPr>
        <w:cantSplit/>
        <w:trHeight w:val="263"/>
        <w:jc w:val="center"/>
      </w:trPr>
      <w:tc>
        <w:tcPr>
          <w:tcW w:w="2410" w:type="dxa"/>
          <w:vMerge w:val="restart"/>
          <w:vAlign w:val="bottom"/>
        </w:tcPr>
        <w:p w14:paraId="2EE4CE4D" w14:textId="77777777" w:rsidR="00304117" w:rsidRPr="003914DE" w:rsidRDefault="004F5231" w:rsidP="00EA1B3D">
          <w:pPr>
            <w:spacing w:before="840"/>
            <w:rPr>
              <w:rFonts w:ascii="Arial" w:hAnsi="Arial"/>
              <w:b/>
              <w:lang w:val="en-GB"/>
            </w:rPr>
          </w:pPr>
          <w:r>
            <w:rPr>
              <w:rFonts w:ascii="Arial" w:hAnsi="Arial"/>
              <w:b/>
              <w:lang w:val="en-GB"/>
            </w:rPr>
            <w:object w:dxaOrig="1440" w:dyaOrig="1440" w14:anchorId="14891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0252499" r:id="rId2"/>
            </w:object>
          </w:r>
        </w:p>
      </w:tc>
      <w:tc>
        <w:tcPr>
          <w:tcW w:w="3544" w:type="dxa"/>
          <w:vMerge w:val="restart"/>
          <w:vAlign w:val="center"/>
        </w:tcPr>
        <w:p w14:paraId="1ACB394A"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01619325"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7569B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0A9AB3E"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381B596E"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5962A334" w14:textId="77777777" w:rsidTr="00105474">
      <w:trPr>
        <w:cantSplit/>
        <w:trHeight w:val="261"/>
        <w:jc w:val="center"/>
      </w:trPr>
      <w:tc>
        <w:tcPr>
          <w:tcW w:w="2410" w:type="dxa"/>
          <w:vMerge/>
          <w:vAlign w:val="bottom"/>
        </w:tcPr>
        <w:p w14:paraId="735D5AA0" w14:textId="77777777" w:rsidR="00B3212E" w:rsidRPr="003914DE" w:rsidRDefault="00B3212E" w:rsidP="00EA1B3D">
          <w:pPr>
            <w:spacing w:before="840"/>
            <w:rPr>
              <w:rFonts w:ascii="Arial" w:hAnsi="Arial"/>
              <w:b/>
              <w:lang w:val="en-GB"/>
            </w:rPr>
          </w:pPr>
        </w:p>
      </w:tc>
      <w:tc>
        <w:tcPr>
          <w:tcW w:w="3544" w:type="dxa"/>
          <w:vMerge/>
          <w:vAlign w:val="center"/>
        </w:tcPr>
        <w:p w14:paraId="5F6AAD13"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A7EA2F9"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73EE19C"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1261C52A"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4BD5852B"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4AB4FBD3" w14:textId="77777777" w:rsidTr="00105474">
      <w:trPr>
        <w:cantSplit/>
        <w:trHeight w:val="261"/>
        <w:jc w:val="center"/>
      </w:trPr>
      <w:tc>
        <w:tcPr>
          <w:tcW w:w="2410" w:type="dxa"/>
          <w:vMerge/>
          <w:vAlign w:val="bottom"/>
        </w:tcPr>
        <w:p w14:paraId="381BE0E7" w14:textId="77777777" w:rsidR="00B3212E" w:rsidRPr="003914DE" w:rsidRDefault="00B3212E" w:rsidP="00EA1B3D">
          <w:pPr>
            <w:spacing w:before="840"/>
            <w:rPr>
              <w:rFonts w:ascii="Arial" w:hAnsi="Arial"/>
              <w:b/>
              <w:lang w:val="en-GB"/>
            </w:rPr>
          </w:pPr>
        </w:p>
      </w:tc>
      <w:tc>
        <w:tcPr>
          <w:tcW w:w="3544" w:type="dxa"/>
          <w:vMerge/>
          <w:vAlign w:val="center"/>
        </w:tcPr>
        <w:p w14:paraId="208FBDA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56CAC27"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75153C3E"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8B6C3CA" w14:textId="77777777" w:rsidTr="00105474">
      <w:trPr>
        <w:cantSplit/>
        <w:trHeight w:hRule="exact" w:val="322"/>
        <w:jc w:val="center"/>
      </w:trPr>
      <w:tc>
        <w:tcPr>
          <w:tcW w:w="2410" w:type="dxa"/>
          <w:vMerge/>
          <w:vAlign w:val="bottom"/>
        </w:tcPr>
        <w:p w14:paraId="1C2DBDAC" w14:textId="77777777" w:rsidR="00B3212E" w:rsidRPr="003914DE" w:rsidRDefault="00B3212E" w:rsidP="00EA1B3D">
          <w:pPr>
            <w:spacing w:before="840"/>
            <w:rPr>
              <w:rFonts w:ascii="Arial" w:hAnsi="Arial"/>
              <w:b/>
              <w:lang w:val="en-GB"/>
            </w:rPr>
          </w:pPr>
        </w:p>
      </w:tc>
      <w:tc>
        <w:tcPr>
          <w:tcW w:w="3544" w:type="dxa"/>
          <w:vMerge/>
          <w:vAlign w:val="center"/>
        </w:tcPr>
        <w:p w14:paraId="21D2382B"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18C18471"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302AD14"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0681E8F7"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4944"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2"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7"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1"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2"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3"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6"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27"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5"/>
  </w:num>
  <w:num w:numId="2">
    <w:abstractNumId w:val="22"/>
  </w:num>
  <w:num w:numId="3">
    <w:abstractNumId w:val="23"/>
  </w:num>
  <w:num w:numId="4">
    <w:abstractNumId w:val="1"/>
  </w:num>
  <w:num w:numId="5">
    <w:abstractNumId w:val="9"/>
  </w:num>
  <w:num w:numId="6">
    <w:abstractNumId w:val="13"/>
  </w:num>
  <w:num w:numId="7">
    <w:abstractNumId w:val="28"/>
  </w:num>
  <w:num w:numId="8">
    <w:abstractNumId w:val="3"/>
  </w:num>
  <w:num w:numId="9">
    <w:abstractNumId w:val="16"/>
  </w:num>
  <w:num w:numId="10">
    <w:abstractNumId w:val="20"/>
  </w:num>
  <w:num w:numId="11">
    <w:abstractNumId w:val="26"/>
  </w:num>
  <w:num w:numId="12">
    <w:abstractNumId w:val="7"/>
  </w:num>
  <w:num w:numId="13">
    <w:abstractNumId w:val="17"/>
  </w:num>
  <w:num w:numId="14">
    <w:abstractNumId w:val="11"/>
  </w:num>
  <w:num w:numId="15">
    <w:abstractNumId w:val="12"/>
  </w:num>
  <w:num w:numId="16">
    <w:abstractNumId w:val="0"/>
  </w:num>
  <w:num w:numId="17">
    <w:abstractNumId w:val="14"/>
  </w:num>
  <w:num w:numId="18">
    <w:abstractNumId w:val="4"/>
  </w:num>
  <w:num w:numId="19">
    <w:abstractNumId w:val="21"/>
  </w:num>
  <w:num w:numId="20">
    <w:abstractNumId w:val="8"/>
  </w:num>
  <w:num w:numId="21">
    <w:abstractNumId w:val="18"/>
  </w:num>
  <w:num w:numId="22">
    <w:abstractNumId w:val="10"/>
  </w:num>
  <w:num w:numId="23">
    <w:abstractNumId w:val="27"/>
  </w:num>
  <w:num w:numId="24">
    <w:abstractNumId w:val="15"/>
  </w:num>
  <w:num w:numId="25">
    <w:abstractNumId w:val="6"/>
  </w:num>
  <w:num w:numId="26">
    <w:abstractNumId w:val="8"/>
  </w:num>
  <w:num w:numId="27">
    <w:abstractNumId w:val="30"/>
  </w:num>
  <w:num w:numId="28">
    <w:abstractNumId w:val="19"/>
  </w:num>
  <w:num w:numId="29">
    <w:abstractNumId w:val="2"/>
  </w:num>
  <w:num w:numId="30">
    <w:abstractNumId w:val="24"/>
  </w:num>
  <w:num w:numId="31">
    <w:abstractNumId w:val="32"/>
  </w:num>
  <w:num w:numId="32">
    <w:abstractNumId w:val="29"/>
  </w:num>
  <w:num w:numId="33">
    <w:abstractNumId w:val="25"/>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23030"/>
    <w:rsid w:val="000263D8"/>
    <w:rsid w:val="00067DC9"/>
    <w:rsid w:val="00074C17"/>
    <w:rsid w:val="000814C9"/>
    <w:rsid w:val="000847DD"/>
    <w:rsid w:val="00097047"/>
    <w:rsid w:val="000A01FA"/>
    <w:rsid w:val="000A386C"/>
    <w:rsid w:val="000B165C"/>
    <w:rsid w:val="000B28F1"/>
    <w:rsid w:val="000B7D6D"/>
    <w:rsid w:val="000C33EB"/>
    <w:rsid w:val="000C6C73"/>
    <w:rsid w:val="000D4357"/>
    <w:rsid w:val="001022DD"/>
    <w:rsid w:val="00102D62"/>
    <w:rsid w:val="00105474"/>
    <w:rsid w:val="00115ECC"/>
    <w:rsid w:val="001477A3"/>
    <w:rsid w:val="00154240"/>
    <w:rsid w:val="00155040"/>
    <w:rsid w:val="00155248"/>
    <w:rsid w:val="001645BF"/>
    <w:rsid w:val="00173BE4"/>
    <w:rsid w:val="001829A7"/>
    <w:rsid w:val="001A408A"/>
    <w:rsid w:val="001A57D9"/>
    <w:rsid w:val="001B2323"/>
    <w:rsid w:val="001B3B2A"/>
    <w:rsid w:val="001B6DAE"/>
    <w:rsid w:val="001C61B6"/>
    <w:rsid w:val="001D042C"/>
    <w:rsid w:val="001D1614"/>
    <w:rsid w:val="001D391D"/>
    <w:rsid w:val="001D3F40"/>
    <w:rsid w:val="001D5A74"/>
    <w:rsid w:val="00201A98"/>
    <w:rsid w:val="002319CA"/>
    <w:rsid w:val="002341C9"/>
    <w:rsid w:val="00252E23"/>
    <w:rsid w:val="00253B8A"/>
    <w:rsid w:val="002632AA"/>
    <w:rsid w:val="00270763"/>
    <w:rsid w:val="00276C45"/>
    <w:rsid w:val="0027700C"/>
    <w:rsid w:val="002855B7"/>
    <w:rsid w:val="00296B82"/>
    <w:rsid w:val="002A7C4A"/>
    <w:rsid w:val="002B02CB"/>
    <w:rsid w:val="002F4F5C"/>
    <w:rsid w:val="003020BF"/>
    <w:rsid w:val="00304117"/>
    <w:rsid w:val="003113D9"/>
    <w:rsid w:val="003127C7"/>
    <w:rsid w:val="0032593D"/>
    <w:rsid w:val="003317CA"/>
    <w:rsid w:val="00332369"/>
    <w:rsid w:val="003462C3"/>
    <w:rsid w:val="00347894"/>
    <w:rsid w:val="003633CD"/>
    <w:rsid w:val="00373CF8"/>
    <w:rsid w:val="0037426F"/>
    <w:rsid w:val="003840F2"/>
    <w:rsid w:val="003914DE"/>
    <w:rsid w:val="0039219D"/>
    <w:rsid w:val="003B3ABD"/>
    <w:rsid w:val="003B3AF9"/>
    <w:rsid w:val="003C07F4"/>
    <w:rsid w:val="003D48B8"/>
    <w:rsid w:val="003D66FA"/>
    <w:rsid w:val="003D78F9"/>
    <w:rsid w:val="003E052A"/>
    <w:rsid w:val="003E4D3F"/>
    <w:rsid w:val="003F2387"/>
    <w:rsid w:val="003F3E07"/>
    <w:rsid w:val="003F59CF"/>
    <w:rsid w:val="003F7B1E"/>
    <w:rsid w:val="00404772"/>
    <w:rsid w:val="004251A4"/>
    <w:rsid w:val="00457274"/>
    <w:rsid w:val="00460577"/>
    <w:rsid w:val="00470A92"/>
    <w:rsid w:val="004857A1"/>
    <w:rsid w:val="00495274"/>
    <w:rsid w:val="004954EB"/>
    <w:rsid w:val="004C3176"/>
    <w:rsid w:val="004C38A6"/>
    <w:rsid w:val="004C6EC5"/>
    <w:rsid w:val="004D00A8"/>
    <w:rsid w:val="004D1602"/>
    <w:rsid w:val="004D5FB5"/>
    <w:rsid w:val="004E19F4"/>
    <w:rsid w:val="004E6C33"/>
    <w:rsid w:val="004E77C0"/>
    <w:rsid w:val="004F07CB"/>
    <w:rsid w:val="004F5231"/>
    <w:rsid w:val="004F578D"/>
    <w:rsid w:val="00504CE2"/>
    <w:rsid w:val="00506A41"/>
    <w:rsid w:val="005125A6"/>
    <w:rsid w:val="00514EB4"/>
    <w:rsid w:val="00533AE7"/>
    <w:rsid w:val="00534A84"/>
    <w:rsid w:val="00550760"/>
    <w:rsid w:val="00557071"/>
    <w:rsid w:val="00560EDB"/>
    <w:rsid w:val="00563AC1"/>
    <w:rsid w:val="005765A0"/>
    <w:rsid w:val="00586532"/>
    <w:rsid w:val="005908DD"/>
    <w:rsid w:val="0059543E"/>
    <w:rsid w:val="00596B3A"/>
    <w:rsid w:val="005A63F7"/>
    <w:rsid w:val="005B15B8"/>
    <w:rsid w:val="005C2E51"/>
    <w:rsid w:val="005E0073"/>
    <w:rsid w:val="005E3BE0"/>
    <w:rsid w:val="005E6044"/>
    <w:rsid w:val="00602047"/>
    <w:rsid w:val="006067AC"/>
    <w:rsid w:val="00607D65"/>
    <w:rsid w:val="0061034B"/>
    <w:rsid w:val="006260D8"/>
    <w:rsid w:val="00627923"/>
    <w:rsid w:val="00633969"/>
    <w:rsid w:val="00633B8B"/>
    <w:rsid w:val="0063746A"/>
    <w:rsid w:val="00637900"/>
    <w:rsid w:val="00657B8A"/>
    <w:rsid w:val="00686AD4"/>
    <w:rsid w:val="006A1569"/>
    <w:rsid w:val="006A443E"/>
    <w:rsid w:val="006A55C5"/>
    <w:rsid w:val="006A73A5"/>
    <w:rsid w:val="006B0DF7"/>
    <w:rsid w:val="006B3FA2"/>
    <w:rsid w:val="006B57DF"/>
    <w:rsid w:val="006D6104"/>
    <w:rsid w:val="006D66E2"/>
    <w:rsid w:val="006E0940"/>
    <w:rsid w:val="006E14B5"/>
    <w:rsid w:val="006E1BFE"/>
    <w:rsid w:val="006E4F88"/>
    <w:rsid w:val="006E52BA"/>
    <w:rsid w:val="00702C96"/>
    <w:rsid w:val="00705512"/>
    <w:rsid w:val="00713E63"/>
    <w:rsid w:val="00717531"/>
    <w:rsid w:val="00730262"/>
    <w:rsid w:val="00732A3F"/>
    <w:rsid w:val="00732BC4"/>
    <w:rsid w:val="00733FE1"/>
    <w:rsid w:val="00766FB1"/>
    <w:rsid w:val="00785295"/>
    <w:rsid w:val="00791C9C"/>
    <w:rsid w:val="007A08D3"/>
    <w:rsid w:val="007A6F13"/>
    <w:rsid w:val="007C0A56"/>
    <w:rsid w:val="007D4E0A"/>
    <w:rsid w:val="007E1550"/>
    <w:rsid w:val="007F15E3"/>
    <w:rsid w:val="00825B67"/>
    <w:rsid w:val="008326AE"/>
    <w:rsid w:val="00844D86"/>
    <w:rsid w:val="0084573D"/>
    <w:rsid w:val="00845A4B"/>
    <w:rsid w:val="0085043F"/>
    <w:rsid w:val="008525C7"/>
    <w:rsid w:val="00860294"/>
    <w:rsid w:val="00860C12"/>
    <w:rsid w:val="00861AE9"/>
    <w:rsid w:val="00861BE0"/>
    <w:rsid w:val="008723E9"/>
    <w:rsid w:val="00874A63"/>
    <w:rsid w:val="0088295E"/>
    <w:rsid w:val="00886564"/>
    <w:rsid w:val="0089392A"/>
    <w:rsid w:val="00894E42"/>
    <w:rsid w:val="008951A9"/>
    <w:rsid w:val="0089757B"/>
    <w:rsid w:val="008A66CD"/>
    <w:rsid w:val="008B5871"/>
    <w:rsid w:val="008C01CF"/>
    <w:rsid w:val="008C0E9E"/>
    <w:rsid w:val="008F5BEC"/>
    <w:rsid w:val="00903604"/>
    <w:rsid w:val="00907C78"/>
    <w:rsid w:val="009214A0"/>
    <w:rsid w:val="00924E22"/>
    <w:rsid w:val="00944D59"/>
    <w:rsid w:val="0095525E"/>
    <w:rsid w:val="00965504"/>
    <w:rsid w:val="00970379"/>
    <w:rsid w:val="009801BA"/>
    <w:rsid w:val="009805DE"/>
    <w:rsid w:val="00990864"/>
    <w:rsid w:val="00994272"/>
    <w:rsid w:val="009A77EC"/>
    <w:rsid w:val="009C04D8"/>
    <w:rsid w:val="009F3555"/>
    <w:rsid w:val="009F7A71"/>
    <w:rsid w:val="00A111DA"/>
    <w:rsid w:val="00A22EF4"/>
    <w:rsid w:val="00A256F9"/>
    <w:rsid w:val="00A346F0"/>
    <w:rsid w:val="00A4460B"/>
    <w:rsid w:val="00A473FA"/>
    <w:rsid w:val="00A532EE"/>
    <w:rsid w:val="00A6602E"/>
    <w:rsid w:val="00A67C16"/>
    <w:rsid w:val="00A72491"/>
    <w:rsid w:val="00A72A16"/>
    <w:rsid w:val="00A83F43"/>
    <w:rsid w:val="00A91CB3"/>
    <w:rsid w:val="00AA16F4"/>
    <w:rsid w:val="00AA403D"/>
    <w:rsid w:val="00AB4D3B"/>
    <w:rsid w:val="00AB64E3"/>
    <w:rsid w:val="00AB650A"/>
    <w:rsid w:val="00AC3774"/>
    <w:rsid w:val="00AD784B"/>
    <w:rsid w:val="00AE7139"/>
    <w:rsid w:val="00AF35DE"/>
    <w:rsid w:val="00AF55CA"/>
    <w:rsid w:val="00AF6824"/>
    <w:rsid w:val="00B0566F"/>
    <w:rsid w:val="00B263C0"/>
    <w:rsid w:val="00B3212E"/>
    <w:rsid w:val="00B35AA2"/>
    <w:rsid w:val="00B44389"/>
    <w:rsid w:val="00B47EA0"/>
    <w:rsid w:val="00B54B80"/>
    <w:rsid w:val="00B57DBD"/>
    <w:rsid w:val="00B70E33"/>
    <w:rsid w:val="00B85F6B"/>
    <w:rsid w:val="00B93602"/>
    <w:rsid w:val="00BA5C88"/>
    <w:rsid w:val="00BB146F"/>
    <w:rsid w:val="00BB6D00"/>
    <w:rsid w:val="00BC6F34"/>
    <w:rsid w:val="00BD2863"/>
    <w:rsid w:val="00BD65E2"/>
    <w:rsid w:val="00BE0CD8"/>
    <w:rsid w:val="00BE3DBD"/>
    <w:rsid w:val="00BE56E8"/>
    <w:rsid w:val="00BE6D5F"/>
    <w:rsid w:val="00BF476B"/>
    <w:rsid w:val="00C12D3D"/>
    <w:rsid w:val="00C238CB"/>
    <w:rsid w:val="00C2594A"/>
    <w:rsid w:val="00C2623C"/>
    <w:rsid w:val="00C369AF"/>
    <w:rsid w:val="00C40E58"/>
    <w:rsid w:val="00C413FB"/>
    <w:rsid w:val="00C4471F"/>
    <w:rsid w:val="00C469F5"/>
    <w:rsid w:val="00C5004E"/>
    <w:rsid w:val="00C610B6"/>
    <w:rsid w:val="00C67975"/>
    <w:rsid w:val="00C71201"/>
    <w:rsid w:val="00C71402"/>
    <w:rsid w:val="00C72E5D"/>
    <w:rsid w:val="00C7656D"/>
    <w:rsid w:val="00C77EB9"/>
    <w:rsid w:val="00C8088F"/>
    <w:rsid w:val="00C85676"/>
    <w:rsid w:val="00C87CC3"/>
    <w:rsid w:val="00C95EC4"/>
    <w:rsid w:val="00CA2013"/>
    <w:rsid w:val="00CA48E7"/>
    <w:rsid w:val="00CA666C"/>
    <w:rsid w:val="00CA7AEF"/>
    <w:rsid w:val="00CB13D4"/>
    <w:rsid w:val="00CB3BE1"/>
    <w:rsid w:val="00CD787A"/>
    <w:rsid w:val="00CE00CF"/>
    <w:rsid w:val="00CE5EEE"/>
    <w:rsid w:val="00CF781D"/>
    <w:rsid w:val="00D21895"/>
    <w:rsid w:val="00D32E5C"/>
    <w:rsid w:val="00D3660F"/>
    <w:rsid w:val="00D45AEE"/>
    <w:rsid w:val="00D479A6"/>
    <w:rsid w:val="00D50A72"/>
    <w:rsid w:val="00D5588B"/>
    <w:rsid w:val="00D60523"/>
    <w:rsid w:val="00D641CE"/>
    <w:rsid w:val="00D71719"/>
    <w:rsid w:val="00D754CB"/>
    <w:rsid w:val="00D817F7"/>
    <w:rsid w:val="00D86CD2"/>
    <w:rsid w:val="00D9469E"/>
    <w:rsid w:val="00DA1B06"/>
    <w:rsid w:val="00DA3954"/>
    <w:rsid w:val="00DB22F3"/>
    <w:rsid w:val="00DB6A92"/>
    <w:rsid w:val="00DC3353"/>
    <w:rsid w:val="00DC6795"/>
    <w:rsid w:val="00DD5408"/>
    <w:rsid w:val="00DD7B12"/>
    <w:rsid w:val="00DF5A43"/>
    <w:rsid w:val="00E07850"/>
    <w:rsid w:val="00E2355B"/>
    <w:rsid w:val="00E238C2"/>
    <w:rsid w:val="00E35EB0"/>
    <w:rsid w:val="00E500CF"/>
    <w:rsid w:val="00E534E2"/>
    <w:rsid w:val="00E676A0"/>
    <w:rsid w:val="00E71A93"/>
    <w:rsid w:val="00E90B24"/>
    <w:rsid w:val="00E97605"/>
    <w:rsid w:val="00EA1B3D"/>
    <w:rsid w:val="00EA320B"/>
    <w:rsid w:val="00EA4206"/>
    <w:rsid w:val="00EB20DA"/>
    <w:rsid w:val="00EB6A30"/>
    <w:rsid w:val="00EC662F"/>
    <w:rsid w:val="00ED3E4E"/>
    <w:rsid w:val="00EF279E"/>
    <w:rsid w:val="00EF2F58"/>
    <w:rsid w:val="00EF4E0F"/>
    <w:rsid w:val="00EF5055"/>
    <w:rsid w:val="00EF67B3"/>
    <w:rsid w:val="00EF69D5"/>
    <w:rsid w:val="00EF6D03"/>
    <w:rsid w:val="00EF780B"/>
    <w:rsid w:val="00F04C7B"/>
    <w:rsid w:val="00F0521B"/>
    <w:rsid w:val="00F16AC6"/>
    <w:rsid w:val="00F21222"/>
    <w:rsid w:val="00F3247D"/>
    <w:rsid w:val="00F337F6"/>
    <w:rsid w:val="00F45833"/>
    <w:rsid w:val="00F53FC5"/>
    <w:rsid w:val="00F64443"/>
    <w:rsid w:val="00F819D3"/>
    <w:rsid w:val="00F844C1"/>
    <w:rsid w:val="00F92697"/>
    <w:rsid w:val="00F9323F"/>
    <w:rsid w:val="00F9702A"/>
    <w:rsid w:val="00FA31B2"/>
    <w:rsid w:val="00FB2E48"/>
    <w:rsid w:val="00FB3F38"/>
    <w:rsid w:val="00FC0343"/>
    <w:rsid w:val="00FD73A1"/>
    <w:rsid w:val="00FE27D9"/>
    <w:rsid w:val="00FE6AD8"/>
    <w:rsid w:val="00FF11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331B20"/>
  <w15:docId w15:val="{4269BCDF-EDD5-4418-8DE3-E9E3DDE9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D6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A83F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Joosty Skhosana</cp:lastModifiedBy>
  <cp:revision>2</cp:revision>
  <cp:lastPrinted>2022-07-05T16:44:00Z</cp:lastPrinted>
  <dcterms:created xsi:type="dcterms:W3CDTF">2022-07-25T09:08:00Z</dcterms:created>
  <dcterms:modified xsi:type="dcterms:W3CDTF">2022-07-25T09:08:00Z</dcterms:modified>
</cp:coreProperties>
</file>