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</w:t>
      </w:r>
      <w:r w:rsidR="00453A33" w:rsidRPr="000B76CE">
        <w:rPr>
          <w:rFonts w:ascii="Arial Narrow" w:hAnsi="Arial Narrow" w:cs="Times New Roman"/>
          <w:color w:val="000000"/>
        </w:rPr>
        <w:lastRenderedPageBreak/>
        <w:t xml:space="preserve">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cause(s). As </w:t>
      </w:r>
      <w:r w:rsidRPr="00AA49D4">
        <w:rPr>
          <w:rFonts w:ascii="Arial Narrow" w:hAnsi="Arial Narrow" w:cs="Times New Roman"/>
          <w:color w:val="000000"/>
        </w:rPr>
        <w:lastRenderedPageBreak/>
        <w:t>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 xml:space="preserve">own merits. According to section 32 of </w:t>
      </w:r>
      <w:r w:rsidRPr="00805562">
        <w:rPr>
          <w:rFonts w:ascii="Arial Narrow" w:hAnsi="Arial Narrow" w:cs="Times New Roman"/>
          <w:color w:val="000000"/>
        </w:rPr>
        <w:lastRenderedPageBreak/>
        <w:t>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46F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2022-06-05T13:19:00Z</dcterms:created>
  <dcterms:modified xsi:type="dcterms:W3CDTF">2022-06-05T13:19:00Z</dcterms:modified>
</cp:coreProperties>
</file>