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89" w:rsidRPr="004B6C89" w:rsidRDefault="004B6C89" w:rsidP="000905D2">
      <w:pPr>
        <w:widowControl w:val="0"/>
        <w:spacing w:after="100" w:line="240" w:lineRule="auto"/>
        <w:rPr>
          <w:rFonts w:ascii="Arial" w:hAnsi="Arial" w:cs="Arial"/>
          <w:b/>
          <w:bCs/>
          <w:sz w:val="4"/>
          <w:szCs w:val="4"/>
        </w:rPr>
        <w:sectPr w:rsidR="004B6C89" w:rsidRPr="004B6C89" w:rsidSect="007C01E1">
          <w:headerReference w:type="default" r:id="rId11"/>
          <w:footerReference w:type="default" r:id="rId12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3969"/>
      </w:tblGrid>
      <w:tr w:rsidR="00084EFC" w:rsidRPr="00174610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:rsidR="00084EFC" w:rsidRPr="00174610" w:rsidRDefault="00084EFC" w:rsidP="002B6BEC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REQUEST FOR QUOTATION</w:t>
            </w:r>
          </w:p>
        </w:tc>
      </w:tr>
      <w:tr w:rsidR="00084EFC" w:rsidRPr="00174610" w:rsidTr="00174610">
        <w:tc>
          <w:tcPr>
            <w:tcW w:w="1668" w:type="dxa"/>
            <w:tcBorders>
              <w:top w:val="single" w:sz="8" w:space="0" w:color="auto"/>
            </w:tcBorders>
          </w:tcPr>
          <w:p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Business: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Attention:</w:t>
            </w:r>
          </w:p>
        </w:tc>
        <w:tc>
          <w:tcPr>
            <w:tcW w:w="8079" w:type="dxa"/>
            <w:gridSpan w:val="2"/>
          </w:tcPr>
          <w:p w:rsidR="00084EFC" w:rsidRPr="00174610" w:rsidRDefault="003E2CA9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SCM</w:t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 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1" w:name="Text4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 xml:space="preserve">Fax 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2" w:name="Text5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 South Africa</w:t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Re:</w:t>
            </w:r>
          </w:p>
        </w:tc>
        <w:tc>
          <w:tcPr>
            <w:tcW w:w="8079" w:type="dxa"/>
            <w:gridSpan w:val="2"/>
          </w:tcPr>
          <w:p w:rsidR="00084EFC" w:rsidRPr="00174610" w:rsidRDefault="00EF0460" w:rsidP="005E2842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t>R</w:t>
            </w:r>
            <w:r w:rsidRPr="00366F0E">
              <w:rPr>
                <w:rFonts w:ascii="Arial" w:hAnsi="Arial" w:cs="Arial"/>
                <w:lang w:val="en-GB"/>
              </w:rPr>
              <w:t xml:space="preserve">equest </w:t>
            </w:r>
            <w:r w:rsidR="00726292">
              <w:rPr>
                <w:rFonts w:ascii="Arial" w:hAnsi="Arial" w:cs="Arial"/>
                <w:lang w:val="en-GB"/>
              </w:rPr>
              <w:t xml:space="preserve">for </w:t>
            </w:r>
            <w:r w:rsidR="00EF18C1" w:rsidRPr="00366F0E">
              <w:rPr>
                <w:rFonts w:ascii="Arial" w:hAnsi="Arial" w:cs="Arial"/>
                <w:lang w:val="en-GB"/>
              </w:rPr>
              <w:t>supply</w:t>
            </w:r>
            <w:r w:rsidR="008A0B07">
              <w:rPr>
                <w:rFonts w:ascii="Arial" w:hAnsi="Arial" w:cs="Arial"/>
                <w:lang w:val="en-GB"/>
              </w:rPr>
              <w:t xml:space="preserve"> </w:t>
            </w:r>
            <w:r w:rsidR="005E2842">
              <w:rPr>
                <w:rFonts w:ascii="Arial" w:hAnsi="Arial" w:cs="Arial"/>
                <w:lang w:val="en-GB"/>
              </w:rPr>
              <w:t>of offsite storage facility management</w:t>
            </w:r>
            <w:r w:rsidR="00726292">
              <w:rPr>
                <w:rFonts w:ascii="Arial" w:hAnsi="Arial" w:cs="Arial"/>
                <w:lang w:val="en-GB"/>
              </w:rPr>
              <w:t xml:space="preserve"> for backup tape cartridges for a period of 24 months</w:t>
            </w:r>
          </w:p>
        </w:tc>
      </w:tr>
      <w:tr w:rsidR="002D4407" w:rsidRPr="00174610" w:rsidTr="00174610">
        <w:tc>
          <w:tcPr>
            <w:tcW w:w="1668" w:type="dxa"/>
          </w:tcPr>
          <w:p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2D4407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407" w:rsidRPr="00174610" w:rsidTr="002D4407">
        <w:tc>
          <w:tcPr>
            <w:tcW w:w="1668" w:type="dxa"/>
            <w:tcBorders>
              <w:bottom w:val="single" w:sz="8" w:space="0" w:color="auto"/>
            </w:tcBorders>
          </w:tcPr>
          <w:p w:rsidR="002D4407" w:rsidRPr="00174610" w:rsidRDefault="002D4407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8" w:space="0" w:color="auto"/>
            </w:tcBorders>
          </w:tcPr>
          <w:p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2D4407">
        <w:tc>
          <w:tcPr>
            <w:tcW w:w="1668" w:type="dxa"/>
            <w:tcBorders>
              <w:top w:val="single" w:sz="8" w:space="0" w:color="auto"/>
            </w:tcBorders>
          </w:tcPr>
          <w:p w:rsidR="00084EFC" w:rsidRPr="00174610" w:rsidRDefault="002D4407" w:rsidP="002D4407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Message</w:t>
            </w:r>
            <w:r w:rsidR="00084EFC"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:rsidR="00084EFC" w:rsidRPr="00174610" w:rsidRDefault="00084EFC" w:rsidP="00B36BC6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Quotation due:</w:t>
            </w:r>
          </w:p>
        </w:tc>
        <w:tc>
          <w:tcPr>
            <w:tcW w:w="4110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</w:tc>
      </w:tr>
    </w:tbl>
    <w:p w:rsidR="00C848AA" w:rsidRPr="00174610" w:rsidRDefault="00C848AA" w:rsidP="00174610">
      <w:pPr>
        <w:pStyle w:val="Heading4"/>
        <w:keepNext w:val="0"/>
        <w:jc w:val="left"/>
        <w:rPr>
          <w:rFonts w:ascii="Arial" w:hAnsi="Arial" w:cs="Arial"/>
          <w:b w:val="0"/>
          <w:bCs w:val="0"/>
        </w:rPr>
      </w:pPr>
    </w:p>
    <w:p w:rsidR="00174610" w:rsidRDefault="00174610" w:rsidP="00174610">
      <w:pPr>
        <w:rPr>
          <w:rFonts w:ascii="Arial" w:hAnsi="Arial" w:cs="Arial"/>
          <w:sz w:val="20"/>
          <w:szCs w:val="20"/>
          <w:lang w:val="en-GB"/>
        </w:rPr>
      </w:pPr>
    </w:p>
    <w:p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Objective</w:t>
      </w:r>
    </w:p>
    <w:p w:rsidR="007510D3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5B5CDF">
        <w:rPr>
          <w:rFonts w:ascii="Arial" w:eastAsia="Times New Roman" w:hAnsi="Arial" w:cs="Arial"/>
          <w:sz w:val="20"/>
          <w:szCs w:val="20"/>
          <w:lang w:val="en-GB"/>
        </w:rPr>
        <w:t xml:space="preserve">To request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 xml:space="preserve">prospective service provider for the provision of an off-site storage facility for Stats SA backup 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tape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>cartridges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 for a period of 24 Months</w:t>
      </w:r>
    </w:p>
    <w:p w:rsidR="005B5CDF" w:rsidRPr="005B5CDF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Background</w:t>
      </w:r>
    </w:p>
    <w:p w:rsidR="007510D3" w:rsidRPr="00D423CA" w:rsidRDefault="007510D3" w:rsidP="007510D3">
      <w:pPr>
        <w:pStyle w:val="Normal1"/>
        <w:spacing w:after="0"/>
        <w:rPr>
          <w:rFonts w:ascii="Arial" w:hAnsi="Arial" w:cs="Arial"/>
          <w:lang w:val="en-GB"/>
        </w:rPr>
      </w:pPr>
    </w:p>
    <w:p w:rsidR="009E3E4C" w:rsidRDefault="009E3E4C" w:rsidP="009E3E4C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23CA">
        <w:rPr>
          <w:rFonts w:ascii="Arial" w:hAnsi="Arial" w:cs="Arial"/>
          <w:lang w:val="en-GB"/>
        </w:rPr>
        <w:t>Stat</w:t>
      </w:r>
      <w:r>
        <w:rPr>
          <w:rFonts w:ascii="Arial" w:hAnsi="Arial" w:cs="Arial"/>
          <w:lang w:val="en-GB"/>
        </w:rPr>
        <w:t xml:space="preserve">s </w:t>
      </w:r>
      <w:r w:rsidRPr="00D423CA">
        <w:rPr>
          <w:rFonts w:ascii="Arial" w:hAnsi="Arial" w:cs="Arial"/>
          <w:lang w:val="en-GB"/>
        </w:rPr>
        <w:t xml:space="preserve">SA ICT </w:t>
      </w:r>
      <w:r>
        <w:rPr>
          <w:rFonts w:ascii="Arial" w:hAnsi="Arial" w:cs="Arial"/>
          <w:color w:val="000000" w:themeColor="text1"/>
          <w:sz w:val="20"/>
          <w:szCs w:val="20"/>
        </w:rPr>
        <w:t>is responsible for the backup of shared corporate data and restoration thereof from an unexpected failure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, whether the situation involves a simple component failure or the complete destruction of a site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as outlined on the backup and restore policy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Due to the criticality of specific application systems, it is essential that in the event of such a failure, Stats SA</w:t>
      </w:r>
      <w:r w:rsidRPr="00B97A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is able t</w:t>
      </w:r>
      <w:r>
        <w:rPr>
          <w:rFonts w:ascii="Arial" w:hAnsi="Arial" w:cs="Arial"/>
          <w:color w:val="000000" w:themeColor="text1"/>
          <w:sz w:val="20"/>
          <w:szCs w:val="20"/>
        </w:rPr>
        <w:t>o resume functionality for the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 xml:space="preserve"> critical servers within the defined business period, as determined by the type of failure and services affected.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1FE4">
        <w:rPr>
          <w:rFonts w:ascii="Arial" w:hAnsi="Arial" w:cs="Arial"/>
          <w:color w:val="000000" w:themeColor="text1"/>
          <w:sz w:val="20"/>
          <w:szCs w:val="20"/>
        </w:rPr>
        <w:t>To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achieve this Stats S</w:t>
      </w:r>
      <w:r w:rsidR="005E2842">
        <w:rPr>
          <w:rFonts w:ascii="Arial" w:hAnsi="Arial" w:cs="Arial"/>
          <w:color w:val="000000" w:themeColor="text1"/>
          <w:sz w:val="20"/>
          <w:szCs w:val="20"/>
        </w:rPr>
        <w:t>A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requires the services of service provider who specializes with offsite storage facility management</w:t>
      </w:r>
      <w:r w:rsidR="0072629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E3E4C" w:rsidRDefault="009E3E4C" w:rsidP="00D423CA">
      <w:pPr>
        <w:pStyle w:val="Normal1"/>
        <w:spacing w:after="0" w:line="360" w:lineRule="auto"/>
        <w:ind w:left="425"/>
        <w:rPr>
          <w:rFonts w:ascii="Arial" w:hAnsi="Arial" w:cs="Arial"/>
          <w:lang w:val="en-GB"/>
        </w:rPr>
      </w:pPr>
    </w:p>
    <w:p w:rsidR="007510D3" w:rsidRPr="008C2E6F" w:rsidRDefault="007510D3" w:rsidP="007510D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>Summary of ICT Objectives</w:t>
      </w:r>
    </w:p>
    <w:p w:rsidR="007510D3" w:rsidRDefault="007510D3" w:rsidP="007510D3">
      <w:pPr>
        <w:pStyle w:val="Normal1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9459" w:type="dxa"/>
        <w:tblInd w:w="288" w:type="dxa"/>
        <w:tblLook w:val="01E0" w:firstRow="1" w:lastRow="1" w:firstColumn="1" w:lastColumn="1" w:noHBand="0" w:noVBand="0"/>
      </w:tblPr>
      <w:tblGrid>
        <w:gridCol w:w="1521"/>
        <w:gridCol w:w="7938"/>
      </w:tblGrid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1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sz w:val="20"/>
                <w:szCs w:val="20"/>
              </w:rPr>
            </w:pPr>
            <w:r w:rsidRPr="004A6513">
              <w:rPr>
                <w:rFonts w:ascii="Arial" w:hAnsi="Arial"/>
                <w:sz w:val="20"/>
                <w:szCs w:val="20"/>
              </w:rPr>
              <w:t>Delivery of reliable and highly available, secure, cost effective ICT Solutions and services to support business operations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2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Optimise and automate ICT processes to improve efficiency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3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Alignment of business strategy with ICT initiatives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4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Implement efficient ICT governance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5</w:t>
            </w:r>
          </w:p>
        </w:tc>
        <w:tc>
          <w:tcPr>
            <w:tcW w:w="7938" w:type="dxa"/>
          </w:tcPr>
          <w:p w:rsidR="007510D3" w:rsidRDefault="007510D3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 w:cs="Arial"/>
                <w:bCs/>
                <w:sz w:val="20"/>
                <w:szCs w:val="20"/>
              </w:rPr>
              <w:t>Personnel Management</w:t>
            </w:r>
            <w:r w:rsidRPr="004A6513">
              <w:rPr>
                <w:rFonts w:ascii="Arial" w:hAnsi="Arial"/>
                <w:bCs/>
                <w:sz w:val="20"/>
                <w:szCs w:val="20"/>
              </w:rPr>
              <w:t xml:space="preserve"> Development, recruitment and retention of skilled ICT Personnel</w:t>
            </w:r>
          </w:p>
          <w:p w:rsidR="005357F1" w:rsidRPr="004A6513" w:rsidRDefault="005357F1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7510D3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 xml:space="preserve">Scope </w:t>
      </w:r>
      <w:r w:rsidR="007B5811">
        <w:rPr>
          <w:rFonts w:ascii="Arial" w:hAnsi="Arial" w:cs="Arial"/>
          <w:b/>
          <w:sz w:val="22"/>
          <w:szCs w:val="22"/>
        </w:rPr>
        <w:t>of Work</w:t>
      </w:r>
      <w:r w:rsidR="00FB619A">
        <w:rPr>
          <w:rFonts w:ascii="Arial" w:hAnsi="Arial" w:cs="Arial"/>
          <w:b/>
          <w:sz w:val="22"/>
          <w:szCs w:val="22"/>
        </w:rPr>
        <w:t xml:space="preserve"> </w:t>
      </w:r>
    </w:p>
    <w:p w:rsidR="00515DC9" w:rsidRDefault="00515DC9" w:rsidP="00515DC9">
      <w:pPr>
        <w:pStyle w:val="ListParagraph"/>
        <w:spacing w:line="360" w:lineRule="auto"/>
        <w:ind w:left="78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515DC9">
        <w:rPr>
          <w:rFonts w:ascii="Arial" w:hAnsi="Arial" w:cs="Arial"/>
          <w:sz w:val="20"/>
          <w:szCs w:val="20"/>
          <w:lang w:val="en-GB"/>
        </w:rPr>
        <w:t>he provision of an off-site storage facility for Stats SA backup medium cartridges</w:t>
      </w:r>
      <w:r>
        <w:rPr>
          <w:rFonts w:ascii="Arial" w:hAnsi="Arial" w:cs="Arial"/>
          <w:sz w:val="20"/>
          <w:szCs w:val="20"/>
          <w:lang w:val="en-GB"/>
        </w:rPr>
        <w:t xml:space="preserve"> which comprises of the following services from service provider:</w:t>
      </w:r>
    </w:p>
    <w:p w:rsidR="00515DC9" w:rsidRDefault="00515DC9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secure, </w:t>
      </w:r>
      <w:r w:rsidRPr="00515DC9">
        <w:rPr>
          <w:rFonts w:ascii="Arial" w:hAnsi="Arial" w:cs="Arial"/>
          <w:sz w:val="20"/>
          <w:szCs w:val="20"/>
          <w:lang w:val="en-GB"/>
        </w:rPr>
        <w:t>safe</w:t>
      </w:r>
      <w:r>
        <w:rPr>
          <w:rFonts w:ascii="Arial" w:hAnsi="Arial" w:cs="Arial"/>
          <w:sz w:val="20"/>
          <w:szCs w:val="20"/>
          <w:lang w:val="en-GB"/>
        </w:rPr>
        <w:t>, fire and waterproofed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storage 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facility, suitable for the purpose </w:t>
      </w:r>
      <w:r w:rsidR="00D76883">
        <w:rPr>
          <w:rFonts w:ascii="Arial" w:hAnsi="Arial" w:cs="Arial"/>
          <w:sz w:val="20"/>
          <w:szCs w:val="20"/>
          <w:lang w:val="en-GB"/>
        </w:rPr>
        <w:t>storage tape cartridges.</w:t>
      </w:r>
    </w:p>
    <w:p w:rsidR="000E51AC" w:rsidRPr="0043406A" w:rsidRDefault="000E51AC" w:rsidP="000E51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>Access to the off-site storage facility should be controlled in order to protect Stats SA data against unauthorized access, loss, damage, destruction, theft and breach of confidentiality;</w:t>
      </w:r>
    </w:p>
    <w:p w:rsidR="00515DC9" w:rsidRDefault="00AE6601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Digital </w:t>
      </w:r>
      <w:r w:rsidR="00515DC9">
        <w:rPr>
          <w:rFonts w:ascii="Arial" w:hAnsi="Arial" w:cs="Arial"/>
          <w:sz w:val="20"/>
          <w:szCs w:val="20"/>
          <w:lang w:val="en-GB"/>
        </w:rPr>
        <w:t>Record management system that will enable tracking and retrieval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of cartridges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request for tapes to 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Stats SA offices </w:t>
      </w:r>
      <w:r>
        <w:rPr>
          <w:rFonts w:ascii="Arial" w:hAnsi="Arial" w:cs="Arial"/>
          <w:sz w:val="20"/>
          <w:szCs w:val="20"/>
          <w:lang w:val="en-GB"/>
        </w:rPr>
        <w:t>from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 off-site storage </w:t>
      </w:r>
      <w:r>
        <w:rPr>
          <w:rFonts w:ascii="Arial" w:hAnsi="Arial" w:cs="Arial"/>
          <w:sz w:val="20"/>
          <w:szCs w:val="20"/>
          <w:lang w:val="en-GB"/>
        </w:rPr>
        <w:t>should be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with</w:t>
      </w:r>
      <w:r>
        <w:rPr>
          <w:rFonts w:ascii="Arial" w:hAnsi="Arial" w:cs="Arial"/>
          <w:sz w:val="20"/>
          <w:szCs w:val="20"/>
          <w:lang w:val="en-GB"/>
        </w:rPr>
        <w:t>in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2 hours</w:t>
      </w:r>
      <w:r>
        <w:rPr>
          <w:rFonts w:ascii="Arial" w:hAnsi="Arial" w:cs="Arial"/>
          <w:sz w:val="20"/>
          <w:szCs w:val="20"/>
          <w:lang w:val="en-GB"/>
        </w:rPr>
        <w:t xml:space="preserve"> for </w:t>
      </w:r>
      <w:r w:rsidR="009A4293">
        <w:rPr>
          <w:rFonts w:ascii="Arial" w:hAnsi="Arial" w:cs="Arial"/>
          <w:sz w:val="20"/>
          <w:szCs w:val="20"/>
          <w:lang w:val="en-GB"/>
        </w:rPr>
        <w:t>urgent request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3406A">
        <w:rPr>
          <w:rFonts w:ascii="Arial" w:hAnsi="Arial" w:cs="Arial"/>
          <w:sz w:val="20"/>
          <w:szCs w:val="20"/>
          <w:lang w:val="en-GB"/>
        </w:rPr>
        <w:t xml:space="preserve">and within 8 </w:t>
      </w:r>
      <w:r w:rsidR="00AD3E26">
        <w:rPr>
          <w:rFonts w:ascii="Arial" w:hAnsi="Arial" w:cs="Arial"/>
          <w:sz w:val="20"/>
          <w:szCs w:val="20"/>
          <w:lang w:val="en-GB"/>
        </w:rPr>
        <w:t xml:space="preserve">working </w:t>
      </w:r>
      <w:r w:rsidR="0043406A">
        <w:rPr>
          <w:rFonts w:ascii="Arial" w:hAnsi="Arial" w:cs="Arial"/>
          <w:sz w:val="20"/>
          <w:szCs w:val="20"/>
          <w:lang w:val="en-GB"/>
        </w:rPr>
        <w:t>hours</w:t>
      </w:r>
      <w:r w:rsidR="00AD3E26">
        <w:rPr>
          <w:rFonts w:ascii="Arial" w:hAnsi="Arial" w:cs="Arial"/>
          <w:sz w:val="20"/>
          <w:szCs w:val="20"/>
          <w:lang w:val="en-GB"/>
        </w:rPr>
        <w:t xml:space="preserve"> for non-urgent requests.</w:t>
      </w:r>
    </w:p>
    <w:p w:rsidR="006927E7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Collections and deliveries must be done on Wednesdays and, should there be any unforeseen circumsta</w:t>
      </w:r>
      <w:r w:rsidR="00A11FE4">
        <w:rPr>
          <w:rFonts w:ascii="Arial" w:hAnsi="Arial" w:cs="Arial"/>
          <w:sz w:val="20"/>
          <w:szCs w:val="20"/>
          <w:lang w:val="en-GB"/>
        </w:rPr>
        <w:t>nces or holiday on Wednesday an alternative for</w:t>
      </w:r>
      <w:r>
        <w:rPr>
          <w:rFonts w:ascii="Arial" w:hAnsi="Arial" w:cs="Arial"/>
          <w:sz w:val="20"/>
          <w:szCs w:val="20"/>
          <w:lang w:val="en-GB"/>
        </w:rPr>
        <w:t xml:space="preserve"> collection or delivery </w:t>
      </w:r>
      <w:r w:rsidR="00A11FE4">
        <w:rPr>
          <w:rFonts w:ascii="Arial" w:hAnsi="Arial" w:cs="Arial"/>
          <w:sz w:val="20"/>
          <w:szCs w:val="20"/>
          <w:lang w:val="en-GB"/>
        </w:rPr>
        <w:t>should be communicated between service provider and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There should be dedicated personnel’s to service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Stats SA and they should have a form of identification when coming to Stats SA offices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including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</w:t>
      </w:r>
      <w:r w:rsidR="00D76883">
        <w:rPr>
          <w:rFonts w:ascii="Arial" w:hAnsi="Arial" w:cs="Arial"/>
          <w:sz w:val="20"/>
          <w:szCs w:val="20"/>
          <w:lang w:val="en-GB"/>
        </w:rPr>
        <w:t>b</w:t>
      </w:r>
      <w:r w:rsidR="000E51AC">
        <w:rPr>
          <w:rFonts w:ascii="Arial" w:hAnsi="Arial" w:cs="Arial"/>
          <w:sz w:val="20"/>
          <w:szCs w:val="20"/>
          <w:lang w:val="en-GB"/>
        </w:rPr>
        <w:t>randed vehicle</w:t>
      </w:r>
      <w:r w:rsidR="00D76883">
        <w:rPr>
          <w:rFonts w:ascii="Arial" w:hAnsi="Arial" w:cs="Arial"/>
          <w:sz w:val="20"/>
          <w:szCs w:val="20"/>
          <w:lang w:val="en-GB"/>
        </w:rPr>
        <w:t>s</w:t>
      </w:r>
      <w:r w:rsidR="000E51AC">
        <w:rPr>
          <w:rFonts w:ascii="Arial" w:hAnsi="Arial" w:cs="Arial"/>
          <w:sz w:val="20"/>
          <w:szCs w:val="20"/>
          <w:lang w:val="en-GB"/>
        </w:rPr>
        <w:t>.</w:t>
      </w:r>
    </w:p>
    <w:p w:rsidR="00AE6601" w:rsidRDefault="00AE6601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Stats SA should be notified in advance should the dedicated personnel be changed or unavailable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Service provider should have system in place to ensure on</w:t>
      </w:r>
      <w:r w:rsidR="000E51AC">
        <w:rPr>
          <w:rFonts w:ascii="Arial" w:hAnsi="Arial" w:cs="Arial"/>
          <w:sz w:val="20"/>
          <w:szCs w:val="20"/>
          <w:lang w:val="en-GB"/>
        </w:rPr>
        <w:t>ly</w:t>
      </w:r>
      <w:r>
        <w:rPr>
          <w:rFonts w:ascii="Arial" w:hAnsi="Arial" w:cs="Arial"/>
          <w:sz w:val="20"/>
          <w:szCs w:val="20"/>
          <w:lang w:val="en-GB"/>
        </w:rPr>
        <w:t xml:space="preserve"> Stats SA authorised personnel requests the tapes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43406A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 xml:space="preserve">The provision of storage </w:t>
      </w:r>
      <w:r w:rsidR="000E51AC">
        <w:rPr>
          <w:rFonts w:ascii="Arial" w:hAnsi="Arial" w:cs="Arial"/>
          <w:sz w:val="20"/>
          <w:szCs w:val="20"/>
          <w:lang w:val="en-GB"/>
        </w:rPr>
        <w:t>-vault</w:t>
      </w:r>
      <w:r w:rsidR="000E51AC" w:rsidRPr="005E2842">
        <w:rPr>
          <w:rFonts w:ascii="Arial" w:hAnsi="Arial" w:cs="Arial"/>
          <w:sz w:val="20"/>
          <w:szCs w:val="20"/>
          <w:lang w:val="en-GB"/>
        </w:rPr>
        <w:t xml:space="preserve"> </w:t>
      </w:r>
      <w:r w:rsidRPr="005E2842">
        <w:rPr>
          <w:rFonts w:ascii="Arial" w:hAnsi="Arial" w:cs="Arial"/>
          <w:sz w:val="20"/>
          <w:szCs w:val="20"/>
          <w:lang w:val="en-GB"/>
        </w:rPr>
        <w:t xml:space="preserve">and relevant tracking labels for the </w:t>
      </w:r>
      <w:r w:rsidR="005E2842" w:rsidRPr="005E2842">
        <w:rPr>
          <w:rFonts w:ascii="Arial" w:hAnsi="Arial" w:cs="Arial"/>
          <w:sz w:val="20"/>
          <w:szCs w:val="20"/>
          <w:lang w:val="en-GB"/>
        </w:rPr>
        <w:t>packaging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material (Canisters)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D76883" w:rsidRPr="0043406A" w:rsidRDefault="00D76883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Canister must cater for 24 tapes.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Dedicated storage vault or container for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43406A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:rsidR="00D76883" w:rsidRDefault="00D76883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:rsidR="00726292" w:rsidRDefault="00726292" w:rsidP="007262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Storage Requirements</w:t>
      </w:r>
    </w:p>
    <w:p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Stats SA has various storage retention requirement ranging from 4 weeks and 5 years. The canisters should be able to carry up to 24 tape cartridges.</w:t>
      </w:r>
    </w:p>
    <w:p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Weekly: 4 canisters</w:t>
      </w:r>
      <w:r w:rsidR="006701AD">
        <w:rPr>
          <w:rFonts w:ascii="Arial" w:hAnsi="Arial" w:cs="Arial"/>
          <w:sz w:val="22"/>
          <w:szCs w:val="22"/>
        </w:rPr>
        <w:t xml:space="preserve"> per week</w:t>
      </w:r>
    </w:p>
    <w:p w:rsidR="00726292" w:rsidRPr="00726292" w:rsidRDefault="006701AD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Monthly: </w:t>
      </w:r>
      <w:r w:rsidR="00726292" w:rsidRPr="00726292">
        <w:rPr>
          <w:rFonts w:ascii="Arial" w:hAnsi="Arial" w:cs="Arial"/>
          <w:sz w:val="22"/>
          <w:szCs w:val="22"/>
        </w:rPr>
        <w:t>12 canisters</w:t>
      </w:r>
      <w:r>
        <w:rPr>
          <w:rFonts w:ascii="Arial" w:hAnsi="Arial" w:cs="Arial"/>
          <w:sz w:val="22"/>
          <w:szCs w:val="22"/>
        </w:rPr>
        <w:t xml:space="preserve"> per year</w:t>
      </w:r>
    </w:p>
    <w:p w:rsidR="00726292" w:rsidRDefault="006701AD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Yearly: 1canister per year</w:t>
      </w:r>
    </w:p>
    <w:p w:rsidR="00AB071E" w:rsidRDefault="00AB071E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p w:rsidR="00AB071E" w:rsidRDefault="007502F2" w:rsidP="00AB07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Cost Breakdown</w:t>
      </w:r>
    </w:p>
    <w:tbl>
      <w:tblPr>
        <w:tblW w:w="7015" w:type="dxa"/>
        <w:tblInd w:w="720" w:type="dxa"/>
        <w:tblLook w:val="04A0" w:firstRow="1" w:lastRow="0" w:firstColumn="1" w:lastColumn="0" w:noHBand="0" w:noVBand="1"/>
      </w:tblPr>
      <w:tblGrid>
        <w:gridCol w:w="4135"/>
        <w:gridCol w:w="1440"/>
        <w:gridCol w:w="1440"/>
      </w:tblGrid>
      <w:tr w:rsidR="00AB071E" w:rsidRPr="00AB071E" w:rsidTr="00FA7A0F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Fixed Cost Rate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Total Year1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Total Year2</w:t>
            </w:r>
          </w:p>
        </w:tc>
      </w:tr>
      <w:tr w:rsidR="00AB071E" w:rsidRPr="00AB071E" w:rsidTr="00FA7A0F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 xml:space="preserve">Storage </w:t>
            </w:r>
            <w:r w:rsidR="004D235B">
              <w:rPr>
                <w:rFonts w:ascii="Arial" w:eastAsia="Times New Roman" w:hAnsi="Arial" w:cs="Arial"/>
                <w:color w:val="000000"/>
                <w:lang w:eastAsia="en-ZA"/>
              </w:rPr>
              <w:t xml:space="preserve">of </w:t>
            </w: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Canisters</w:t>
            </w:r>
            <w:r w:rsidR="006E21A5">
              <w:rPr>
                <w:rFonts w:ascii="Arial" w:eastAsia="Times New Roman" w:hAnsi="Arial" w:cs="Arial"/>
                <w:color w:val="000000"/>
                <w:lang w:eastAsia="en-ZA"/>
              </w:rPr>
              <w:t xml:space="preserve"> as per storage requirements above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AB071E" w:rsidRPr="00AB071E" w:rsidTr="00FA7A0F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126391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375416">
              <w:rPr>
                <w:rFonts w:ascii="Arial" w:eastAsia="Times New Roman" w:hAnsi="Arial" w:cs="Arial"/>
                <w:color w:val="000000"/>
                <w:lang w:eastAsia="en-ZA"/>
              </w:rPr>
              <w:t>Delivery</w:t>
            </w:r>
            <w:r w:rsidR="00AB071E" w:rsidRPr="00AB071E">
              <w:rPr>
                <w:rFonts w:ascii="Arial" w:eastAsia="Times New Roman" w:hAnsi="Arial" w:cs="Arial"/>
                <w:color w:val="000000"/>
                <w:lang w:eastAsia="en-ZA"/>
              </w:rPr>
              <w:t xml:space="preserve"> and Collection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 once a week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:rsidR="00AB071E" w:rsidRPr="00375416" w:rsidRDefault="00AB071E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tbl>
      <w:tblPr>
        <w:tblW w:w="4770" w:type="dxa"/>
        <w:tblInd w:w="715" w:type="dxa"/>
        <w:tblLook w:val="04A0" w:firstRow="1" w:lastRow="0" w:firstColumn="1" w:lastColumn="0" w:noHBand="0" w:noVBand="1"/>
      </w:tblPr>
      <w:tblGrid>
        <w:gridCol w:w="3690"/>
        <w:gridCol w:w="1080"/>
      </w:tblGrid>
      <w:tr w:rsidR="00126391" w:rsidRPr="00126391" w:rsidTr="00FA7A0F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375416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Variable</w:t>
            </w:r>
            <w:r w:rsidRPr="00126391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Cost Rate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 </w:t>
            </w:r>
          </w:p>
        </w:tc>
      </w:tr>
      <w:tr w:rsidR="00126391" w:rsidRPr="00126391" w:rsidTr="00FA7A0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 xml:space="preserve">2 hour express 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delivery per </w:t>
            </w: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request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126391" w:rsidRPr="00126391" w:rsidTr="00FA7A0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 xml:space="preserve">Normal 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delivery per </w:t>
            </w: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request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:rsidR="00126391" w:rsidRPr="00726292" w:rsidRDefault="00126391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p w:rsidR="00FC47D5" w:rsidRDefault="00FC47D5" w:rsidP="00CD55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552D">
        <w:rPr>
          <w:rFonts w:ascii="Arial" w:hAnsi="Arial" w:cs="Arial"/>
          <w:b/>
          <w:sz w:val="22"/>
          <w:szCs w:val="22"/>
        </w:rPr>
        <w:t>Mandatory Requirements</w:t>
      </w:r>
    </w:p>
    <w:p w:rsidR="00417210" w:rsidRPr="00AF246D" w:rsidRDefault="00417210" w:rsidP="00417210">
      <w:pPr>
        <w:pStyle w:val="Heading1"/>
        <w:numPr>
          <w:ilvl w:val="0"/>
          <w:numId w:val="0"/>
        </w:numPr>
        <w:tabs>
          <w:tab w:val="left" w:pos="720"/>
        </w:tabs>
        <w:ind w:left="786"/>
        <w:jc w:val="both"/>
        <w:rPr>
          <w:rFonts w:cs="Arial"/>
          <w:color w:val="EE0000"/>
        </w:rPr>
      </w:pPr>
      <w:r w:rsidRPr="00AF246D">
        <w:rPr>
          <w:rFonts w:cs="Arial"/>
          <w:color w:val="EE0000"/>
        </w:rPr>
        <w:t xml:space="preserve">NB: </w:t>
      </w:r>
      <w:r w:rsidRPr="00AF246D">
        <w:rPr>
          <w:rFonts w:cs="Arial"/>
          <w:color w:val="EE0000"/>
          <w:lang w:val="en-ZA"/>
        </w:rPr>
        <w:t>Should service providers not comply with all the mandatory requirements and submit relevant documentation, they will be disqualified.</w:t>
      </w:r>
    </w:p>
    <w:p w:rsidR="00417210" w:rsidRPr="00CD552D" w:rsidRDefault="00417210" w:rsidP="00417210">
      <w:pPr>
        <w:pStyle w:val="ListParagraph"/>
        <w:spacing w:line="360" w:lineRule="auto"/>
        <w:ind w:left="786"/>
        <w:jc w:val="both"/>
        <w:rPr>
          <w:rFonts w:ascii="Arial" w:hAnsi="Arial" w:cs="Arial"/>
          <w:b/>
          <w:sz w:val="22"/>
          <w:szCs w:val="22"/>
        </w:rPr>
      </w:pPr>
    </w:p>
    <w:p w:rsidR="00B51D2F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tbl>
      <w:tblPr>
        <w:tblStyle w:val="TableGrid"/>
        <w:tblW w:w="9627" w:type="dxa"/>
        <w:tblInd w:w="607" w:type="dxa"/>
        <w:tblLook w:val="04A0" w:firstRow="1" w:lastRow="0" w:firstColumn="1" w:lastColumn="0" w:noHBand="0" w:noVBand="1"/>
      </w:tblPr>
      <w:tblGrid>
        <w:gridCol w:w="1125"/>
        <w:gridCol w:w="8502"/>
      </w:tblGrid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14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ITEM</w:t>
            </w:r>
          </w:p>
        </w:tc>
        <w:tc>
          <w:tcPr>
            <w:tcW w:w="8502" w:type="dxa"/>
            <w:vAlign w:val="center"/>
          </w:tcPr>
          <w:p w:rsidR="00B51D2F" w:rsidRPr="003442FE" w:rsidRDefault="00B51D2F" w:rsidP="00D0533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DESCRIPTION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9A4293" w:rsidP="009A429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A4293">
              <w:rPr>
                <w:rFonts w:ascii="Arial" w:hAnsi="Arial" w:cs="Arial"/>
                <w:sz w:val="20"/>
                <w:szCs w:val="20"/>
                <w:lang w:val="en-GB"/>
              </w:rPr>
              <w:t xml:space="preserve">A secure, safe, fire and waterproofed storage facility, suitable for the purpose storage tape cartridges 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A request for tapes to Stats SA offices from off-site storage should be within 2 hours for urgent request and within 8 working hours for non-urgent requests.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There should be dedicated personnel’s to services Stats SA and they should have a form of identification when coming to Stats SA offices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AE6601" w:rsidRPr="003442FE" w:rsidRDefault="00AE6601" w:rsidP="00AE66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601">
              <w:rPr>
                <w:rFonts w:ascii="Arial" w:hAnsi="Arial" w:cs="Arial"/>
                <w:sz w:val="20"/>
                <w:szCs w:val="20"/>
                <w:lang w:val="en-GB"/>
              </w:rPr>
              <w:t>Service provider should have system in place to ensure on Stats SA authorised personnel requests the tapes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(e.g Pin)</w:t>
            </w:r>
          </w:p>
        </w:tc>
      </w:tr>
      <w:tr w:rsidR="0076733B" w:rsidRPr="003442FE" w:rsidTr="00D05336">
        <w:tc>
          <w:tcPr>
            <w:tcW w:w="1125" w:type="dxa"/>
            <w:vAlign w:val="center"/>
          </w:tcPr>
          <w:p w:rsidR="0076733B" w:rsidRPr="003442FE" w:rsidRDefault="0076733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76733B" w:rsidRPr="00A277A9" w:rsidRDefault="0076733B" w:rsidP="00AE660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277A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Provide 3 site references where a similar service is offered</w:t>
            </w:r>
          </w:p>
        </w:tc>
      </w:tr>
      <w:tr w:rsidR="0076733B" w:rsidRPr="003442FE" w:rsidTr="00D05336">
        <w:tc>
          <w:tcPr>
            <w:tcW w:w="1125" w:type="dxa"/>
            <w:vAlign w:val="center"/>
          </w:tcPr>
          <w:p w:rsidR="0076733B" w:rsidRPr="003442FE" w:rsidRDefault="0076733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76733B" w:rsidRPr="00A277A9" w:rsidRDefault="0076733B" w:rsidP="00AE660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277A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Enough storage facility to store cartridges from existing service provider </w:t>
            </w:r>
            <w:r w:rsidR="00D7688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including transportation. (Please include on the quote).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B51D2F" w:rsidP="006701AD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Pricing must be in South African Rands</w:t>
            </w:r>
            <w:r w:rsidR="006701AD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and inclusive of VAT</w:t>
            </w:r>
            <w:r w:rsidR="00317CB2"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F558FB" w:rsidRPr="003442FE" w:rsidTr="00D05336">
        <w:tc>
          <w:tcPr>
            <w:tcW w:w="1125" w:type="dxa"/>
            <w:vAlign w:val="center"/>
          </w:tcPr>
          <w:p w:rsidR="00F558FB" w:rsidRPr="003442FE" w:rsidRDefault="00F558F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F558FB" w:rsidRPr="00317CB2" w:rsidRDefault="00F558FB" w:rsidP="00417210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Pricing Schedule should indicate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a yearly 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fixed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total cost</w:t>
            </w:r>
            <w:r w:rsid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(year 1 and year 2)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for a period of 24 months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and variable cost rate as per cost breakdown on heading no.6 “</w:t>
            </w:r>
            <w:r w:rsidR="007A36E0" w:rsidRPr="007A36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Cost Breakdown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”.</w:t>
            </w:r>
          </w:p>
        </w:tc>
      </w:tr>
    </w:tbl>
    <w:p w:rsidR="00B51D2F" w:rsidRPr="003442FE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p w:rsidR="007510D3" w:rsidRDefault="007510D3" w:rsidP="007510D3">
      <w:pPr>
        <w:ind w:left="360"/>
        <w:rPr>
          <w:rFonts w:ascii="Arial" w:hAnsi="Arial"/>
          <w:bCs/>
        </w:rPr>
      </w:pPr>
    </w:p>
    <w:p w:rsidR="00625008" w:rsidRPr="00625008" w:rsidRDefault="00625008" w:rsidP="00174610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sectPr w:rsidR="00625008" w:rsidRPr="00625008" w:rsidSect="00EB37FB">
      <w:headerReference w:type="default" r:id="rId13"/>
      <w:footerReference w:type="default" r:id="rId14"/>
      <w:type w:val="continuous"/>
      <w:pgSz w:w="11906" w:h="16838" w:code="9"/>
      <w:pgMar w:top="1814" w:right="1418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DC" w:rsidRDefault="00DF6DDC" w:rsidP="004B6C89">
      <w:pPr>
        <w:spacing w:after="0" w:line="240" w:lineRule="auto"/>
      </w:pPr>
      <w:r>
        <w:separator/>
      </w:r>
    </w:p>
  </w:endnote>
  <w:endnote w:type="continuationSeparator" w:id="0">
    <w:p w:rsidR="00DF6DDC" w:rsidRDefault="00DF6DDC" w:rsidP="004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www.statssa.gov.za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info@statssa.gov.za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T +27 12</w:t>
    </w:r>
    <w:r>
      <w:rPr>
        <w:rFonts w:ascii="Arial" w:hAnsi="Arial" w:cs="Arial"/>
        <w:sz w:val="16"/>
        <w:szCs w:val="16"/>
      </w:rPr>
      <w:t> </w:t>
    </w:r>
    <w:r w:rsidRPr="004B6C89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10 8911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 +27 12 310 8500</w:t>
    </w:r>
  </w:p>
  <w:p w:rsidR="0016272B" w:rsidRPr="004B6C89" w:rsidRDefault="0016272B" w:rsidP="0016272B">
    <w:pPr>
      <w:spacing w:after="0" w:line="240" w:lineRule="auto"/>
      <w:rPr>
        <w:rFonts w:ascii="Arial" w:hAnsi="Arial" w:cs="Arial"/>
        <w:sz w:val="16"/>
        <w:szCs w:val="16"/>
      </w:rPr>
    </w:pPr>
  </w:p>
  <w:p w:rsidR="0016272B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 xml:space="preserve">Private </w:t>
    </w:r>
    <w:r w:rsidR="00C06B14">
      <w:rPr>
        <w:rFonts w:ascii="Arial" w:hAnsi="Arial" w:cs="Arial"/>
        <w:sz w:val="16"/>
        <w:szCs w:val="16"/>
      </w:rPr>
      <w:t>B</w:t>
    </w:r>
    <w:r w:rsidRPr="004B6C89">
      <w:rPr>
        <w:rFonts w:ascii="Arial" w:hAnsi="Arial" w:cs="Arial"/>
        <w:sz w:val="16"/>
        <w:szCs w:val="16"/>
      </w:rPr>
      <w:t>ag X44, Pretoria, 0001, South Africa</w:t>
    </w:r>
  </w:p>
  <w:p w:rsidR="004B6C89" w:rsidRPr="0016272B" w:rsidRDefault="00D44824" w:rsidP="0016272B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ISIbalo H</w:t>
    </w:r>
    <w:r w:rsidR="0016272B">
      <w:rPr>
        <w:rFonts w:ascii="Arial" w:hAnsi="Arial" w:cs="Arial"/>
        <w:sz w:val="16"/>
        <w:szCs w:val="16"/>
      </w:rPr>
      <w:t xml:space="preserve">ouse, </w:t>
    </w:r>
    <w:r w:rsidR="0016272B" w:rsidRPr="004B6C89">
      <w:rPr>
        <w:rFonts w:ascii="Arial" w:hAnsi="Arial" w:cs="Arial"/>
        <w:sz w:val="16"/>
        <w:szCs w:val="16"/>
      </w:rPr>
      <w:t>Koch Street,</w:t>
    </w:r>
    <w:r w:rsidR="0016272B">
      <w:rPr>
        <w:rFonts w:ascii="Arial" w:hAnsi="Arial" w:cs="Arial"/>
        <w:sz w:val="16"/>
        <w:szCs w:val="16"/>
      </w:rPr>
      <w:t xml:space="preserve"> Salvokop, Pretoria, 0002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B7" w:rsidRPr="00EB41AB" w:rsidRDefault="002C66B7" w:rsidP="002C66B7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EB41AB">
      <w:rPr>
        <w:rFonts w:ascii="Arial" w:hAnsi="Arial" w:cs="Arial"/>
        <w:sz w:val="14"/>
        <w:szCs w:val="14"/>
      </w:rPr>
      <w:t>THE SOUTH AFRICA I KNOW, THE HOME I UNDERSTAND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DC" w:rsidRDefault="00DF6DDC" w:rsidP="004B6C89">
      <w:pPr>
        <w:spacing w:after="0" w:line="240" w:lineRule="auto"/>
      </w:pPr>
      <w:r>
        <w:separator/>
      </w:r>
    </w:p>
  </w:footnote>
  <w:footnote w:type="continuationSeparator" w:id="0">
    <w:p w:rsidR="00DF6DDC" w:rsidRDefault="00DF6DDC" w:rsidP="004B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89" w:rsidRPr="003D0928" w:rsidRDefault="002247E2" w:rsidP="004B6C89">
    <w:pPr>
      <w:pStyle w:val="Header"/>
      <w:rPr>
        <w:rFonts w:ascii="Arial" w:hAnsi="Arial" w:cs="Arial"/>
      </w:rPr>
    </w:pPr>
    <w:r w:rsidRPr="00C30A89">
      <w:rPr>
        <w:rFonts w:ascii="Arial" w:hAnsi="Arial" w:cs="Arial"/>
        <w:noProof/>
        <w:sz w:val="21"/>
        <w:szCs w:val="21"/>
        <w:lang w:eastAsia="en-ZA"/>
      </w:rPr>
      <w:drawing>
        <wp:anchor distT="0" distB="0" distL="114300" distR="114300" simplePos="0" relativeHeight="251659264" behindDoc="1" locked="0" layoutInCell="1" allowOverlap="1" wp14:anchorId="5BBB8C78" wp14:editId="2EE92A4C">
          <wp:simplePos x="0" y="0"/>
          <wp:positionH relativeFrom="margin">
            <wp:posOffset>-471948</wp:posOffset>
          </wp:positionH>
          <wp:positionV relativeFrom="page">
            <wp:posOffset>144186</wp:posOffset>
          </wp:positionV>
          <wp:extent cx="6705600" cy="1628775"/>
          <wp:effectExtent l="0" t="0" r="0" b="952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(without address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Default="004B6C89" w:rsidP="00EB37FB">
    <w:pPr>
      <w:pStyle w:val="Header"/>
      <w:tabs>
        <w:tab w:val="clear" w:pos="9026"/>
      </w:tabs>
      <w:rPr>
        <w:rFonts w:ascii="Arial" w:hAnsi="Arial" w:cs="Arial"/>
      </w:rPr>
    </w:pPr>
  </w:p>
  <w:p w:rsidR="00327B2E" w:rsidRPr="003D0928" w:rsidRDefault="00327B2E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B6C89" w:rsidRPr="004B6C89" w:rsidRDefault="004B6C89" w:rsidP="002C66B7">
        <w:pPr>
          <w:pStyle w:val="Header"/>
          <w:tabs>
            <w:tab w:val="clear" w:pos="4513"/>
            <w:tab w:val="clear" w:pos="9026"/>
            <w:tab w:val="center" w:pos="4820"/>
            <w:tab w:val="right" w:pos="9639"/>
          </w:tabs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E46765">
          <w:rPr>
            <w:rFonts w:ascii="Arial" w:hAnsi="Arial" w:cs="Arial"/>
            <w:noProof/>
            <w:sz w:val="16"/>
            <w:szCs w:val="16"/>
          </w:rPr>
          <w:t>2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8A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10A32"/>
    <w:multiLevelType w:val="hybridMultilevel"/>
    <w:tmpl w:val="9DCC1988"/>
    <w:lvl w:ilvl="0" w:tplc="BB809D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611"/>
    <w:multiLevelType w:val="hybridMultilevel"/>
    <w:tmpl w:val="1FC2A5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B11"/>
    <w:multiLevelType w:val="hybridMultilevel"/>
    <w:tmpl w:val="78B652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43D"/>
    <w:multiLevelType w:val="hybridMultilevel"/>
    <w:tmpl w:val="A94C3876"/>
    <w:lvl w:ilvl="0" w:tplc="DC2CFFF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2091C"/>
    <w:multiLevelType w:val="hybridMultilevel"/>
    <w:tmpl w:val="658A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7C9"/>
    <w:multiLevelType w:val="hybridMultilevel"/>
    <w:tmpl w:val="AC5008DE"/>
    <w:lvl w:ilvl="0" w:tplc="4EF213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6F33"/>
    <w:multiLevelType w:val="hybridMultilevel"/>
    <w:tmpl w:val="9F144378"/>
    <w:lvl w:ilvl="0" w:tplc="B67AE1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F1AFF"/>
    <w:multiLevelType w:val="hybridMultilevel"/>
    <w:tmpl w:val="C730EFA8"/>
    <w:lvl w:ilvl="0" w:tplc="1C09000F">
      <w:start w:val="1"/>
      <w:numFmt w:val="decimal"/>
      <w:lvlText w:val="%1."/>
      <w:lvlJc w:val="left"/>
      <w:pPr>
        <w:ind w:left="1506" w:hanging="360"/>
      </w:pPr>
    </w:lvl>
    <w:lvl w:ilvl="1" w:tplc="1C090019" w:tentative="1">
      <w:start w:val="1"/>
      <w:numFmt w:val="lowerLetter"/>
      <w:lvlText w:val="%2."/>
      <w:lvlJc w:val="left"/>
      <w:pPr>
        <w:ind w:left="2226" w:hanging="360"/>
      </w:pPr>
    </w:lvl>
    <w:lvl w:ilvl="2" w:tplc="1C09001B" w:tentative="1">
      <w:start w:val="1"/>
      <w:numFmt w:val="lowerRoman"/>
      <w:lvlText w:val="%3."/>
      <w:lvlJc w:val="right"/>
      <w:pPr>
        <w:ind w:left="2946" w:hanging="180"/>
      </w:pPr>
    </w:lvl>
    <w:lvl w:ilvl="3" w:tplc="1C09000F" w:tentative="1">
      <w:start w:val="1"/>
      <w:numFmt w:val="decimal"/>
      <w:lvlText w:val="%4."/>
      <w:lvlJc w:val="left"/>
      <w:pPr>
        <w:ind w:left="3666" w:hanging="360"/>
      </w:pPr>
    </w:lvl>
    <w:lvl w:ilvl="4" w:tplc="1C090019" w:tentative="1">
      <w:start w:val="1"/>
      <w:numFmt w:val="lowerLetter"/>
      <w:lvlText w:val="%5."/>
      <w:lvlJc w:val="left"/>
      <w:pPr>
        <w:ind w:left="4386" w:hanging="360"/>
      </w:pPr>
    </w:lvl>
    <w:lvl w:ilvl="5" w:tplc="1C09001B" w:tentative="1">
      <w:start w:val="1"/>
      <w:numFmt w:val="lowerRoman"/>
      <w:lvlText w:val="%6."/>
      <w:lvlJc w:val="right"/>
      <w:pPr>
        <w:ind w:left="5106" w:hanging="180"/>
      </w:pPr>
    </w:lvl>
    <w:lvl w:ilvl="6" w:tplc="1C09000F" w:tentative="1">
      <w:start w:val="1"/>
      <w:numFmt w:val="decimal"/>
      <w:lvlText w:val="%7."/>
      <w:lvlJc w:val="left"/>
      <w:pPr>
        <w:ind w:left="5826" w:hanging="360"/>
      </w:pPr>
    </w:lvl>
    <w:lvl w:ilvl="7" w:tplc="1C090019" w:tentative="1">
      <w:start w:val="1"/>
      <w:numFmt w:val="lowerLetter"/>
      <w:lvlText w:val="%8."/>
      <w:lvlJc w:val="left"/>
      <w:pPr>
        <w:ind w:left="6546" w:hanging="360"/>
      </w:pPr>
    </w:lvl>
    <w:lvl w:ilvl="8" w:tplc="1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967DA3"/>
    <w:multiLevelType w:val="hybridMultilevel"/>
    <w:tmpl w:val="51DCF2AE"/>
    <w:lvl w:ilvl="0" w:tplc="4968A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77B8"/>
    <w:multiLevelType w:val="multilevel"/>
    <w:tmpl w:val="35F69500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none"/>
      <w:lvlText w:val="6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CEC76DD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C798F"/>
    <w:multiLevelType w:val="hybridMultilevel"/>
    <w:tmpl w:val="E4089AAA"/>
    <w:lvl w:ilvl="0" w:tplc="FED6FA64">
      <w:start w:val="1"/>
      <w:numFmt w:val="decimal"/>
      <w:pStyle w:val="Rheading1"/>
      <w:lvlText w:val="%1."/>
      <w:lvlJc w:val="left"/>
      <w:pPr>
        <w:tabs>
          <w:tab w:val="num" w:pos="720"/>
        </w:tabs>
        <w:ind w:left="720" w:hanging="360"/>
      </w:pPr>
    </w:lvl>
    <w:lvl w:ilvl="1" w:tplc="58E0DB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1A457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8F74BEC8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884C2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D891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FFED9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5A58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4888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9"/>
    <w:rsid w:val="000207D6"/>
    <w:rsid w:val="00070315"/>
    <w:rsid w:val="00084EFC"/>
    <w:rsid w:val="000E51AC"/>
    <w:rsid w:val="00126391"/>
    <w:rsid w:val="001333B8"/>
    <w:rsid w:val="0016272B"/>
    <w:rsid w:val="00174610"/>
    <w:rsid w:val="00205987"/>
    <w:rsid w:val="002247E2"/>
    <w:rsid w:val="00244225"/>
    <w:rsid w:val="002558E9"/>
    <w:rsid w:val="0028385E"/>
    <w:rsid w:val="002907E6"/>
    <w:rsid w:val="002A1E4A"/>
    <w:rsid w:val="002C66B7"/>
    <w:rsid w:val="002D0F0F"/>
    <w:rsid w:val="002D4407"/>
    <w:rsid w:val="002E50C0"/>
    <w:rsid w:val="00304851"/>
    <w:rsid w:val="00305738"/>
    <w:rsid w:val="003137B5"/>
    <w:rsid w:val="003158B6"/>
    <w:rsid w:val="00315CCA"/>
    <w:rsid w:val="00317CB2"/>
    <w:rsid w:val="00327B2E"/>
    <w:rsid w:val="00330FEC"/>
    <w:rsid w:val="003442FE"/>
    <w:rsid w:val="00345E26"/>
    <w:rsid w:val="003515F6"/>
    <w:rsid w:val="00366F0E"/>
    <w:rsid w:val="0037507A"/>
    <w:rsid w:val="00375416"/>
    <w:rsid w:val="00385336"/>
    <w:rsid w:val="003A02FC"/>
    <w:rsid w:val="003D0928"/>
    <w:rsid w:val="003E2CA9"/>
    <w:rsid w:val="003F2866"/>
    <w:rsid w:val="00402C59"/>
    <w:rsid w:val="00415EED"/>
    <w:rsid w:val="00417210"/>
    <w:rsid w:val="0043406A"/>
    <w:rsid w:val="00471767"/>
    <w:rsid w:val="004A6513"/>
    <w:rsid w:val="004B6C89"/>
    <w:rsid w:val="004D235B"/>
    <w:rsid w:val="00515DC9"/>
    <w:rsid w:val="005357F1"/>
    <w:rsid w:val="00564BF7"/>
    <w:rsid w:val="005813FD"/>
    <w:rsid w:val="005B5CDF"/>
    <w:rsid w:val="005E2842"/>
    <w:rsid w:val="0061123D"/>
    <w:rsid w:val="0061163E"/>
    <w:rsid w:val="00625008"/>
    <w:rsid w:val="00630E10"/>
    <w:rsid w:val="006556F7"/>
    <w:rsid w:val="006701AD"/>
    <w:rsid w:val="006927E7"/>
    <w:rsid w:val="006E21A5"/>
    <w:rsid w:val="00726292"/>
    <w:rsid w:val="007348F0"/>
    <w:rsid w:val="007502F2"/>
    <w:rsid w:val="007510D3"/>
    <w:rsid w:val="00767094"/>
    <w:rsid w:val="0076733B"/>
    <w:rsid w:val="00772A9C"/>
    <w:rsid w:val="007845A8"/>
    <w:rsid w:val="00790DE8"/>
    <w:rsid w:val="007A36E0"/>
    <w:rsid w:val="007B5811"/>
    <w:rsid w:val="007B7A31"/>
    <w:rsid w:val="007C01E1"/>
    <w:rsid w:val="008246C4"/>
    <w:rsid w:val="0087119C"/>
    <w:rsid w:val="00887BB1"/>
    <w:rsid w:val="008A0B07"/>
    <w:rsid w:val="008A6FDE"/>
    <w:rsid w:val="008D7DA4"/>
    <w:rsid w:val="008E55FC"/>
    <w:rsid w:val="00961179"/>
    <w:rsid w:val="0096701D"/>
    <w:rsid w:val="009A4293"/>
    <w:rsid w:val="009A69F4"/>
    <w:rsid w:val="009B520C"/>
    <w:rsid w:val="009B5992"/>
    <w:rsid w:val="009D2325"/>
    <w:rsid w:val="009E3E0A"/>
    <w:rsid w:val="009E3E4C"/>
    <w:rsid w:val="009E4C64"/>
    <w:rsid w:val="00A054C4"/>
    <w:rsid w:val="00A11FE4"/>
    <w:rsid w:val="00A15C91"/>
    <w:rsid w:val="00A277A9"/>
    <w:rsid w:val="00A54611"/>
    <w:rsid w:val="00AA4C5E"/>
    <w:rsid w:val="00AB071E"/>
    <w:rsid w:val="00AB2F22"/>
    <w:rsid w:val="00AC3117"/>
    <w:rsid w:val="00AD3E26"/>
    <w:rsid w:val="00AE6601"/>
    <w:rsid w:val="00AF60F1"/>
    <w:rsid w:val="00B36BC6"/>
    <w:rsid w:val="00B45604"/>
    <w:rsid w:val="00B51D2F"/>
    <w:rsid w:val="00B56FF9"/>
    <w:rsid w:val="00BC45A7"/>
    <w:rsid w:val="00BC5C8E"/>
    <w:rsid w:val="00BF728B"/>
    <w:rsid w:val="00C00786"/>
    <w:rsid w:val="00C06578"/>
    <w:rsid w:val="00C06B14"/>
    <w:rsid w:val="00C53BD3"/>
    <w:rsid w:val="00C848AA"/>
    <w:rsid w:val="00CA221D"/>
    <w:rsid w:val="00CD552D"/>
    <w:rsid w:val="00D03A98"/>
    <w:rsid w:val="00D11044"/>
    <w:rsid w:val="00D423CA"/>
    <w:rsid w:val="00D44824"/>
    <w:rsid w:val="00D6062C"/>
    <w:rsid w:val="00D736E3"/>
    <w:rsid w:val="00D76883"/>
    <w:rsid w:val="00D8100B"/>
    <w:rsid w:val="00DF6DDC"/>
    <w:rsid w:val="00E0736B"/>
    <w:rsid w:val="00E1377F"/>
    <w:rsid w:val="00E14367"/>
    <w:rsid w:val="00E46765"/>
    <w:rsid w:val="00E55077"/>
    <w:rsid w:val="00E80DE2"/>
    <w:rsid w:val="00EA6BCE"/>
    <w:rsid w:val="00EB37FB"/>
    <w:rsid w:val="00EE260B"/>
    <w:rsid w:val="00EE6AAE"/>
    <w:rsid w:val="00EF0460"/>
    <w:rsid w:val="00EF18C1"/>
    <w:rsid w:val="00F15A5C"/>
    <w:rsid w:val="00F558FB"/>
    <w:rsid w:val="00F678BE"/>
    <w:rsid w:val="00F7670E"/>
    <w:rsid w:val="00F965E2"/>
    <w:rsid w:val="00F97707"/>
    <w:rsid w:val="00FA7A0F"/>
    <w:rsid w:val="00FB619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44840"/>
  <w15:docId w15:val="{915F298F-8A33-4CC7-B9ED-A2FD33A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FC"/>
  </w:style>
  <w:style w:type="paragraph" w:styleId="Heading10">
    <w:name w:val="heading 1"/>
    <w:basedOn w:val="Normal"/>
    <w:next w:val="Normal"/>
    <w:link w:val="Heading1Char"/>
    <w:uiPriority w:val="9"/>
    <w:qFormat/>
    <w:rsid w:val="009E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,AST Heading 1.1,Major,Level 2 Heading,Numbered indent 2,ni2,Hanging 2 Indent,L2"/>
    <w:basedOn w:val="Normal"/>
    <w:next w:val="Normal"/>
    <w:link w:val="Heading2Char"/>
    <w:unhideWhenUsed/>
    <w:qFormat/>
    <w:rsid w:val="009E4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l3,h3,rp_Heading 3,1.,not in TOC,Bold 12,L3,Level 1 - 1,Head 3,head3,AST Heading 1.1.1,Minor"/>
    <w:basedOn w:val="Normal"/>
    <w:next w:val="Normal"/>
    <w:link w:val="Heading3Char"/>
    <w:qFormat/>
    <w:rsid w:val="003442FE"/>
    <w:pPr>
      <w:keepNext/>
      <w:tabs>
        <w:tab w:val="num" w:pos="851"/>
      </w:tabs>
      <w:spacing w:after="0" w:line="240" w:lineRule="auto"/>
      <w:ind w:left="851" w:hanging="851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aliases w:val="bullet,bl,bb,Sub-Minor,h4,Table and Figures,DOCSTYLE4"/>
    <w:basedOn w:val="Normal"/>
    <w:next w:val="Normal"/>
    <w:link w:val="Heading4Char"/>
    <w:qFormat/>
    <w:rsid w:val="009E4C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5">
    <w:name w:val="heading 5"/>
    <w:aliases w:val="Heading 51,X,DOCSTYLE5"/>
    <w:basedOn w:val="Normal"/>
    <w:next w:val="Normal"/>
    <w:link w:val="Heading5Char"/>
    <w:qFormat/>
    <w:rsid w:val="003442FE"/>
    <w:pPr>
      <w:keepNext/>
      <w:tabs>
        <w:tab w:val="num" w:pos="1008"/>
      </w:tabs>
      <w:spacing w:after="0" w:line="216" w:lineRule="auto"/>
      <w:ind w:left="1008" w:hanging="1008"/>
      <w:jc w:val="center"/>
      <w:outlineLvl w:val="4"/>
    </w:pPr>
    <w:rPr>
      <w:rFonts w:ascii="Arial" w:eastAsia="Times New Roman" w:hAnsi="Arial" w:cs="Arial"/>
      <w:b/>
      <w:bCs/>
      <w:sz w:val="24"/>
      <w:szCs w:val="28"/>
      <w:u w:val="single"/>
    </w:rPr>
  </w:style>
  <w:style w:type="paragraph" w:styleId="Heading6">
    <w:name w:val="heading 6"/>
    <w:aliases w:val="Heading 61,DOCSTYLE6"/>
    <w:basedOn w:val="Normal"/>
    <w:next w:val="Normal"/>
    <w:link w:val="Heading6Char"/>
    <w:qFormat/>
    <w:rsid w:val="003442FE"/>
    <w:pPr>
      <w:keepNext/>
      <w:tabs>
        <w:tab w:val="num" w:pos="1152"/>
      </w:tabs>
      <w:spacing w:after="120" w:line="240" w:lineRule="auto"/>
      <w:ind w:left="1152" w:hanging="1152"/>
      <w:jc w:val="both"/>
      <w:outlineLvl w:val="5"/>
    </w:pPr>
    <w:rPr>
      <w:rFonts w:ascii="Verdana" w:eastAsia="Times New Roman" w:hAnsi="Verdana" w:cs="Times New Roman"/>
      <w:b/>
      <w:snapToGrid w:val="0"/>
      <w:szCs w:val="20"/>
      <w:lang w:val="en-GB"/>
    </w:rPr>
  </w:style>
  <w:style w:type="paragraph" w:styleId="Heading7">
    <w:name w:val="heading 7"/>
    <w:aliases w:val="Heading 71,DOCSTYLE7,Section Heading"/>
    <w:basedOn w:val="Normal"/>
    <w:next w:val="Normal"/>
    <w:link w:val="Heading7Char"/>
    <w:qFormat/>
    <w:rsid w:val="003442FE"/>
    <w:pPr>
      <w:keepNext/>
      <w:tabs>
        <w:tab w:val="num" w:pos="1296"/>
      </w:tabs>
      <w:spacing w:after="0" w:line="240" w:lineRule="auto"/>
      <w:ind w:left="1296" w:hanging="1296"/>
      <w:jc w:val="both"/>
      <w:outlineLvl w:val="6"/>
    </w:pPr>
    <w:rPr>
      <w:rFonts w:ascii="Verdana" w:eastAsia="Times New Roman" w:hAnsi="Verdana" w:cs="Times New Roman"/>
      <w:b/>
      <w:bCs/>
      <w:snapToGrid w:val="0"/>
      <w:szCs w:val="20"/>
    </w:rPr>
  </w:style>
  <w:style w:type="paragraph" w:styleId="Heading8">
    <w:name w:val="heading 8"/>
    <w:aliases w:val="Heading 81,DOCSTYLE8"/>
    <w:basedOn w:val="Normal"/>
    <w:next w:val="Normal"/>
    <w:link w:val="Heading8Char"/>
    <w:qFormat/>
    <w:rsid w:val="003442FE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paragraph" w:styleId="Heading9">
    <w:name w:val="heading 9"/>
    <w:aliases w:val="Heading 91,DOCSTYLE9"/>
    <w:basedOn w:val="Normal"/>
    <w:next w:val="Normal"/>
    <w:link w:val="Heading9Char"/>
    <w:qFormat/>
    <w:rsid w:val="003442FE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C89"/>
  </w:style>
  <w:style w:type="paragraph" w:styleId="Footer">
    <w:name w:val="footer"/>
    <w:basedOn w:val="Normal"/>
    <w:link w:val="FooterChar"/>
    <w:uiPriority w:val="99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89"/>
  </w:style>
  <w:style w:type="table" w:styleId="TableGrid">
    <w:name w:val="Table Grid"/>
    <w:basedOn w:val="TableNormal"/>
    <w:uiPriority w:val="59"/>
    <w:rsid w:val="00E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bullet Char,bl Char,bb Char,Sub-Minor Char,h4 Char,Table and Figures Char,DOCSTYLE4 Char"/>
    <w:basedOn w:val="DefaultParagraphFont"/>
    <w:link w:val="Heading4"/>
    <w:rsid w:val="009E4C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9E4C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9E4C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0"/>
    <w:uiPriority w:val="9"/>
    <w:rsid w:val="009E4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uiPriority w:val="9"/>
    <w:semiHidden/>
    <w:rsid w:val="009E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9E4C6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E4C6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225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24422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10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10D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510D3"/>
    <w:pPr>
      <w:spacing w:after="24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Rheading1">
    <w:name w:val="Rheading1"/>
    <w:basedOn w:val="Normal"/>
    <w:rsid w:val="00FC47D5"/>
    <w:pPr>
      <w:numPr>
        <w:numId w:val="3"/>
      </w:numPr>
      <w:spacing w:after="0" w:line="240" w:lineRule="auto"/>
      <w:ind w:hanging="72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">
    <w:name w:val="Heading1"/>
    <w:basedOn w:val="Normal"/>
    <w:rsid w:val="00FB619A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Heading3Char">
    <w:name w:val="Heading 3 Char"/>
    <w:aliases w:val="H3 Char,l3 Char,h3 Char,rp_Heading 3 Char,1. Char,not in TOC Char,Bold 12 Char,L3 Char,Level 1 - 1 Char,Head 3 Char,head3 Char,AST Heading 1.1.1 Char,Minor Char"/>
    <w:basedOn w:val="DefaultParagraphFont"/>
    <w:link w:val="Heading3"/>
    <w:rsid w:val="003442FE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aliases w:val="Heading 51 Char,X Char,DOCSTYLE5 Char"/>
    <w:basedOn w:val="DefaultParagraphFont"/>
    <w:link w:val="Heading5"/>
    <w:rsid w:val="003442FE"/>
    <w:rPr>
      <w:rFonts w:ascii="Arial" w:eastAsia="Times New Roman" w:hAnsi="Arial" w:cs="Arial"/>
      <w:b/>
      <w:bCs/>
      <w:sz w:val="24"/>
      <w:szCs w:val="28"/>
      <w:u w:val="single"/>
    </w:rPr>
  </w:style>
  <w:style w:type="character" w:customStyle="1" w:styleId="Heading6Char">
    <w:name w:val="Heading 6 Char"/>
    <w:aliases w:val="Heading 61 Char,DOCSTYLE6 Char"/>
    <w:basedOn w:val="DefaultParagraphFont"/>
    <w:link w:val="Heading6"/>
    <w:rsid w:val="003442FE"/>
    <w:rPr>
      <w:rFonts w:ascii="Verdana" w:eastAsia="Times New Roman" w:hAnsi="Verdana" w:cs="Times New Roman"/>
      <w:b/>
      <w:snapToGrid w:val="0"/>
      <w:szCs w:val="20"/>
      <w:lang w:val="en-GB"/>
    </w:rPr>
  </w:style>
  <w:style w:type="character" w:customStyle="1" w:styleId="Heading7Char">
    <w:name w:val="Heading 7 Char"/>
    <w:aliases w:val="Heading 71 Char,DOCSTYLE7 Char,Section Heading Char"/>
    <w:basedOn w:val="DefaultParagraphFont"/>
    <w:link w:val="Heading7"/>
    <w:rsid w:val="003442FE"/>
    <w:rPr>
      <w:rFonts w:ascii="Verdana" w:eastAsia="Times New Roman" w:hAnsi="Verdana" w:cs="Times New Roman"/>
      <w:b/>
      <w:bCs/>
      <w:snapToGrid w:val="0"/>
      <w:szCs w:val="20"/>
    </w:rPr>
  </w:style>
  <w:style w:type="character" w:customStyle="1" w:styleId="Heading8Char">
    <w:name w:val="Heading 8 Char"/>
    <w:aliases w:val="Heading 81 Char,DOCSTYLE8 Char"/>
    <w:basedOn w:val="DefaultParagraphFont"/>
    <w:link w:val="Heading8"/>
    <w:rsid w:val="003442FE"/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character" w:customStyle="1" w:styleId="Heading9Char">
    <w:name w:val="Heading 9 Char"/>
    <w:aliases w:val="Heading 91 Char,DOCSTYLE9 Char"/>
    <w:basedOn w:val="DefaultParagraphFont"/>
    <w:link w:val="Heading9"/>
    <w:rsid w:val="003442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66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FA71-C77B-4025-A1A4-6CBE6441E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5D645-3F89-4542-ACEC-513F7E35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498A1-7C30-49B6-A586-0C2CC3628CF2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4.xml><?xml version="1.0" encoding="utf-8"?>
<ds:datastoreItem xmlns:ds="http://schemas.openxmlformats.org/officeDocument/2006/customXml" ds:itemID="{435306CD-FB76-4BAB-9A87-72322669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Morai Modupi</cp:lastModifiedBy>
  <cp:revision>2</cp:revision>
  <cp:lastPrinted>2020-08-05T12:31:00Z</cp:lastPrinted>
  <dcterms:created xsi:type="dcterms:W3CDTF">2026-04-16T09:51:00Z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  <property fmtid="{D5CDD505-2E9C-101B-9397-08002B2CF9AE}" pid="3" name="MSIP_Label_a4616250-01d4-40ab-a2e8-d4b03b0a4768_Enabled">
    <vt:lpwstr>True</vt:lpwstr>
  </property>
  <property fmtid="{D5CDD505-2E9C-101B-9397-08002B2CF9AE}" pid="4" name="MSIP_Label_a4616250-01d4-40ab-a2e8-d4b03b0a4768_SiteId">
    <vt:lpwstr>ca38a9e5-8ce2-41e8-a41e-647c7b50db4a</vt:lpwstr>
  </property>
  <property fmtid="{D5CDD505-2E9C-101B-9397-08002B2CF9AE}" pid="5" name="MSIP_Label_a4616250-01d4-40ab-a2e8-d4b03b0a4768_Owner">
    <vt:lpwstr>SelloaneM@statssa.gov.za</vt:lpwstr>
  </property>
  <property fmtid="{D5CDD505-2E9C-101B-9397-08002B2CF9AE}" pid="6" name="MSIP_Label_a4616250-01d4-40ab-a2e8-d4b03b0a4768_SetDate">
    <vt:lpwstr>2020-05-20T10:30:54.3814252Z</vt:lpwstr>
  </property>
  <property fmtid="{D5CDD505-2E9C-101B-9397-08002B2CF9AE}" pid="7" name="MSIP_Label_a4616250-01d4-40ab-a2e8-d4b03b0a4768_Name">
    <vt:lpwstr>Personal</vt:lpwstr>
  </property>
  <property fmtid="{D5CDD505-2E9C-101B-9397-08002B2CF9AE}" pid="8" name="MSIP_Label_a4616250-01d4-40ab-a2e8-d4b03b0a4768_Application">
    <vt:lpwstr>Microsoft Azure Information Protection</vt:lpwstr>
  </property>
  <property fmtid="{D5CDD505-2E9C-101B-9397-08002B2CF9AE}" pid="9" name="MSIP_Label_a4616250-01d4-40ab-a2e8-d4b03b0a4768_ActionId">
    <vt:lpwstr>2767edc2-e397-47fe-8bb4-93f633442908</vt:lpwstr>
  </property>
  <property fmtid="{D5CDD505-2E9C-101B-9397-08002B2CF9AE}" pid="10" name="MSIP_Label_a4616250-01d4-40ab-a2e8-d4b03b0a4768_Extended_MSFT_Method">
    <vt:lpwstr>Automatic</vt:lpwstr>
  </property>
  <property fmtid="{D5CDD505-2E9C-101B-9397-08002B2CF9AE}" pid="11" name="Sensitivity">
    <vt:lpwstr>Personal</vt:lpwstr>
  </property>
</Properties>
</file>