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206605" w:rsidRPr="00A919B1" w14:paraId="50BFEE67" w14:textId="77777777" w:rsidTr="00EC662F">
        <w:tc>
          <w:tcPr>
            <w:tcW w:w="3227" w:type="dxa"/>
          </w:tcPr>
          <w:p w14:paraId="73B4B333" w14:textId="77777777" w:rsidR="00206605" w:rsidRPr="00EB6A30" w:rsidRDefault="00206605" w:rsidP="00206605">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895E48E" w:rsidR="00206605" w:rsidRPr="00336747" w:rsidRDefault="00206605" w:rsidP="00206605">
            <w:pPr>
              <w:spacing w:line="360" w:lineRule="auto"/>
              <w:jc w:val="both"/>
              <w:rPr>
                <w:rFonts w:ascii="Arial" w:hAnsi="Arial" w:cs="Arial"/>
                <w:sz w:val="20"/>
                <w:lang w:val="en-ZA"/>
              </w:rPr>
            </w:pPr>
            <w:r>
              <w:rPr>
                <w:rFonts w:ascii="Arial" w:hAnsi="Arial" w:cs="Arial"/>
                <w:bCs/>
                <w:sz w:val="20"/>
                <w:lang w:val="en-ZA"/>
              </w:rPr>
              <w:t>The provision of risk metrics data</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438C63CA" w:rsidR="00EB6A30" w:rsidRPr="00F0521B" w:rsidRDefault="00D717CA"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w:t>
            </w:r>
            <w:r w:rsidR="007F2310">
              <w:rPr>
                <w:rFonts w:ascii="Arial" w:hAnsi="Arial" w:cs="Arial"/>
                <w:sz w:val="20"/>
              </w:rPr>
              <w:t>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2A3FF85D" w:rsidR="007E7D29" w:rsidRDefault="007E7D29" w:rsidP="00546E27">
      <w:pPr>
        <w:autoSpaceDE w:val="0"/>
        <w:autoSpaceDN w:val="0"/>
        <w:adjustRightInd w:val="0"/>
        <w:rPr>
          <w:rFonts w:ascii="Arial" w:hAnsi="Arial" w:cs="Arial"/>
          <w:bCs/>
          <w:sz w:val="16"/>
          <w:szCs w:val="16"/>
        </w:rPr>
      </w:pPr>
    </w:p>
    <w:p w14:paraId="7327CE11" w14:textId="584EBEAC" w:rsidR="007F2310" w:rsidRDefault="007F2310" w:rsidP="00546E27">
      <w:pPr>
        <w:autoSpaceDE w:val="0"/>
        <w:autoSpaceDN w:val="0"/>
        <w:adjustRightInd w:val="0"/>
        <w:rPr>
          <w:rFonts w:ascii="Arial" w:hAnsi="Arial" w:cs="Arial"/>
          <w:bCs/>
          <w:sz w:val="16"/>
          <w:szCs w:val="16"/>
        </w:rPr>
      </w:pPr>
    </w:p>
    <w:p w14:paraId="5FF5B8E7" w14:textId="77777777" w:rsidR="007F2310" w:rsidRPr="005B5A73" w:rsidRDefault="007F2310"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206605" w:rsidRPr="000C5130" w14:paraId="61CC959F" w14:textId="77777777" w:rsidTr="00065BFD">
        <w:trPr>
          <w:trHeight w:val="2424"/>
        </w:trPr>
        <w:tc>
          <w:tcPr>
            <w:tcW w:w="9016" w:type="dxa"/>
            <w:shd w:val="clear" w:color="auto" w:fill="FFFFFF" w:themeFill="background1"/>
          </w:tcPr>
          <w:p w14:paraId="7C5A3819" w14:textId="77777777" w:rsidR="00206605" w:rsidRPr="00574221" w:rsidRDefault="00206605" w:rsidP="00206605">
            <w:pPr>
              <w:numPr>
                <w:ilvl w:val="0"/>
                <w:numId w:val="30"/>
              </w:numPr>
              <w:tabs>
                <w:tab w:val="left" w:pos="720"/>
              </w:tabs>
              <w:spacing w:line="360" w:lineRule="auto"/>
              <w:jc w:val="both"/>
              <w:rPr>
                <w:rFonts w:ascii="Arial" w:hAnsi="Arial" w:cs="Arial"/>
                <w:sz w:val="20"/>
                <w:lang w:val="en-ZA"/>
              </w:rPr>
            </w:pPr>
            <w:r>
              <w:rPr>
                <w:rFonts w:ascii="Arial" w:hAnsi="Arial" w:cs="Arial"/>
                <w:b/>
                <w:sz w:val="20"/>
              </w:rPr>
              <w:t xml:space="preserve">BBBEE requirements: </w:t>
            </w:r>
            <w:r>
              <w:rPr>
                <w:rFonts w:ascii="Arial" w:hAnsi="Arial" w:cs="Arial"/>
                <w:sz w:val="20"/>
              </w:rPr>
              <w:t xml:space="preserve"> </w:t>
            </w:r>
            <w:r w:rsidRPr="00574221">
              <w:rPr>
                <w:rFonts w:ascii="Arial" w:hAnsi="Arial" w:cs="Arial"/>
                <w:sz w:val="20"/>
                <w:lang w:val="en-ZA"/>
              </w:rPr>
              <w:t>T</w:t>
            </w:r>
            <w:r>
              <w:rPr>
                <w:rFonts w:ascii="Arial" w:hAnsi="Arial" w:cs="Arial"/>
                <w:sz w:val="20"/>
                <w:lang w:val="en-ZA"/>
              </w:rPr>
              <w:t>enderers are</w:t>
            </w:r>
            <w:r w:rsidRPr="00574221">
              <w:rPr>
                <w:rFonts w:ascii="Arial" w:hAnsi="Arial" w:cs="Arial"/>
                <w:sz w:val="20"/>
                <w:lang w:val="en-ZA"/>
              </w:rPr>
              <w:t xml:space="preserve"> required </w:t>
            </w:r>
            <w:r>
              <w:rPr>
                <w:rFonts w:ascii="Arial" w:hAnsi="Arial" w:cs="Arial"/>
                <w:sz w:val="20"/>
                <w:lang w:val="en-ZA"/>
              </w:rPr>
              <w:t>to be BBBEE compliant and at a minimum</w:t>
            </w:r>
            <w:r w:rsidRPr="00574221">
              <w:rPr>
                <w:rFonts w:ascii="Arial" w:hAnsi="Arial" w:cs="Arial"/>
                <w:sz w:val="20"/>
                <w:lang w:val="en-ZA"/>
              </w:rPr>
              <w:t xml:space="preserve"> to maintain th</w:t>
            </w:r>
            <w:r>
              <w:rPr>
                <w:rFonts w:ascii="Arial" w:hAnsi="Arial" w:cs="Arial"/>
                <w:sz w:val="20"/>
                <w:lang w:val="en-ZA"/>
              </w:rPr>
              <w:t>eir</w:t>
            </w:r>
            <w:r w:rsidRPr="00574221">
              <w:rPr>
                <w:rFonts w:ascii="Arial" w:hAnsi="Arial" w:cs="Arial"/>
                <w:sz w:val="20"/>
                <w:lang w:val="en-ZA"/>
              </w:rPr>
              <w:t xml:space="preserve"> BBBEE status over contract term.</w:t>
            </w:r>
          </w:p>
          <w:p w14:paraId="2C271DCE" w14:textId="77777777" w:rsidR="00206605" w:rsidRPr="00CF781D" w:rsidRDefault="00206605" w:rsidP="00206605">
            <w:pPr>
              <w:tabs>
                <w:tab w:val="left" w:pos="720"/>
              </w:tabs>
              <w:spacing w:line="276" w:lineRule="auto"/>
              <w:ind w:left="360"/>
              <w:jc w:val="both"/>
              <w:rPr>
                <w:rFonts w:ascii="Arial" w:hAnsi="Arial" w:cs="Arial"/>
                <w:b/>
                <w:sz w:val="20"/>
              </w:rPr>
            </w:pPr>
          </w:p>
          <w:p w14:paraId="73AF3216" w14:textId="77777777" w:rsidR="00206605" w:rsidRPr="00D86CD2" w:rsidRDefault="00206605" w:rsidP="00206605">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2321766C" w14:textId="77777777" w:rsidR="00206605" w:rsidRDefault="00206605" w:rsidP="00206605">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5C8CD99" w14:textId="77777777" w:rsidR="00206605" w:rsidRDefault="00206605" w:rsidP="00206605">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1384418C" w14:textId="77777777" w:rsidR="00206605" w:rsidRDefault="00206605" w:rsidP="00206605">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206605" w14:paraId="0C24F97C" w14:textId="77777777" w:rsidTr="00EC1DC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53D35EF7" w14:textId="77777777" w:rsidR="00206605" w:rsidRDefault="00206605" w:rsidP="00206605">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EEF1207" w14:textId="77777777" w:rsidR="00206605" w:rsidRDefault="00206605" w:rsidP="00206605">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49390C0" w14:textId="77777777" w:rsidR="00206605" w:rsidRDefault="00206605" w:rsidP="00206605">
                  <w:pPr>
                    <w:spacing w:line="276" w:lineRule="auto"/>
                    <w:jc w:val="center"/>
                    <w:rPr>
                      <w:rFonts w:ascii="Arial" w:hAnsi="Arial" w:cs="Arial"/>
                      <w:b/>
                      <w:sz w:val="20"/>
                    </w:rPr>
                  </w:pPr>
                  <w:r>
                    <w:rPr>
                      <w:rFonts w:ascii="Arial" w:hAnsi="Arial" w:cs="Arial"/>
                      <w:b/>
                      <w:sz w:val="20"/>
                    </w:rPr>
                    <w:t>Tenderer Proposal</w:t>
                  </w:r>
                </w:p>
              </w:tc>
            </w:tr>
            <w:tr w:rsidR="00206605" w14:paraId="3830C22F" w14:textId="77777777" w:rsidTr="00EC1DC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183B476" w14:textId="77777777" w:rsidR="00206605" w:rsidRDefault="00206605" w:rsidP="00206605">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4AEBF00" w14:textId="77777777" w:rsidR="00206605" w:rsidRPr="007D4E0A" w:rsidRDefault="00206605" w:rsidP="00206605">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2EE23C51" w14:textId="77777777" w:rsidR="00206605" w:rsidRPr="007D4E0A" w:rsidRDefault="00206605" w:rsidP="00206605">
                  <w:pPr>
                    <w:spacing w:line="276" w:lineRule="auto"/>
                    <w:jc w:val="both"/>
                    <w:rPr>
                      <w:rFonts w:ascii="Arial" w:hAnsi="Arial" w:cs="Arial"/>
                      <w:sz w:val="20"/>
                    </w:rPr>
                  </w:pPr>
                </w:p>
              </w:tc>
            </w:tr>
          </w:tbl>
          <w:p w14:paraId="41966399" w14:textId="77777777" w:rsidR="00206605" w:rsidRDefault="00206605" w:rsidP="00206605">
            <w:pPr>
              <w:tabs>
                <w:tab w:val="left" w:pos="720"/>
              </w:tabs>
              <w:spacing w:line="360" w:lineRule="auto"/>
              <w:ind w:left="360"/>
              <w:jc w:val="both"/>
              <w:rPr>
                <w:rFonts w:ascii="Arial" w:hAnsi="Arial" w:cs="Arial"/>
                <w:b/>
                <w:sz w:val="20"/>
                <w:lang w:val="en-ZA"/>
              </w:rPr>
            </w:pPr>
          </w:p>
          <w:p w14:paraId="4177B08F" w14:textId="77777777" w:rsidR="00206605" w:rsidRPr="00D479A6" w:rsidRDefault="00206605" w:rsidP="00206605">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27BD3ED5" w14:textId="77777777" w:rsidR="00206605" w:rsidRPr="00A500C7" w:rsidRDefault="00206605" w:rsidP="00206605">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222045E6" w14:textId="77777777" w:rsidR="00206605" w:rsidRPr="00A500C7" w:rsidRDefault="00206605" w:rsidP="0020660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4B265E33" w14:textId="77777777" w:rsidR="00206605" w:rsidRPr="00A500C7" w:rsidRDefault="00206605" w:rsidP="0020660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19F8959C" w14:textId="77777777" w:rsidR="00206605" w:rsidRDefault="00206605" w:rsidP="00206605">
            <w:pPr>
              <w:tabs>
                <w:tab w:val="left" w:pos="720"/>
              </w:tabs>
              <w:spacing w:line="360" w:lineRule="auto"/>
              <w:ind w:left="360"/>
              <w:jc w:val="both"/>
              <w:rPr>
                <w:rFonts w:ascii="Arial" w:hAnsi="Arial" w:cs="Arial"/>
                <w:sz w:val="20"/>
                <w:lang w:val="en-ZA"/>
              </w:rPr>
            </w:pPr>
          </w:p>
          <w:p w14:paraId="7090354B" w14:textId="77777777" w:rsidR="00206605" w:rsidRDefault="00206605" w:rsidP="00206605">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7598437" w14:textId="77777777" w:rsidR="00206605" w:rsidRDefault="00206605" w:rsidP="0020660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206605" w:rsidRPr="000C5130" w14:paraId="508B56BD" w14:textId="77777777" w:rsidTr="00EC1DCA">
              <w:trPr>
                <w:trHeight w:val="364"/>
              </w:trPr>
              <w:tc>
                <w:tcPr>
                  <w:tcW w:w="3291" w:type="dxa"/>
                  <w:shd w:val="clear" w:color="auto" w:fill="D9D9D9" w:themeFill="background1" w:themeFillShade="D9"/>
                </w:tcPr>
                <w:p w14:paraId="7032297D" w14:textId="77777777" w:rsidR="00206605" w:rsidRPr="000C5130" w:rsidRDefault="00206605" w:rsidP="00206605">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F6E95BF" w14:textId="77777777" w:rsidR="00206605" w:rsidRPr="000C5130" w:rsidRDefault="00206605" w:rsidP="00206605">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073AB9C" w14:textId="77777777" w:rsidR="00206605" w:rsidRPr="000C5130" w:rsidRDefault="00206605" w:rsidP="00206605">
                  <w:pPr>
                    <w:tabs>
                      <w:tab w:val="left" w:pos="720"/>
                    </w:tabs>
                    <w:jc w:val="center"/>
                    <w:rPr>
                      <w:rFonts w:ascii="Arial" w:hAnsi="Arial" w:cs="Arial"/>
                      <w:b/>
                      <w:sz w:val="20"/>
                    </w:rPr>
                  </w:pPr>
                  <w:r w:rsidRPr="000C5130">
                    <w:rPr>
                      <w:rFonts w:ascii="Arial" w:hAnsi="Arial" w:cs="Arial"/>
                      <w:b/>
                      <w:sz w:val="20"/>
                    </w:rPr>
                    <w:t>Tenderer Proposal</w:t>
                  </w:r>
                </w:p>
              </w:tc>
            </w:tr>
            <w:tr w:rsidR="00206605" w:rsidRPr="000C5130" w14:paraId="37BCF6FF" w14:textId="77777777" w:rsidTr="00EC1DCA">
              <w:trPr>
                <w:trHeight w:val="427"/>
              </w:trPr>
              <w:tc>
                <w:tcPr>
                  <w:tcW w:w="3291" w:type="dxa"/>
                  <w:shd w:val="clear" w:color="auto" w:fill="auto"/>
                </w:tcPr>
                <w:p w14:paraId="0C8B6D0D" w14:textId="77777777" w:rsidR="00206605" w:rsidRPr="000C5130" w:rsidRDefault="00206605" w:rsidP="00206605">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BE33DC6" w14:textId="77777777" w:rsidR="00206605" w:rsidRPr="000C5130" w:rsidRDefault="00206605" w:rsidP="00206605">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37C5BBA8" w14:textId="77777777" w:rsidR="00206605" w:rsidRPr="000C5130" w:rsidRDefault="00206605" w:rsidP="00206605">
                  <w:pPr>
                    <w:tabs>
                      <w:tab w:val="left" w:pos="720"/>
                    </w:tabs>
                    <w:jc w:val="both"/>
                    <w:rPr>
                      <w:rFonts w:ascii="Arial" w:hAnsi="Arial" w:cs="Arial"/>
                      <w:sz w:val="20"/>
                    </w:rPr>
                  </w:pPr>
                </w:p>
              </w:tc>
            </w:tr>
            <w:tr w:rsidR="00206605" w:rsidRPr="000C5130" w14:paraId="1F52614B" w14:textId="77777777" w:rsidTr="00EC1DCA">
              <w:trPr>
                <w:trHeight w:val="427"/>
              </w:trPr>
              <w:tc>
                <w:tcPr>
                  <w:tcW w:w="3291" w:type="dxa"/>
                  <w:shd w:val="clear" w:color="auto" w:fill="auto"/>
                </w:tcPr>
                <w:p w14:paraId="675C5BBE" w14:textId="77777777" w:rsidR="00206605" w:rsidRDefault="00206605" w:rsidP="00206605">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5D387052" w14:textId="77777777" w:rsidR="00206605" w:rsidRPr="000C5130" w:rsidRDefault="00206605" w:rsidP="00206605">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5939F3FF" w14:textId="77777777" w:rsidR="00206605" w:rsidRPr="000C5130" w:rsidRDefault="00206605" w:rsidP="00206605">
                  <w:pPr>
                    <w:tabs>
                      <w:tab w:val="left" w:pos="720"/>
                    </w:tabs>
                    <w:jc w:val="both"/>
                    <w:rPr>
                      <w:rFonts w:ascii="Arial" w:hAnsi="Arial" w:cs="Arial"/>
                      <w:sz w:val="20"/>
                    </w:rPr>
                  </w:pPr>
                </w:p>
              </w:tc>
            </w:tr>
            <w:tr w:rsidR="00206605" w:rsidRPr="000C5130" w14:paraId="544E04A3" w14:textId="77777777" w:rsidTr="00EC1DCA">
              <w:trPr>
                <w:trHeight w:val="427"/>
              </w:trPr>
              <w:tc>
                <w:tcPr>
                  <w:tcW w:w="3291" w:type="dxa"/>
                  <w:shd w:val="clear" w:color="auto" w:fill="auto"/>
                </w:tcPr>
                <w:p w14:paraId="366B440D" w14:textId="77777777" w:rsidR="00206605" w:rsidRDefault="00206605" w:rsidP="00206605">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4C1E7D57" w14:textId="77777777" w:rsidR="00206605" w:rsidRPr="000C5130" w:rsidRDefault="00206605" w:rsidP="00206605">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48BB4B8C" w14:textId="77777777" w:rsidR="00206605" w:rsidRPr="000C5130" w:rsidRDefault="00206605" w:rsidP="00206605">
                  <w:pPr>
                    <w:tabs>
                      <w:tab w:val="left" w:pos="720"/>
                    </w:tabs>
                    <w:jc w:val="both"/>
                    <w:rPr>
                      <w:rFonts w:ascii="Arial" w:hAnsi="Arial" w:cs="Arial"/>
                      <w:sz w:val="20"/>
                    </w:rPr>
                  </w:pPr>
                </w:p>
              </w:tc>
            </w:tr>
            <w:tr w:rsidR="00206605" w:rsidRPr="000C5130" w14:paraId="41964FAB" w14:textId="77777777" w:rsidTr="00EC1DCA">
              <w:trPr>
                <w:trHeight w:val="427"/>
              </w:trPr>
              <w:tc>
                <w:tcPr>
                  <w:tcW w:w="3291" w:type="dxa"/>
                  <w:shd w:val="clear" w:color="auto" w:fill="auto"/>
                </w:tcPr>
                <w:p w14:paraId="5014C5B1" w14:textId="77777777" w:rsidR="00206605" w:rsidRDefault="00206605" w:rsidP="00206605">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47F10765" w14:textId="77777777" w:rsidR="00206605" w:rsidRPr="000C5130" w:rsidRDefault="00206605" w:rsidP="00206605">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04B57D58" w14:textId="77777777" w:rsidR="00206605" w:rsidRPr="000C5130" w:rsidRDefault="00206605" w:rsidP="00206605">
                  <w:pPr>
                    <w:tabs>
                      <w:tab w:val="left" w:pos="720"/>
                    </w:tabs>
                    <w:jc w:val="both"/>
                    <w:rPr>
                      <w:rFonts w:ascii="Arial" w:hAnsi="Arial" w:cs="Arial"/>
                      <w:sz w:val="20"/>
                    </w:rPr>
                  </w:pPr>
                </w:p>
              </w:tc>
            </w:tr>
          </w:tbl>
          <w:p w14:paraId="3E7B1D86" w14:textId="77777777" w:rsidR="00206605" w:rsidRPr="00861BE0" w:rsidRDefault="00206605" w:rsidP="00206605">
            <w:pPr>
              <w:tabs>
                <w:tab w:val="left" w:pos="720"/>
              </w:tabs>
              <w:spacing w:line="276" w:lineRule="auto"/>
              <w:jc w:val="both"/>
              <w:rPr>
                <w:rFonts w:ascii="Arial" w:hAnsi="Arial" w:cs="Arial"/>
                <w:sz w:val="20"/>
                <w:lang w:val="en-ZA"/>
              </w:rPr>
            </w:pPr>
          </w:p>
          <w:p w14:paraId="142885AF" w14:textId="77777777" w:rsidR="00206605" w:rsidRPr="000263D8" w:rsidRDefault="00206605" w:rsidP="00206605">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719D428B" w14:textId="77777777" w:rsidR="00206605" w:rsidRPr="00FA31B2" w:rsidRDefault="00206605" w:rsidP="00206605">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206605" w:rsidRPr="000C5130" w14:paraId="6D5925C2" w14:textId="77777777" w:rsidTr="00EC1DCA">
              <w:trPr>
                <w:trHeight w:val="341"/>
              </w:trPr>
              <w:tc>
                <w:tcPr>
                  <w:tcW w:w="3676" w:type="dxa"/>
                  <w:shd w:val="clear" w:color="auto" w:fill="D9D9D9" w:themeFill="background1" w:themeFillShade="D9"/>
                </w:tcPr>
                <w:p w14:paraId="390EC2A3" w14:textId="77777777" w:rsidR="00206605" w:rsidRPr="000C5130" w:rsidRDefault="00206605" w:rsidP="00206605">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64DAFAD" w14:textId="77777777" w:rsidR="00206605" w:rsidRPr="000C5130" w:rsidRDefault="00206605" w:rsidP="00206605">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206605" w:rsidRPr="000C5130" w14:paraId="057B3F65" w14:textId="77777777" w:rsidTr="00EC1DCA">
              <w:trPr>
                <w:trHeight w:val="359"/>
              </w:trPr>
              <w:tc>
                <w:tcPr>
                  <w:tcW w:w="3676" w:type="dxa"/>
                  <w:shd w:val="clear" w:color="auto" w:fill="auto"/>
                </w:tcPr>
                <w:p w14:paraId="100A803C" w14:textId="77777777" w:rsidR="00206605" w:rsidRPr="000C5130" w:rsidRDefault="00206605" w:rsidP="00206605">
                  <w:pPr>
                    <w:tabs>
                      <w:tab w:val="left" w:pos="720"/>
                    </w:tabs>
                    <w:spacing w:line="276" w:lineRule="auto"/>
                    <w:jc w:val="both"/>
                    <w:rPr>
                      <w:rFonts w:ascii="Arial" w:hAnsi="Arial" w:cs="Arial"/>
                      <w:sz w:val="20"/>
                    </w:rPr>
                  </w:pPr>
                </w:p>
              </w:tc>
              <w:tc>
                <w:tcPr>
                  <w:tcW w:w="3676" w:type="dxa"/>
                  <w:shd w:val="clear" w:color="auto" w:fill="auto"/>
                </w:tcPr>
                <w:p w14:paraId="7DE641E7" w14:textId="77777777" w:rsidR="00206605" w:rsidRPr="000C5130" w:rsidRDefault="00206605" w:rsidP="00206605">
                  <w:pPr>
                    <w:tabs>
                      <w:tab w:val="left" w:pos="720"/>
                    </w:tabs>
                    <w:spacing w:line="276" w:lineRule="auto"/>
                    <w:jc w:val="both"/>
                    <w:rPr>
                      <w:rFonts w:ascii="Arial" w:hAnsi="Arial" w:cs="Arial"/>
                      <w:sz w:val="20"/>
                    </w:rPr>
                  </w:pPr>
                </w:p>
              </w:tc>
            </w:tr>
          </w:tbl>
          <w:p w14:paraId="643BBE8F" w14:textId="77777777" w:rsidR="00206605" w:rsidRDefault="00206605" w:rsidP="00206605">
            <w:pPr>
              <w:tabs>
                <w:tab w:val="left" w:pos="720"/>
              </w:tabs>
              <w:spacing w:line="360" w:lineRule="auto"/>
              <w:ind w:left="360"/>
              <w:jc w:val="both"/>
              <w:rPr>
                <w:rFonts w:ascii="Arial" w:hAnsi="Arial" w:cs="Arial"/>
                <w:b/>
                <w:sz w:val="20"/>
                <w:lang w:val="en-ZA"/>
              </w:rPr>
            </w:pPr>
          </w:p>
          <w:p w14:paraId="630A6EFB" w14:textId="77777777" w:rsidR="00206605" w:rsidRPr="006E4F88" w:rsidRDefault="00206605" w:rsidP="00206605">
            <w:pPr>
              <w:tabs>
                <w:tab w:val="left" w:pos="720"/>
              </w:tabs>
              <w:spacing w:line="360" w:lineRule="auto"/>
              <w:ind w:left="360"/>
              <w:jc w:val="both"/>
              <w:rPr>
                <w:rFonts w:ascii="Arial" w:hAnsi="Arial" w:cs="Arial"/>
                <w:b/>
                <w:sz w:val="20"/>
                <w:lang w:val="en-ZA"/>
              </w:rPr>
            </w:pPr>
          </w:p>
          <w:p w14:paraId="225076C4" w14:textId="77777777" w:rsidR="00206605" w:rsidRDefault="00206605" w:rsidP="00206605">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206605" w:rsidRPr="000C5130" w14:paraId="279EC714" w14:textId="77777777" w:rsidTr="00EC1DCA">
              <w:trPr>
                <w:trHeight w:val="287"/>
              </w:trPr>
              <w:tc>
                <w:tcPr>
                  <w:tcW w:w="3694" w:type="dxa"/>
                  <w:shd w:val="clear" w:color="auto" w:fill="D9D9D9" w:themeFill="background1" w:themeFillShade="D9"/>
                </w:tcPr>
                <w:p w14:paraId="03E9000B" w14:textId="77777777" w:rsidR="00206605" w:rsidRPr="000C5130" w:rsidRDefault="00206605" w:rsidP="00206605">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CB35A60" w14:textId="77777777" w:rsidR="00206605" w:rsidRPr="000C5130" w:rsidRDefault="00206605" w:rsidP="00206605">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206605" w:rsidRPr="000C5130" w14:paraId="4AEA21E9" w14:textId="77777777" w:rsidTr="00EC1DCA">
              <w:trPr>
                <w:trHeight w:val="302"/>
              </w:trPr>
              <w:tc>
                <w:tcPr>
                  <w:tcW w:w="3694" w:type="dxa"/>
                  <w:shd w:val="clear" w:color="auto" w:fill="auto"/>
                </w:tcPr>
                <w:p w14:paraId="11481892" w14:textId="77777777" w:rsidR="00206605" w:rsidRPr="000C5130" w:rsidRDefault="00206605" w:rsidP="00206605">
                  <w:pPr>
                    <w:tabs>
                      <w:tab w:val="left" w:pos="720"/>
                    </w:tabs>
                    <w:spacing w:line="276" w:lineRule="auto"/>
                    <w:jc w:val="both"/>
                    <w:rPr>
                      <w:rFonts w:ascii="Arial" w:hAnsi="Arial" w:cs="Arial"/>
                      <w:sz w:val="20"/>
                    </w:rPr>
                  </w:pPr>
                </w:p>
              </w:tc>
              <w:tc>
                <w:tcPr>
                  <w:tcW w:w="3694" w:type="dxa"/>
                  <w:shd w:val="clear" w:color="auto" w:fill="auto"/>
                </w:tcPr>
                <w:p w14:paraId="15E34566" w14:textId="77777777" w:rsidR="00206605" w:rsidRPr="000C5130" w:rsidRDefault="00206605" w:rsidP="00206605">
                  <w:pPr>
                    <w:tabs>
                      <w:tab w:val="left" w:pos="720"/>
                    </w:tabs>
                    <w:spacing w:line="276" w:lineRule="auto"/>
                    <w:jc w:val="both"/>
                    <w:rPr>
                      <w:rFonts w:ascii="Arial" w:hAnsi="Arial" w:cs="Arial"/>
                      <w:sz w:val="20"/>
                    </w:rPr>
                  </w:pPr>
                </w:p>
              </w:tc>
            </w:tr>
          </w:tbl>
          <w:p w14:paraId="1323C8E8" w14:textId="77777777" w:rsidR="00206605" w:rsidRDefault="00206605" w:rsidP="00206605">
            <w:pPr>
              <w:pStyle w:val="ListParagraph"/>
              <w:rPr>
                <w:rFonts w:ascii="Arial" w:hAnsi="Arial" w:cs="Arial"/>
                <w:b/>
                <w:sz w:val="20"/>
                <w:lang w:val="en-ZA"/>
              </w:rPr>
            </w:pPr>
          </w:p>
          <w:p w14:paraId="5EDF16EA" w14:textId="77777777" w:rsidR="00206605" w:rsidRDefault="00206605" w:rsidP="00206605">
            <w:pPr>
              <w:pStyle w:val="ListParagraph"/>
              <w:rPr>
                <w:rFonts w:ascii="Arial" w:hAnsi="Arial" w:cs="Arial"/>
                <w:b/>
                <w:sz w:val="20"/>
                <w:lang w:val="en-ZA"/>
              </w:rPr>
            </w:pPr>
          </w:p>
          <w:p w14:paraId="2F7EF669" w14:textId="77777777" w:rsidR="00206605" w:rsidRDefault="00206605" w:rsidP="00206605">
            <w:pPr>
              <w:pStyle w:val="ListParagraph"/>
              <w:rPr>
                <w:rFonts w:ascii="Arial" w:hAnsi="Arial" w:cs="Arial"/>
                <w:b/>
                <w:sz w:val="20"/>
                <w:lang w:val="en-ZA"/>
              </w:rPr>
            </w:pPr>
          </w:p>
          <w:p w14:paraId="34BFE719" w14:textId="77777777" w:rsidR="00206605" w:rsidRDefault="00206605" w:rsidP="00206605">
            <w:pPr>
              <w:tabs>
                <w:tab w:val="left" w:pos="720"/>
              </w:tabs>
              <w:spacing w:line="276" w:lineRule="auto"/>
              <w:ind w:left="360"/>
              <w:jc w:val="both"/>
              <w:rPr>
                <w:rFonts w:ascii="Arial" w:hAnsi="Arial" w:cs="Arial"/>
                <w:b/>
                <w:sz w:val="20"/>
                <w:lang w:val="en-ZA"/>
              </w:rPr>
            </w:pPr>
          </w:p>
          <w:p w14:paraId="41117277" w14:textId="77777777" w:rsidR="00206605" w:rsidRPr="006E4F88" w:rsidRDefault="00206605" w:rsidP="00206605">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5561048A" w14:textId="77777777" w:rsidR="00206605" w:rsidRDefault="00206605" w:rsidP="00206605">
            <w:pPr>
              <w:tabs>
                <w:tab w:val="left" w:pos="720"/>
              </w:tabs>
              <w:jc w:val="both"/>
              <w:rPr>
                <w:rFonts w:ascii="Arial" w:hAnsi="Arial" w:cs="Arial"/>
                <w:sz w:val="20"/>
              </w:rPr>
            </w:pPr>
          </w:p>
          <w:p w14:paraId="05F7FCA6" w14:textId="77777777" w:rsidR="00206605" w:rsidRPr="007328B8" w:rsidRDefault="00206605" w:rsidP="00206605">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15A42FF8" w14:textId="77777777" w:rsidR="00206605" w:rsidRDefault="00206605" w:rsidP="00206605">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206605" w:rsidRPr="000C5130" w14:paraId="08D170B0" w14:textId="77777777" w:rsidTr="00EC1DCA">
              <w:trPr>
                <w:trHeight w:val="359"/>
              </w:trPr>
              <w:tc>
                <w:tcPr>
                  <w:tcW w:w="3668" w:type="dxa"/>
                  <w:shd w:val="clear" w:color="auto" w:fill="D9D9D9" w:themeFill="background1" w:themeFillShade="D9"/>
                </w:tcPr>
                <w:p w14:paraId="56D0F165" w14:textId="77777777" w:rsidR="00206605" w:rsidRPr="000C5130" w:rsidRDefault="00206605" w:rsidP="00206605">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28C9814A" w14:textId="77777777" w:rsidR="00206605" w:rsidRDefault="00206605" w:rsidP="00206605">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5571C64E" w14:textId="77777777" w:rsidR="00206605" w:rsidRPr="000C5130" w:rsidRDefault="00206605" w:rsidP="00206605">
                  <w:pPr>
                    <w:tabs>
                      <w:tab w:val="left" w:pos="720"/>
                    </w:tabs>
                    <w:jc w:val="center"/>
                    <w:rPr>
                      <w:rFonts w:ascii="Arial" w:hAnsi="Arial" w:cs="Arial"/>
                      <w:b/>
                      <w:sz w:val="20"/>
                    </w:rPr>
                  </w:pPr>
                  <w:r>
                    <w:rPr>
                      <w:rFonts w:ascii="Arial" w:hAnsi="Arial" w:cs="Arial"/>
                      <w:b/>
                      <w:sz w:val="20"/>
                    </w:rPr>
                    <w:t>Proposed Number of Candidates</w:t>
                  </w:r>
                </w:p>
              </w:tc>
            </w:tr>
            <w:tr w:rsidR="00206605" w:rsidRPr="000C5130" w14:paraId="57FD6589" w14:textId="77777777" w:rsidTr="00EC1DCA">
              <w:trPr>
                <w:trHeight w:val="359"/>
              </w:trPr>
              <w:tc>
                <w:tcPr>
                  <w:tcW w:w="3668" w:type="dxa"/>
                  <w:shd w:val="clear" w:color="auto" w:fill="auto"/>
                  <w:vAlign w:val="bottom"/>
                </w:tcPr>
                <w:p w14:paraId="65DCB4F3" w14:textId="77777777" w:rsidR="00206605" w:rsidRDefault="00206605" w:rsidP="00206605">
                  <w:pPr>
                    <w:spacing w:line="276" w:lineRule="auto"/>
                    <w:rPr>
                      <w:rFonts w:ascii="Arial" w:hAnsi="Arial" w:cs="Arial"/>
                      <w:sz w:val="20"/>
                    </w:rPr>
                  </w:pPr>
                  <w:r>
                    <w:rPr>
                      <w:rFonts w:ascii="Arial" w:hAnsi="Arial" w:cs="Arial"/>
                      <w:sz w:val="20"/>
                    </w:rPr>
                    <w:t>Software analyst</w:t>
                  </w:r>
                </w:p>
              </w:tc>
              <w:tc>
                <w:tcPr>
                  <w:tcW w:w="1674" w:type="dxa"/>
                </w:tcPr>
                <w:p w14:paraId="5F16C423" w14:textId="77777777" w:rsidR="00206605" w:rsidRDefault="00206605" w:rsidP="00206605">
                  <w:pPr>
                    <w:jc w:val="center"/>
                    <w:rPr>
                      <w:rFonts w:ascii="Arial" w:hAnsi="Arial" w:cs="Arial"/>
                      <w:sz w:val="20"/>
                    </w:rPr>
                  </w:pPr>
                  <w:r>
                    <w:rPr>
                      <w:rFonts w:ascii="Arial" w:hAnsi="Arial" w:cs="Arial"/>
                      <w:sz w:val="20"/>
                    </w:rPr>
                    <w:t>1</w:t>
                  </w:r>
                </w:p>
              </w:tc>
              <w:tc>
                <w:tcPr>
                  <w:tcW w:w="1984" w:type="dxa"/>
                </w:tcPr>
                <w:p w14:paraId="076F6835" w14:textId="77777777" w:rsidR="00206605" w:rsidRPr="008A3FC8" w:rsidRDefault="00206605" w:rsidP="00206605">
                  <w:pPr>
                    <w:tabs>
                      <w:tab w:val="left" w:pos="720"/>
                    </w:tabs>
                    <w:jc w:val="center"/>
                    <w:rPr>
                      <w:rFonts w:ascii="Arial" w:hAnsi="Arial" w:cs="Arial"/>
                      <w:b/>
                      <w:sz w:val="20"/>
                    </w:rPr>
                  </w:pPr>
                </w:p>
              </w:tc>
            </w:tr>
          </w:tbl>
          <w:p w14:paraId="2F2D2006" w14:textId="77777777" w:rsidR="00206605" w:rsidRDefault="00206605" w:rsidP="00206605">
            <w:pPr>
              <w:spacing w:after="200" w:line="360" w:lineRule="auto"/>
              <w:ind w:left="360"/>
              <w:contextualSpacing/>
              <w:jc w:val="both"/>
              <w:rPr>
                <w:rFonts w:ascii="Arial" w:hAnsi="Arial" w:cs="Arial"/>
                <w:sz w:val="20"/>
                <w:lang w:val="en-ZA"/>
              </w:rPr>
            </w:pPr>
          </w:p>
          <w:p w14:paraId="71324531" w14:textId="77777777" w:rsidR="00206605" w:rsidRDefault="00206605" w:rsidP="00206605">
            <w:pPr>
              <w:spacing w:after="200" w:line="360" w:lineRule="auto"/>
              <w:ind w:left="360"/>
              <w:contextualSpacing/>
              <w:jc w:val="both"/>
              <w:rPr>
                <w:rFonts w:ascii="Arial" w:hAnsi="Arial" w:cs="Arial"/>
                <w:sz w:val="20"/>
                <w:lang w:val="en-ZA"/>
              </w:rPr>
            </w:pPr>
          </w:p>
          <w:p w14:paraId="30955FCA" w14:textId="77777777" w:rsidR="00206605" w:rsidRPr="007328B8" w:rsidRDefault="00206605" w:rsidP="00206605">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6D888CF1" w14:textId="77777777" w:rsidR="00206605" w:rsidRPr="007328B8" w:rsidRDefault="00206605" w:rsidP="00206605">
            <w:pPr>
              <w:spacing w:after="200" w:line="360" w:lineRule="auto"/>
              <w:ind w:left="360"/>
              <w:contextualSpacing/>
              <w:jc w:val="both"/>
              <w:rPr>
                <w:rFonts w:ascii="Arial" w:hAnsi="Arial" w:cs="Arial"/>
                <w:sz w:val="20"/>
                <w:lang w:val="en-ZA"/>
              </w:rPr>
            </w:pPr>
          </w:p>
          <w:p w14:paraId="71443C5C" w14:textId="2A93DB1C" w:rsidR="00206605" w:rsidRPr="000C5130" w:rsidRDefault="00206605" w:rsidP="00206605">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748671A1" w14:textId="0F470DF9" w:rsidR="006E5E06" w:rsidRDefault="006E5E06" w:rsidP="00EB6A30">
      <w:pPr>
        <w:spacing w:after="120" w:line="276" w:lineRule="auto"/>
        <w:rPr>
          <w:rFonts w:ascii="Arial" w:hAnsi="Arial" w:cs="Arial"/>
          <w:b/>
          <w:sz w:val="22"/>
        </w:rPr>
      </w:pPr>
    </w:p>
    <w:p w14:paraId="33EFB657" w14:textId="659C18EC" w:rsidR="007E7D29" w:rsidRDefault="007E7D29" w:rsidP="00EB6A30">
      <w:pPr>
        <w:spacing w:after="120" w:line="276" w:lineRule="auto"/>
        <w:rPr>
          <w:rFonts w:ascii="Arial" w:hAnsi="Arial" w:cs="Arial"/>
          <w:b/>
          <w:sz w:val="22"/>
        </w:rPr>
      </w:pPr>
    </w:p>
    <w:p w14:paraId="30750454" w14:textId="77777777" w:rsidR="001021C1" w:rsidRDefault="001021C1"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7A03FE5" w14:textId="1DCEF389" w:rsidR="00886177" w:rsidRPr="00886177" w:rsidRDefault="00CB3564" w:rsidP="00886177">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97BB" w14:textId="77777777" w:rsidR="00672481" w:rsidRDefault="00672481" w:rsidP="00201A98">
      <w:r>
        <w:separator/>
      </w:r>
    </w:p>
  </w:endnote>
  <w:endnote w:type="continuationSeparator" w:id="0">
    <w:p w14:paraId="5955E45A" w14:textId="77777777" w:rsidR="00672481" w:rsidRDefault="0067248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7C52" w14:textId="77777777" w:rsidR="00672481" w:rsidRDefault="00672481" w:rsidP="00201A98">
      <w:r>
        <w:separator/>
      </w:r>
    </w:p>
  </w:footnote>
  <w:footnote w:type="continuationSeparator" w:id="0">
    <w:p w14:paraId="7CD9D45C" w14:textId="77777777" w:rsidR="00672481" w:rsidRDefault="0067248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9290386"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1C1"/>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06605"/>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07AA"/>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72481"/>
    <w:rsid w:val="00686AD4"/>
    <w:rsid w:val="00692B80"/>
    <w:rsid w:val="006A1569"/>
    <w:rsid w:val="006A443E"/>
    <w:rsid w:val="006A55C5"/>
    <w:rsid w:val="006A73A5"/>
    <w:rsid w:val="006B0DF7"/>
    <w:rsid w:val="006B3FA2"/>
    <w:rsid w:val="006B57DF"/>
    <w:rsid w:val="006B676E"/>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5ED0"/>
    <w:rsid w:val="007A6DC8"/>
    <w:rsid w:val="007A6F13"/>
    <w:rsid w:val="007B57E6"/>
    <w:rsid w:val="007C0A56"/>
    <w:rsid w:val="007D4E0A"/>
    <w:rsid w:val="007D5975"/>
    <w:rsid w:val="007E0CE5"/>
    <w:rsid w:val="007E7D29"/>
    <w:rsid w:val="007F15E3"/>
    <w:rsid w:val="007F2310"/>
    <w:rsid w:val="007F4C9F"/>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177"/>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44D59"/>
    <w:rsid w:val="0095525E"/>
    <w:rsid w:val="00965504"/>
    <w:rsid w:val="009677DD"/>
    <w:rsid w:val="00970379"/>
    <w:rsid w:val="00977B70"/>
    <w:rsid w:val="009801BA"/>
    <w:rsid w:val="00990864"/>
    <w:rsid w:val="009A77EC"/>
    <w:rsid w:val="009F25ED"/>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D7C22"/>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17CA"/>
    <w:rsid w:val="00D73F08"/>
    <w:rsid w:val="00D754CB"/>
    <w:rsid w:val="00D817F7"/>
    <w:rsid w:val="00D86CD2"/>
    <w:rsid w:val="00D9504B"/>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D65B2"/>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2023-06-26T11:13:00Z</dcterms:created>
  <dcterms:modified xsi:type="dcterms:W3CDTF">2023-06-26T11:13:00Z</dcterms:modified>
</cp:coreProperties>
</file>