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501BD" w14:textId="77777777" w:rsidR="00552696" w:rsidRDefault="00552696"/>
    <w:p w14:paraId="4A61B13C" w14:textId="77777777" w:rsidR="00552696" w:rsidRPr="003D162C" w:rsidRDefault="00552696" w:rsidP="00552696">
      <w:pPr>
        <w:rPr>
          <w:rFonts w:ascii="Times New Roman" w:eastAsia="Calibri" w:hAnsi="Times New Roman" w:cs="Times New Roman"/>
          <w:sz w:val="24"/>
          <w:szCs w:val="24"/>
        </w:rPr>
      </w:pPr>
    </w:p>
    <w:p w14:paraId="20D92623" w14:textId="77777777" w:rsidR="00552696" w:rsidRDefault="00552696" w:rsidP="00552696">
      <w:pPr>
        <w:jc w:val="center"/>
        <w:rPr>
          <w:rFonts w:ascii="Times New Roman" w:eastAsia="Calibri" w:hAnsi="Times New Roman" w:cs="Times New Roman"/>
          <w:sz w:val="24"/>
          <w:szCs w:val="24"/>
        </w:rPr>
      </w:pPr>
    </w:p>
    <w:p w14:paraId="4598D04D" w14:textId="77777777" w:rsidR="00552696" w:rsidRPr="00A97FC2" w:rsidRDefault="00552696" w:rsidP="00552696">
      <w:pPr>
        <w:jc w:val="center"/>
        <w:rPr>
          <w:rFonts w:ascii="Times New Roman" w:eastAsia="Calibri" w:hAnsi="Times New Roman" w:cs="Times New Roman"/>
          <w:sz w:val="24"/>
          <w:szCs w:val="24"/>
        </w:rPr>
      </w:pPr>
      <w:r>
        <w:rPr>
          <w:rFonts w:ascii="Times New Roman" w:eastAsia="Calibri" w:hAnsi="Times New Roman" w:cs="Times New Roman"/>
          <w:noProof/>
          <w:sz w:val="24"/>
          <w:szCs w:val="24"/>
          <w:lang w:val="en-ZA" w:eastAsia="en-ZA"/>
        </w:rPr>
        <w:drawing>
          <wp:inline distT="0" distB="0" distL="0" distR="0" wp14:anchorId="426530CF" wp14:editId="3F0E4CCA">
            <wp:extent cx="2219325" cy="145732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1457325"/>
                    </a:xfrm>
                    <a:prstGeom prst="rect">
                      <a:avLst/>
                    </a:prstGeom>
                    <a:noFill/>
                    <a:ln>
                      <a:noFill/>
                    </a:ln>
                  </pic:spPr>
                </pic:pic>
              </a:graphicData>
            </a:graphic>
          </wp:inline>
        </w:drawing>
      </w:r>
    </w:p>
    <w:p w14:paraId="127BEDAC" w14:textId="77777777" w:rsidR="00552696" w:rsidRDefault="00552696" w:rsidP="00552696">
      <w:pPr>
        <w:spacing w:after="0" w:line="240" w:lineRule="auto"/>
        <w:jc w:val="center"/>
        <w:rPr>
          <w:rFonts w:ascii="Arial" w:eastAsia="Calibri" w:hAnsi="Arial" w:cs="Arial"/>
          <w:b/>
          <w:lang w:val="en-GB"/>
        </w:rPr>
      </w:pPr>
      <w:r>
        <w:rPr>
          <w:rFonts w:ascii="Arial" w:eastAsia="Calibri" w:hAnsi="Arial" w:cs="Arial"/>
          <w:b/>
          <w:lang w:val="en-GB"/>
        </w:rPr>
        <w:t>TENDER NO. MN 123/2025</w:t>
      </w:r>
    </w:p>
    <w:p w14:paraId="37598ED7" w14:textId="77777777" w:rsidR="00552696" w:rsidRDefault="00552696" w:rsidP="00552696">
      <w:pPr>
        <w:spacing w:after="0" w:line="240" w:lineRule="auto"/>
        <w:jc w:val="center"/>
        <w:rPr>
          <w:rFonts w:ascii="Arial" w:eastAsia="Calibri" w:hAnsi="Arial" w:cs="Arial"/>
          <w:b/>
          <w:lang w:val="en-GB"/>
        </w:rPr>
      </w:pPr>
    </w:p>
    <w:p w14:paraId="01C9A028" w14:textId="77777777" w:rsidR="00552696" w:rsidRPr="00B717AC" w:rsidRDefault="00552696" w:rsidP="00552696">
      <w:pPr>
        <w:spacing w:after="0" w:line="240" w:lineRule="auto"/>
        <w:jc w:val="center"/>
        <w:rPr>
          <w:rFonts w:ascii="Arial" w:eastAsia="Calibri" w:hAnsi="Arial" w:cs="Arial"/>
          <w:b/>
          <w:lang w:val="en-GB"/>
        </w:rPr>
      </w:pPr>
      <w:r>
        <w:rPr>
          <w:rFonts w:ascii="Arial" w:eastAsia="Calibri" w:hAnsi="Arial" w:cs="Arial"/>
          <w:b/>
          <w:lang w:val="en-GB"/>
        </w:rPr>
        <w:t>SUPPLY AND DELIVERY OF MAXIMUM DEMAND, SMART ELECTRICITY METERS AND ASSOCIATED WORKS AS AND WHEN REQUIRED FOR A PERIOD THREE (3) YEARS.</w:t>
      </w:r>
    </w:p>
    <w:p w14:paraId="2F11CE0A" w14:textId="77777777" w:rsidR="00552696" w:rsidRPr="00B717AC" w:rsidRDefault="00552696" w:rsidP="00552696">
      <w:pPr>
        <w:spacing w:after="0" w:line="240" w:lineRule="auto"/>
        <w:jc w:val="center"/>
        <w:rPr>
          <w:rFonts w:ascii="Times New Roman" w:eastAsia="Times New Roman" w:hAnsi="Times New Roman" w:cs="Times New Roman"/>
          <w:b/>
          <w:bCs/>
        </w:rPr>
      </w:pPr>
    </w:p>
    <w:p w14:paraId="591A0F41" w14:textId="77777777" w:rsidR="00552696" w:rsidRPr="000E5391" w:rsidRDefault="00552696" w:rsidP="00552696">
      <w:pPr>
        <w:spacing w:after="0" w:line="240" w:lineRule="auto"/>
        <w:jc w:val="center"/>
        <w:rPr>
          <w:rFonts w:ascii="Times New Roman" w:eastAsia="Times New Roman" w:hAnsi="Times New Roman" w:cs="Times New Roman"/>
          <w:b/>
          <w:bCs/>
        </w:rPr>
      </w:pPr>
    </w:p>
    <w:p w14:paraId="57C8153E" w14:textId="77777777" w:rsidR="00552696" w:rsidRPr="000E5391" w:rsidRDefault="00552696" w:rsidP="00552696">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r w:rsidRPr="000E5391">
        <w:rPr>
          <w:rFonts w:ascii="Arial" w:eastAsia="Times New Roman" w:hAnsi="Arial" w:cs="Arial"/>
          <w:b/>
          <w:snapToGrid w:val="0"/>
          <w:lang w:val="en-GB"/>
        </w:rPr>
        <w:t>T1.1: TENDER DATA AND INVITATION TO TENDER</w:t>
      </w:r>
    </w:p>
    <w:p w14:paraId="31E3C331" w14:textId="77777777" w:rsidR="00552696" w:rsidRPr="000E5391" w:rsidRDefault="00552696" w:rsidP="00552696">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after="0" w:line="264" w:lineRule="auto"/>
        <w:outlineLvl w:val="0"/>
        <w:rPr>
          <w:rFonts w:ascii="Arial" w:eastAsia="Times New Roman" w:hAnsi="Arial" w:cs="Arial"/>
          <w:b/>
          <w:snapToGrid w:val="0"/>
          <w:lang w:val="en-GB"/>
        </w:rPr>
      </w:pPr>
    </w:p>
    <w:p w14:paraId="09C3F636" w14:textId="77777777" w:rsidR="00552696" w:rsidRPr="000E5391" w:rsidRDefault="00552696" w:rsidP="00552696">
      <w:pPr>
        <w:jc w:val="both"/>
        <w:rPr>
          <w:rFonts w:ascii="Arial" w:eastAsia="Times New Roman" w:hAnsi="Arial" w:cs="Arial"/>
          <w:bCs/>
          <w:iCs/>
          <w:color w:val="FF0000"/>
        </w:rPr>
      </w:pPr>
      <w:r w:rsidRPr="000E5391">
        <w:rPr>
          <w:rFonts w:ascii="Arial" w:eastAsia="Times New Roman" w:hAnsi="Arial" w:cs="Arial"/>
          <w:bCs/>
          <w:iCs/>
        </w:rPr>
        <w:t>The KwaDukuza Municipali</w:t>
      </w:r>
      <w:r>
        <w:rPr>
          <w:rFonts w:ascii="Arial" w:eastAsia="Times New Roman" w:hAnsi="Arial" w:cs="Arial"/>
          <w:bCs/>
          <w:iCs/>
        </w:rPr>
        <w:t xml:space="preserve">ty invites tenders for Tender MN 123/2025 – SUPPLY AND DELIVERY OF MAXIMUM DEMAND, SMART ELECTRICITY METERS AND ASSOCIATED WORKS AS AND WHEN REQUIRED FOR A PERIOD THREE (3) YEARS. </w:t>
      </w:r>
      <w:r w:rsidRPr="000E5391">
        <w:rPr>
          <w:rFonts w:ascii="Arial" w:eastAsia="Times New Roman" w:hAnsi="Arial" w:cs="Arial"/>
          <w:bCs/>
          <w:iCs/>
          <w:color w:val="FF0000"/>
        </w:rPr>
        <w:t xml:space="preserve"> </w:t>
      </w:r>
      <w:r w:rsidRPr="000E5391">
        <w:rPr>
          <w:rFonts w:ascii="Arial" w:eastAsia="Times New Roman" w:hAnsi="Arial" w:cs="Arial"/>
          <w:bCs/>
          <w:iCs/>
        </w:rPr>
        <w:t xml:space="preserve">Tenderers shall be registered on </w:t>
      </w:r>
      <w:proofErr w:type="gramStart"/>
      <w:r w:rsidRPr="000E5391">
        <w:rPr>
          <w:rFonts w:ascii="Arial" w:eastAsia="Times New Roman" w:hAnsi="Arial" w:cs="Arial"/>
          <w:bCs/>
          <w:iCs/>
        </w:rPr>
        <w:t>National</w:t>
      </w:r>
      <w:proofErr w:type="gramEnd"/>
      <w:r w:rsidRPr="000E5391">
        <w:rPr>
          <w:rFonts w:ascii="Arial" w:eastAsia="Times New Roman" w:hAnsi="Arial" w:cs="Arial"/>
          <w:bCs/>
          <w:iCs/>
        </w:rPr>
        <w:t xml:space="preserve"> Treasury’s Central Supplier Database.</w:t>
      </w:r>
    </w:p>
    <w:p w14:paraId="3DC92D11" w14:textId="77777777" w:rsidR="00552696" w:rsidRPr="000E5391" w:rsidRDefault="00552696" w:rsidP="00552696">
      <w:pPr>
        <w:spacing w:after="0"/>
        <w:jc w:val="both"/>
        <w:rPr>
          <w:rFonts w:ascii="Arial" w:eastAsia="Times New Roman" w:hAnsi="Arial" w:cs="Arial"/>
        </w:rPr>
      </w:pPr>
    </w:p>
    <w:p w14:paraId="69D2A889" w14:textId="77777777" w:rsidR="00552696" w:rsidRDefault="00552696" w:rsidP="00552696">
      <w:pPr>
        <w:spacing w:after="0" w:line="240" w:lineRule="auto"/>
        <w:jc w:val="both"/>
        <w:rPr>
          <w:rFonts w:ascii="Arial" w:eastAsia="Times New Roman" w:hAnsi="Arial" w:cs="Arial"/>
          <w:bCs/>
          <w:iCs/>
        </w:rPr>
      </w:pPr>
      <w:r w:rsidRPr="00D768BD">
        <w:rPr>
          <w:rFonts w:ascii="Arial" w:eastAsia="Times New Roman" w:hAnsi="Arial" w:cs="Arial"/>
          <w:bCs/>
          <w:iCs/>
        </w:rPr>
        <w:t xml:space="preserve">The physical address for collection of tender documents is: The KwaDukuza Municipality, Electrical Engineering Services Department, Electrical Offices, No 21, </w:t>
      </w:r>
      <w:proofErr w:type="spellStart"/>
      <w:r w:rsidRPr="00D768BD">
        <w:rPr>
          <w:rFonts w:ascii="Arial" w:eastAsia="Times New Roman" w:hAnsi="Arial" w:cs="Arial"/>
          <w:bCs/>
          <w:iCs/>
        </w:rPr>
        <w:t>Lavoipierre</w:t>
      </w:r>
      <w:proofErr w:type="spellEnd"/>
      <w:r w:rsidRPr="00D768BD">
        <w:rPr>
          <w:rFonts w:ascii="Arial" w:eastAsia="Times New Roman" w:hAnsi="Arial" w:cs="Arial"/>
          <w:bCs/>
          <w:iCs/>
        </w:rPr>
        <w:t xml:space="preserve"> Building, 2 Industria Crescent, KwaDukuza, upon presentation of a receipt proving prior payment of a non-refundable fee </w:t>
      </w:r>
      <w:r w:rsidRPr="00552696">
        <w:rPr>
          <w:rFonts w:ascii="Arial" w:eastAsia="Times New Roman" w:hAnsi="Arial" w:cs="Arial"/>
          <w:bCs/>
          <w:iCs/>
        </w:rPr>
        <w:t xml:space="preserve">of </w:t>
      </w:r>
      <w:r w:rsidRPr="00552696">
        <w:rPr>
          <w:rFonts w:ascii="Arial" w:eastAsia="Times New Roman" w:hAnsi="Arial" w:cs="Arial"/>
          <w:b/>
          <w:bCs/>
          <w:iCs/>
        </w:rPr>
        <w:t>R 866.00</w:t>
      </w:r>
      <w:r w:rsidRPr="00D768BD">
        <w:rPr>
          <w:rFonts w:ascii="Arial" w:eastAsia="Times New Roman" w:hAnsi="Arial" w:cs="Arial"/>
          <w:bCs/>
          <w:iCs/>
        </w:rPr>
        <w:t xml:space="preserve"> (inclusive of VAT), having been made at the Municipal Finance Directorate, General Justice Mpanza Building, 104 Mahatma Gandhi Street, KwaDukuza (Cash or EFT only).</w:t>
      </w:r>
    </w:p>
    <w:p w14:paraId="519874EC" w14:textId="77777777" w:rsidR="00552696" w:rsidRDefault="00552696" w:rsidP="00552696">
      <w:pPr>
        <w:spacing w:after="0" w:line="240" w:lineRule="auto"/>
        <w:jc w:val="both"/>
        <w:rPr>
          <w:rFonts w:ascii="Arial" w:eastAsia="Times New Roman" w:hAnsi="Arial" w:cs="Arial"/>
        </w:rPr>
      </w:pPr>
    </w:p>
    <w:p w14:paraId="60CA63D0" w14:textId="77777777" w:rsidR="00552696" w:rsidRDefault="00552696" w:rsidP="00552696">
      <w:pPr>
        <w:suppressAutoHyphens/>
        <w:spacing w:after="0" w:line="240" w:lineRule="auto"/>
        <w:jc w:val="both"/>
        <w:rPr>
          <w:rFonts w:ascii="Arial" w:eastAsia="Times New Roman" w:hAnsi="Arial" w:cs="Arial"/>
          <w:szCs w:val="24"/>
          <w:lang w:val="en-GB"/>
        </w:rPr>
      </w:pPr>
      <w:r w:rsidRPr="006D5EFA">
        <w:rPr>
          <w:rFonts w:ascii="Arial" w:eastAsia="Times New Roman" w:hAnsi="Arial" w:cs="Arial"/>
          <w:szCs w:val="24"/>
          <w:lang w:val="en-GB"/>
        </w:rPr>
        <w:t xml:space="preserve">EFT shall be made directly to the Municipality Bank Account which is as follows: </w:t>
      </w:r>
    </w:p>
    <w:p w14:paraId="4F6419D9" w14:textId="77777777" w:rsidR="00552696" w:rsidRPr="006D5EFA" w:rsidRDefault="00552696" w:rsidP="00552696">
      <w:pPr>
        <w:suppressAutoHyphens/>
        <w:spacing w:after="0" w:line="240" w:lineRule="auto"/>
        <w:jc w:val="both"/>
        <w:rPr>
          <w:rFonts w:ascii="Arial" w:eastAsia="Times New Roman" w:hAnsi="Arial" w:cs="Arial"/>
          <w:bCs/>
          <w:iCs/>
          <w:sz w:val="20"/>
        </w:rPr>
      </w:pPr>
    </w:p>
    <w:tbl>
      <w:tblPr>
        <w:tblStyle w:val="TableGrid"/>
        <w:tblW w:w="8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979"/>
        <w:gridCol w:w="2517"/>
        <w:gridCol w:w="2052"/>
        <w:gridCol w:w="1576"/>
      </w:tblGrid>
      <w:tr w:rsidR="00552696" w:rsidRPr="009E5BB1" w14:paraId="2446FA98" w14:textId="77777777" w:rsidTr="00CC05BF">
        <w:tc>
          <w:tcPr>
            <w:tcW w:w="1979" w:type="dxa"/>
          </w:tcPr>
          <w:p w14:paraId="4E407A44" w14:textId="77777777" w:rsidR="00552696" w:rsidRPr="009E5BB1" w:rsidRDefault="00552696" w:rsidP="00CC05BF">
            <w:pPr>
              <w:jc w:val="both"/>
              <w:rPr>
                <w:rFonts w:ascii="Arial" w:eastAsia="Times New Roman" w:hAnsi="Arial" w:cs="Arial"/>
              </w:rPr>
            </w:pPr>
            <w:r w:rsidRPr="009E5BB1">
              <w:rPr>
                <w:rFonts w:ascii="Arial" w:eastAsia="Times New Roman" w:hAnsi="Arial" w:cs="Arial"/>
              </w:rPr>
              <w:t>Account Name:</w:t>
            </w:r>
          </w:p>
        </w:tc>
        <w:tc>
          <w:tcPr>
            <w:tcW w:w="2517" w:type="dxa"/>
          </w:tcPr>
          <w:p w14:paraId="1A9F53C7" w14:textId="77777777" w:rsidR="00552696" w:rsidRPr="009E5BB1" w:rsidRDefault="00552696" w:rsidP="00CC05BF">
            <w:pPr>
              <w:jc w:val="both"/>
              <w:rPr>
                <w:rFonts w:ascii="Arial" w:eastAsia="Times New Roman" w:hAnsi="Arial" w:cs="Arial"/>
              </w:rPr>
            </w:pPr>
            <w:r w:rsidRPr="009E5BB1">
              <w:rPr>
                <w:rFonts w:ascii="Arial" w:eastAsia="Times New Roman" w:hAnsi="Arial" w:cs="Arial"/>
              </w:rPr>
              <w:t>KDM Primary Account</w:t>
            </w:r>
          </w:p>
        </w:tc>
        <w:tc>
          <w:tcPr>
            <w:tcW w:w="2052" w:type="dxa"/>
          </w:tcPr>
          <w:p w14:paraId="6D5DC14C" w14:textId="77777777" w:rsidR="00552696" w:rsidRPr="009E5BB1" w:rsidRDefault="00552696" w:rsidP="00CC05BF">
            <w:pPr>
              <w:jc w:val="both"/>
              <w:rPr>
                <w:rFonts w:ascii="Arial" w:eastAsia="Times New Roman" w:hAnsi="Arial" w:cs="Arial"/>
              </w:rPr>
            </w:pPr>
            <w:r w:rsidRPr="009E5BB1">
              <w:rPr>
                <w:rFonts w:ascii="Arial" w:eastAsia="Times New Roman" w:hAnsi="Arial" w:cs="Arial"/>
              </w:rPr>
              <w:t>Account Type:</w:t>
            </w:r>
          </w:p>
        </w:tc>
        <w:tc>
          <w:tcPr>
            <w:tcW w:w="1576" w:type="dxa"/>
          </w:tcPr>
          <w:p w14:paraId="40CD6FCE" w14:textId="77777777" w:rsidR="00552696" w:rsidRPr="009E5BB1" w:rsidRDefault="00552696" w:rsidP="00CC05BF">
            <w:pPr>
              <w:jc w:val="both"/>
              <w:rPr>
                <w:rFonts w:ascii="Arial" w:eastAsia="Times New Roman" w:hAnsi="Arial" w:cs="Arial"/>
              </w:rPr>
            </w:pPr>
            <w:r w:rsidRPr="009E5BB1">
              <w:rPr>
                <w:rFonts w:ascii="Arial" w:eastAsia="Times New Roman" w:hAnsi="Arial" w:cs="Arial"/>
              </w:rPr>
              <w:t>Cheque</w:t>
            </w:r>
          </w:p>
        </w:tc>
      </w:tr>
      <w:tr w:rsidR="00552696" w:rsidRPr="009E5BB1" w14:paraId="01373980" w14:textId="77777777" w:rsidTr="00CC05BF">
        <w:tc>
          <w:tcPr>
            <w:tcW w:w="1979" w:type="dxa"/>
          </w:tcPr>
          <w:p w14:paraId="52085B01" w14:textId="77777777" w:rsidR="00552696" w:rsidRPr="009E5BB1" w:rsidRDefault="00552696" w:rsidP="00CC05BF">
            <w:pPr>
              <w:jc w:val="both"/>
              <w:rPr>
                <w:rFonts w:ascii="Arial" w:eastAsia="Times New Roman" w:hAnsi="Arial" w:cs="Arial"/>
              </w:rPr>
            </w:pPr>
            <w:r w:rsidRPr="009E5BB1">
              <w:rPr>
                <w:rFonts w:ascii="Arial" w:eastAsia="Times New Roman" w:hAnsi="Arial" w:cs="Arial"/>
              </w:rPr>
              <w:t>Name of bank:</w:t>
            </w:r>
          </w:p>
        </w:tc>
        <w:tc>
          <w:tcPr>
            <w:tcW w:w="2517" w:type="dxa"/>
          </w:tcPr>
          <w:p w14:paraId="259821A3" w14:textId="77777777" w:rsidR="00552696" w:rsidRPr="009E5BB1" w:rsidRDefault="00552696" w:rsidP="00CC05BF">
            <w:pPr>
              <w:jc w:val="both"/>
              <w:rPr>
                <w:rFonts w:ascii="Arial" w:eastAsia="Times New Roman" w:hAnsi="Arial" w:cs="Arial"/>
              </w:rPr>
            </w:pPr>
            <w:r w:rsidRPr="009E5BB1">
              <w:rPr>
                <w:rFonts w:ascii="Arial" w:eastAsia="Times New Roman" w:hAnsi="Arial" w:cs="Arial"/>
              </w:rPr>
              <w:t>ABSA</w:t>
            </w:r>
          </w:p>
        </w:tc>
        <w:tc>
          <w:tcPr>
            <w:tcW w:w="2052" w:type="dxa"/>
          </w:tcPr>
          <w:p w14:paraId="584F2FBF" w14:textId="77777777" w:rsidR="00552696" w:rsidRPr="009E5BB1" w:rsidRDefault="00552696" w:rsidP="00CC05BF">
            <w:pPr>
              <w:jc w:val="both"/>
              <w:rPr>
                <w:rFonts w:ascii="Arial" w:eastAsia="Times New Roman" w:hAnsi="Arial" w:cs="Arial"/>
              </w:rPr>
            </w:pPr>
            <w:r w:rsidRPr="009E5BB1">
              <w:rPr>
                <w:rFonts w:ascii="Arial" w:eastAsia="Times New Roman" w:hAnsi="Arial" w:cs="Arial"/>
              </w:rPr>
              <w:t>Account Number:</w:t>
            </w:r>
          </w:p>
        </w:tc>
        <w:tc>
          <w:tcPr>
            <w:tcW w:w="1576" w:type="dxa"/>
          </w:tcPr>
          <w:p w14:paraId="70E7A1CD" w14:textId="77777777" w:rsidR="00552696" w:rsidRPr="009E5BB1" w:rsidRDefault="00552696" w:rsidP="00CC05BF">
            <w:pPr>
              <w:jc w:val="both"/>
              <w:rPr>
                <w:rFonts w:ascii="Arial" w:eastAsia="Times New Roman" w:hAnsi="Arial" w:cs="Arial"/>
              </w:rPr>
            </w:pPr>
            <w:r w:rsidRPr="009E5BB1">
              <w:rPr>
                <w:rFonts w:ascii="Arial" w:eastAsia="Times New Roman" w:hAnsi="Arial" w:cs="Arial"/>
              </w:rPr>
              <w:t>4087627126</w:t>
            </w:r>
          </w:p>
        </w:tc>
      </w:tr>
      <w:tr w:rsidR="00552696" w:rsidRPr="009E5BB1" w14:paraId="5335BE25" w14:textId="77777777" w:rsidTr="00CC05BF">
        <w:tc>
          <w:tcPr>
            <w:tcW w:w="1979" w:type="dxa"/>
          </w:tcPr>
          <w:p w14:paraId="3EA59913" w14:textId="77777777" w:rsidR="00552696" w:rsidRPr="009E5BB1" w:rsidRDefault="00552696" w:rsidP="00CC05BF">
            <w:pPr>
              <w:jc w:val="both"/>
              <w:rPr>
                <w:rFonts w:ascii="Arial" w:eastAsia="Times New Roman" w:hAnsi="Arial" w:cs="Arial"/>
              </w:rPr>
            </w:pPr>
            <w:r w:rsidRPr="009E5BB1">
              <w:rPr>
                <w:rFonts w:ascii="Arial" w:eastAsia="Times New Roman" w:hAnsi="Arial" w:cs="Arial"/>
              </w:rPr>
              <w:t>Name of branch:</w:t>
            </w:r>
          </w:p>
        </w:tc>
        <w:tc>
          <w:tcPr>
            <w:tcW w:w="2517" w:type="dxa"/>
          </w:tcPr>
          <w:p w14:paraId="71EE42DF" w14:textId="77777777" w:rsidR="00552696" w:rsidRPr="009E5BB1" w:rsidRDefault="00552696" w:rsidP="00CC05BF">
            <w:pPr>
              <w:jc w:val="both"/>
              <w:rPr>
                <w:rFonts w:ascii="Arial" w:eastAsia="Times New Roman" w:hAnsi="Arial" w:cs="Arial"/>
              </w:rPr>
            </w:pPr>
            <w:r w:rsidRPr="009E5BB1">
              <w:rPr>
                <w:rFonts w:ascii="Arial" w:eastAsia="Times New Roman" w:hAnsi="Arial" w:cs="Arial"/>
              </w:rPr>
              <w:t>Public Sector – KZN</w:t>
            </w:r>
          </w:p>
        </w:tc>
        <w:tc>
          <w:tcPr>
            <w:tcW w:w="2052" w:type="dxa"/>
          </w:tcPr>
          <w:p w14:paraId="5C884990" w14:textId="77777777" w:rsidR="00552696" w:rsidRPr="009E5BB1" w:rsidRDefault="00552696" w:rsidP="00CC05BF">
            <w:pPr>
              <w:jc w:val="both"/>
              <w:rPr>
                <w:rFonts w:ascii="Arial" w:eastAsia="Times New Roman" w:hAnsi="Arial" w:cs="Arial"/>
              </w:rPr>
            </w:pPr>
            <w:r w:rsidRPr="009E5BB1">
              <w:rPr>
                <w:rFonts w:ascii="Arial" w:eastAsia="Times New Roman" w:hAnsi="Arial" w:cs="Arial"/>
              </w:rPr>
              <w:t>Branch Code:</w:t>
            </w:r>
          </w:p>
        </w:tc>
        <w:tc>
          <w:tcPr>
            <w:tcW w:w="1576" w:type="dxa"/>
          </w:tcPr>
          <w:p w14:paraId="737B1085" w14:textId="77777777" w:rsidR="00552696" w:rsidRPr="009E5BB1" w:rsidRDefault="00552696" w:rsidP="00CC05BF">
            <w:pPr>
              <w:jc w:val="both"/>
              <w:rPr>
                <w:rFonts w:ascii="Arial" w:eastAsia="Times New Roman" w:hAnsi="Arial" w:cs="Arial"/>
              </w:rPr>
            </w:pPr>
            <w:r w:rsidRPr="009E5BB1">
              <w:rPr>
                <w:rFonts w:ascii="Arial" w:eastAsia="Times New Roman" w:hAnsi="Arial" w:cs="Arial"/>
              </w:rPr>
              <w:t>632005</w:t>
            </w:r>
          </w:p>
        </w:tc>
      </w:tr>
      <w:tr w:rsidR="00552696" w:rsidRPr="00552696" w14:paraId="44B24236" w14:textId="77777777" w:rsidTr="00CC05BF">
        <w:tc>
          <w:tcPr>
            <w:tcW w:w="1979" w:type="dxa"/>
          </w:tcPr>
          <w:p w14:paraId="4FCC66C9" w14:textId="77777777" w:rsidR="00552696" w:rsidRPr="00552696" w:rsidRDefault="00552696" w:rsidP="00CC05BF">
            <w:pPr>
              <w:jc w:val="both"/>
              <w:rPr>
                <w:rFonts w:ascii="Arial" w:eastAsia="Times New Roman" w:hAnsi="Arial" w:cs="Arial"/>
              </w:rPr>
            </w:pPr>
            <w:r w:rsidRPr="00552696">
              <w:rPr>
                <w:rFonts w:ascii="Arial" w:eastAsia="Times New Roman" w:hAnsi="Arial" w:cs="Arial"/>
              </w:rPr>
              <w:t>Reference:</w:t>
            </w:r>
          </w:p>
        </w:tc>
        <w:tc>
          <w:tcPr>
            <w:tcW w:w="2517" w:type="dxa"/>
          </w:tcPr>
          <w:p w14:paraId="6F900296" w14:textId="77777777" w:rsidR="00552696" w:rsidRPr="00552696" w:rsidRDefault="00552696" w:rsidP="00CC05BF">
            <w:pPr>
              <w:jc w:val="both"/>
              <w:rPr>
                <w:rFonts w:ascii="Arial" w:eastAsia="Times New Roman" w:hAnsi="Arial" w:cs="Arial"/>
              </w:rPr>
            </w:pPr>
            <w:r w:rsidRPr="00552696">
              <w:rPr>
                <w:rFonts w:ascii="Arial" w:eastAsia="Times New Roman" w:hAnsi="Arial" w:cs="Arial"/>
              </w:rPr>
              <w:t>MN 123/2025</w:t>
            </w:r>
          </w:p>
        </w:tc>
        <w:tc>
          <w:tcPr>
            <w:tcW w:w="2052" w:type="dxa"/>
          </w:tcPr>
          <w:p w14:paraId="02C01EF8" w14:textId="77777777" w:rsidR="00552696" w:rsidRPr="00552696" w:rsidRDefault="00552696" w:rsidP="00CC05BF">
            <w:pPr>
              <w:jc w:val="both"/>
              <w:rPr>
                <w:rFonts w:ascii="Arial" w:eastAsia="Times New Roman" w:hAnsi="Arial" w:cs="Arial"/>
              </w:rPr>
            </w:pPr>
          </w:p>
        </w:tc>
        <w:tc>
          <w:tcPr>
            <w:tcW w:w="1576" w:type="dxa"/>
          </w:tcPr>
          <w:p w14:paraId="1F70C7EB" w14:textId="77777777" w:rsidR="00552696" w:rsidRPr="00552696" w:rsidRDefault="00552696" w:rsidP="00CC05BF">
            <w:pPr>
              <w:jc w:val="both"/>
              <w:rPr>
                <w:rFonts w:ascii="Arial" w:eastAsia="Times New Roman" w:hAnsi="Arial" w:cs="Arial"/>
              </w:rPr>
            </w:pPr>
          </w:p>
        </w:tc>
      </w:tr>
    </w:tbl>
    <w:p w14:paraId="05A2F92C" w14:textId="77777777" w:rsidR="00552696" w:rsidRPr="00552696" w:rsidRDefault="00552696" w:rsidP="00552696">
      <w:pPr>
        <w:spacing w:after="0" w:line="240" w:lineRule="auto"/>
        <w:jc w:val="both"/>
        <w:rPr>
          <w:rFonts w:ascii="Arial" w:eastAsia="Times New Roman" w:hAnsi="Arial" w:cs="Arial"/>
        </w:rPr>
      </w:pPr>
    </w:p>
    <w:p w14:paraId="583DC182" w14:textId="58091BEA" w:rsidR="00552696" w:rsidRPr="00552696" w:rsidRDefault="00552696" w:rsidP="00552696">
      <w:pPr>
        <w:spacing w:after="0" w:line="240" w:lineRule="auto"/>
        <w:jc w:val="both"/>
        <w:rPr>
          <w:rFonts w:ascii="Arial" w:eastAsia="Times New Roman" w:hAnsi="Arial" w:cs="Arial"/>
        </w:rPr>
      </w:pPr>
      <w:r w:rsidRPr="00552696">
        <w:rPr>
          <w:rFonts w:ascii="Arial" w:eastAsia="Times New Roman" w:hAnsi="Arial" w:cs="Arial"/>
        </w:rPr>
        <w:t xml:space="preserve">Tender documents will be available from </w:t>
      </w:r>
      <w:r w:rsidRPr="00552696">
        <w:rPr>
          <w:rFonts w:ascii="Arial" w:eastAsia="Times New Roman" w:hAnsi="Arial" w:cs="Arial"/>
          <w:b/>
        </w:rPr>
        <w:t xml:space="preserve">09h00 </w:t>
      </w:r>
      <w:r w:rsidRPr="00552696">
        <w:rPr>
          <w:rFonts w:ascii="Arial" w:eastAsia="Times New Roman" w:hAnsi="Arial" w:cs="Arial"/>
        </w:rPr>
        <w:t xml:space="preserve">on </w:t>
      </w:r>
      <w:r w:rsidRPr="00552696">
        <w:rPr>
          <w:rFonts w:ascii="Arial" w:eastAsia="Times New Roman" w:hAnsi="Arial" w:cs="Arial"/>
          <w:b/>
          <w:bCs/>
        </w:rPr>
        <w:t>08</w:t>
      </w:r>
      <w:r w:rsidRPr="00552696">
        <w:rPr>
          <w:rFonts w:ascii="Arial" w:eastAsia="Times New Roman" w:hAnsi="Arial" w:cs="Arial"/>
          <w:b/>
          <w:bCs/>
          <w:vertAlign w:val="superscript"/>
        </w:rPr>
        <w:t>TH</w:t>
      </w:r>
      <w:r w:rsidRPr="00552696">
        <w:rPr>
          <w:rFonts w:ascii="Arial" w:eastAsia="Times New Roman" w:hAnsi="Arial" w:cs="Arial"/>
          <w:b/>
          <w:bCs/>
        </w:rPr>
        <w:t xml:space="preserve"> </w:t>
      </w:r>
      <w:proofErr w:type="gramStart"/>
      <w:r w:rsidRPr="00552696">
        <w:rPr>
          <w:rFonts w:ascii="Arial" w:eastAsia="Times New Roman" w:hAnsi="Arial" w:cs="Arial"/>
          <w:b/>
          <w:bCs/>
        </w:rPr>
        <w:t>September</w:t>
      </w:r>
      <w:r w:rsidRPr="00552696">
        <w:rPr>
          <w:rFonts w:ascii="Arial" w:eastAsia="Times New Roman" w:hAnsi="Arial" w:cs="Arial"/>
        </w:rPr>
        <w:t xml:space="preserve"> </w:t>
      </w:r>
      <w:r w:rsidRPr="00552696">
        <w:rPr>
          <w:rFonts w:ascii="Arial" w:eastAsia="Times New Roman" w:hAnsi="Arial" w:cs="Arial"/>
          <w:b/>
        </w:rPr>
        <w:t xml:space="preserve"> 2025</w:t>
      </w:r>
      <w:proofErr w:type="gramEnd"/>
      <w:r w:rsidRPr="00552696">
        <w:rPr>
          <w:rFonts w:ascii="Arial" w:eastAsia="Times New Roman" w:hAnsi="Arial" w:cs="Arial"/>
        </w:rPr>
        <w:t xml:space="preserve">. The cut-off time for selling of tender document is </w:t>
      </w:r>
      <w:r w:rsidRPr="00552696">
        <w:rPr>
          <w:rFonts w:ascii="Arial" w:eastAsia="Times New Roman" w:hAnsi="Arial" w:cs="Arial"/>
          <w:b/>
          <w:u w:val="single"/>
        </w:rPr>
        <w:t xml:space="preserve">15h00 on </w:t>
      </w:r>
      <w:r w:rsidRPr="00552696">
        <w:rPr>
          <w:rFonts w:ascii="Arial" w:eastAsia="Times New Roman" w:hAnsi="Arial" w:cs="Arial"/>
          <w:b/>
          <w:u w:val="single"/>
        </w:rPr>
        <w:t>30 September</w:t>
      </w:r>
      <w:r w:rsidRPr="00552696">
        <w:rPr>
          <w:rFonts w:ascii="Arial" w:eastAsia="Times New Roman" w:hAnsi="Arial" w:cs="Arial"/>
          <w:b/>
          <w:u w:val="single"/>
        </w:rPr>
        <w:t>2025</w:t>
      </w:r>
      <w:r w:rsidRPr="00552696">
        <w:rPr>
          <w:rFonts w:ascii="Arial" w:eastAsia="Times New Roman" w:hAnsi="Arial" w:cs="Arial"/>
        </w:rPr>
        <w:t xml:space="preserve">. Contact person regarding collection of these documents is Mbalenhle Dlamini, Tel No: 032-437-5087, email: MbaliD@kwadukuza.gov.za. Technical queries may be addressed to Nceba Dambuza Tel No. </w:t>
      </w:r>
      <w:r w:rsidRPr="00552696">
        <w:rPr>
          <w:rFonts w:ascii="Arial" w:eastAsia="Times New Roman" w:hAnsi="Arial" w:cs="Arial"/>
        </w:rPr>
        <w:lastRenderedPageBreak/>
        <w:t>032 300 0102, email: NcebaD@kwadukuza.gov.za. Commercial queries may be addressed to Luyanda Tshonapi Tel No. 032 437 5114, email: LuyandaT@kwadukuza.gov.za</w:t>
      </w:r>
    </w:p>
    <w:p w14:paraId="54357EBA" w14:textId="77777777" w:rsidR="00552696" w:rsidRPr="00552696" w:rsidRDefault="00552696" w:rsidP="00552696">
      <w:pPr>
        <w:suppressAutoHyphens/>
        <w:spacing w:after="0"/>
        <w:jc w:val="both"/>
        <w:rPr>
          <w:rFonts w:ascii="Arial" w:eastAsia="Times New Roman" w:hAnsi="Arial" w:cs="Arial"/>
        </w:rPr>
      </w:pPr>
    </w:p>
    <w:p w14:paraId="234B91FE" w14:textId="4191D130" w:rsidR="00552696" w:rsidRPr="00552696" w:rsidRDefault="00552696" w:rsidP="00552696">
      <w:pPr>
        <w:suppressAutoHyphens/>
        <w:spacing w:after="0"/>
        <w:jc w:val="both"/>
        <w:rPr>
          <w:rFonts w:ascii="Arial" w:eastAsia="Times New Roman" w:hAnsi="Arial" w:cs="Arial"/>
          <w:b/>
          <w:bCs/>
        </w:rPr>
      </w:pPr>
      <w:r w:rsidRPr="00552696">
        <w:rPr>
          <w:rFonts w:ascii="Arial" w:eastAsia="Times New Roman" w:hAnsi="Arial" w:cs="Arial"/>
          <w:b/>
          <w:bCs/>
        </w:rPr>
        <w:t xml:space="preserve">A compulsory clarification meeting, with representatives of the Employer, will take place at the KwaDukuza Municipality: PMU BUILDING-BACK ENTRY OPEN PARKING, </w:t>
      </w:r>
      <w:proofErr w:type="spellStart"/>
      <w:r w:rsidRPr="00552696">
        <w:rPr>
          <w:rFonts w:ascii="Arial" w:eastAsia="Times New Roman" w:hAnsi="Arial" w:cs="Arial"/>
          <w:b/>
          <w:bCs/>
        </w:rPr>
        <w:t>Lavoipierre</w:t>
      </w:r>
      <w:proofErr w:type="spellEnd"/>
      <w:r w:rsidRPr="00552696">
        <w:rPr>
          <w:rFonts w:ascii="Arial" w:eastAsia="Times New Roman" w:hAnsi="Arial" w:cs="Arial"/>
          <w:b/>
          <w:bCs/>
        </w:rPr>
        <w:t xml:space="preserve"> Building 2 Industria Crescent, KwaDukuza, 4450 on </w:t>
      </w:r>
      <w:r w:rsidRPr="00552696">
        <w:rPr>
          <w:rFonts w:ascii="Arial" w:eastAsia="Times New Roman" w:hAnsi="Arial" w:cs="Arial"/>
          <w:b/>
          <w:bCs/>
          <w:u w:val="single"/>
        </w:rPr>
        <w:t>01</w:t>
      </w:r>
      <w:r w:rsidRPr="00552696">
        <w:rPr>
          <w:rFonts w:ascii="Arial" w:eastAsia="Times New Roman" w:hAnsi="Arial" w:cs="Arial"/>
          <w:b/>
          <w:bCs/>
          <w:u w:val="single"/>
        </w:rPr>
        <w:t xml:space="preserve"> </w:t>
      </w:r>
      <w:r w:rsidRPr="00552696">
        <w:rPr>
          <w:rFonts w:ascii="Arial" w:eastAsia="Times New Roman" w:hAnsi="Arial" w:cs="Arial"/>
          <w:b/>
          <w:u w:val="single"/>
        </w:rPr>
        <w:t>October</w:t>
      </w:r>
      <w:r w:rsidRPr="00552696">
        <w:rPr>
          <w:rFonts w:ascii="Arial" w:eastAsia="Times New Roman" w:hAnsi="Arial" w:cs="Arial"/>
          <w:b/>
          <w:bCs/>
          <w:u w:val="single"/>
        </w:rPr>
        <w:t xml:space="preserve"> 2025</w:t>
      </w:r>
      <w:r w:rsidRPr="00552696">
        <w:rPr>
          <w:rFonts w:ascii="Arial" w:eastAsia="Times New Roman" w:hAnsi="Arial" w:cs="Arial"/>
          <w:b/>
          <w:bCs/>
        </w:rPr>
        <w:t xml:space="preserve">, starting </w:t>
      </w:r>
    </w:p>
    <w:p w14:paraId="252C90BF" w14:textId="77777777" w:rsidR="00552696" w:rsidRPr="00552696" w:rsidRDefault="00552696" w:rsidP="00552696">
      <w:pPr>
        <w:suppressAutoHyphens/>
        <w:spacing w:after="0"/>
        <w:jc w:val="both"/>
        <w:rPr>
          <w:rFonts w:ascii="Arial" w:eastAsia="Times New Roman" w:hAnsi="Arial" w:cs="Arial"/>
        </w:rPr>
      </w:pPr>
      <w:r w:rsidRPr="00552696">
        <w:rPr>
          <w:rFonts w:ascii="Arial" w:eastAsia="Times New Roman" w:hAnsi="Arial" w:cs="Arial"/>
          <w:b/>
          <w:bCs/>
        </w:rPr>
        <w:t>at 10H00</w:t>
      </w:r>
      <w:r w:rsidRPr="00552696">
        <w:rPr>
          <w:rFonts w:ascii="Arial" w:eastAsia="Times New Roman" w:hAnsi="Arial" w:cs="Arial"/>
        </w:rPr>
        <w:t xml:space="preserve">. Failure to attend the compulsory clarification meeting will disqualify the tender. Doors to the venue will be closed at </w:t>
      </w:r>
      <w:r w:rsidRPr="00552696">
        <w:rPr>
          <w:rFonts w:ascii="Arial" w:eastAsia="Times New Roman" w:hAnsi="Arial" w:cs="Arial"/>
          <w:b/>
        </w:rPr>
        <w:t>10H00</w:t>
      </w:r>
      <w:r w:rsidRPr="00552696">
        <w:rPr>
          <w:rFonts w:ascii="Arial" w:eastAsia="Times New Roman" w:hAnsi="Arial" w:cs="Arial"/>
        </w:rPr>
        <w:t xml:space="preserve"> and the briefing will commence immediately. Late attendance will not be </w:t>
      </w:r>
      <w:proofErr w:type="gramStart"/>
      <w:r w:rsidRPr="00552696">
        <w:rPr>
          <w:rFonts w:ascii="Arial" w:eastAsia="Times New Roman" w:hAnsi="Arial" w:cs="Arial"/>
        </w:rPr>
        <w:t>accepted</w:t>
      </w:r>
      <w:proofErr w:type="gramEnd"/>
      <w:r w:rsidRPr="00552696">
        <w:rPr>
          <w:rFonts w:ascii="Arial" w:eastAsia="Times New Roman" w:hAnsi="Arial" w:cs="Arial"/>
        </w:rPr>
        <w:t xml:space="preserve"> and tenderers will NOT be admitted into the meeting venue. </w:t>
      </w:r>
    </w:p>
    <w:p w14:paraId="39B9B033" w14:textId="77777777" w:rsidR="00552696" w:rsidRPr="00552696" w:rsidRDefault="00552696" w:rsidP="00552696">
      <w:pPr>
        <w:suppressAutoHyphens/>
        <w:spacing w:after="0"/>
        <w:jc w:val="both"/>
        <w:rPr>
          <w:rFonts w:ascii="Arial" w:eastAsia="Times New Roman" w:hAnsi="Arial" w:cs="Arial"/>
          <w:b/>
        </w:rPr>
      </w:pPr>
    </w:p>
    <w:p w14:paraId="23A972F0" w14:textId="77777777" w:rsidR="00552696" w:rsidRPr="00552696" w:rsidRDefault="00552696" w:rsidP="00552696">
      <w:pPr>
        <w:suppressAutoHyphens/>
        <w:spacing w:after="0"/>
        <w:jc w:val="both"/>
        <w:rPr>
          <w:rFonts w:ascii="Arial" w:eastAsia="Times New Roman" w:hAnsi="Arial" w:cs="Arial"/>
          <w:b/>
        </w:rPr>
      </w:pPr>
    </w:p>
    <w:p w14:paraId="36AB35EF" w14:textId="77777777" w:rsidR="00552696" w:rsidRPr="00552696" w:rsidRDefault="00552696" w:rsidP="00552696">
      <w:pPr>
        <w:suppressAutoHyphens/>
        <w:spacing w:after="0"/>
        <w:jc w:val="both"/>
        <w:rPr>
          <w:rFonts w:ascii="Arial" w:eastAsia="Times New Roman" w:hAnsi="Arial" w:cs="Arial"/>
        </w:rPr>
      </w:pPr>
      <w:r w:rsidRPr="00552696">
        <w:rPr>
          <w:rFonts w:ascii="Arial" w:eastAsia="Times New Roman" w:hAnsi="Arial" w:cs="Arial"/>
          <w:b/>
        </w:rPr>
        <w:t xml:space="preserve">Only those tenderers who bring the original tender document </w:t>
      </w:r>
      <w:proofErr w:type="gramStart"/>
      <w:r w:rsidRPr="00552696">
        <w:rPr>
          <w:rFonts w:ascii="Arial" w:eastAsia="Times New Roman" w:hAnsi="Arial" w:cs="Arial"/>
          <w:b/>
        </w:rPr>
        <w:t>at</w:t>
      </w:r>
      <w:proofErr w:type="gramEnd"/>
      <w:r w:rsidRPr="00552696">
        <w:rPr>
          <w:rFonts w:ascii="Arial" w:eastAsia="Times New Roman" w:hAnsi="Arial" w:cs="Arial"/>
          <w:b/>
        </w:rPr>
        <w:t xml:space="preserve"> the clarification meeting shall be permitted to participate in discussion at the compulsory clarification meeting</w:t>
      </w:r>
      <w:r w:rsidRPr="00552696">
        <w:rPr>
          <w:rFonts w:ascii="Arial" w:eastAsia="Times New Roman" w:hAnsi="Arial" w:cs="Arial"/>
        </w:rPr>
        <w:t xml:space="preserve">. </w:t>
      </w:r>
    </w:p>
    <w:p w14:paraId="6140D602" w14:textId="77777777" w:rsidR="00552696" w:rsidRPr="00552696" w:rsidRDefault="00552696" w:rsidP="00552696">
      <w:pPr>
        <w:suppressAutoHyphens/>
        <w:spacing w:after="0"/>
        <w:jc w:val="both"/>
        <w:rPr>
          <w:rFonts w:ascii="Arial" w:eastAsia="Times New Roman" w:hAnsi="Arial" w:cs="Arial"/>
        </w:rPr>
      </w:pPr>
    </w:p>
    <w:p w14:paraId="0F5EEFCF" w14:textId="2B50313A" w:rsidR="00552696" w:rsidRPr="00552696" w:rsidRDefault="00552696" w:rsidP="00552696">
      <w:pPr>
        <w:suppressAutoHyphens/>
        <w:spacing w:after="0"/>
        <w:jc w:val="both"/>
        <w:rPr>
          <w:rFonts w:ascii="Arial" w:eastAsia="Times New Roman" w:hAnsi="Arial" w:cs="Arial"/>
          <w:b/>
          <w:lang w:val="en-GB" w:eastAsia="ar-SA"/>
        </w:rPr>
      </w:pPr>
      <w:r w:rsidRPr="00552696">
        <w:rPr>
          <w:rFonts w:ascii="Arial" w:eastAsia="Times New Roman" w:hAnsi="Arial" w:cs="Arial"/>
        </w:rPr>
        <w:t xml:space="preserve">Tenders shall be placed in sealed envelopes, endorsed with </w:t>
      </w:r>
      <w:r w:rsidRPr="00552696">
        <w:rPr>
          <w:rFonts w:ascii="Arial" w:eastAsia="Times New Roman" w:hAnsi="Arial" w:cs="Arial"/>
          <w:b/>
        </w:rPr>
        <w:t>MN 123/2025</w:t>
      </w:r>
      <w:r w:rsidRPr="00552696">
        <w:rPr>
          <w:rFonts w:ascii="Arial" w:eastAsia="Times New Roman" w:hAnsi="Arial" w:cs="Arial"/>
        </w:rPr>
        <w:t xml:space="preserve">, and be placed in the Tender Box at the Municipal Offices, No.2 Industria Crescent SCM Building KwaDukuza 4450, KwaDukuza, not later than </w:t>
      </w:r>
      <w:r w:rsidRPr="00552696">
        <w:rPr>
          <w:rFonts w:ascii="Arial" w:eastAsia="Times New Roman" w:hAnsi="Arial" w:cs="Arial"/>
          <w:b/>
        </w:rPr>
        <w:t xml:space="preserve">12h00 on </w:t>
      </w:r>
      <w:r w:rsidRPr="00552696">
        <w:rPr>
          <w:rFonts w:ascii="Arial" w:eastAsia="Times New Roman" w:hAnsi="Arial" w:cs="Arial"/>
          <w:b/>
        </w:rPr>
        <w:t>15</w:t>
      </w:r>
      <w:r w:rsidRPr="00552696">
        <w:rPr>
          <w:rFonts w:ascii="Arial" w:eastAsia="Times New Roman" w:hAnsi="Arial" w:cs="Arial"/>
          <w:b/>
        </w:rPr>
        <w:t xml:space="preserve">th </w:t>
      </w:r>
      <w:r w:rsidRPr="00552696">
        <w:rPr>
          <w:rFonts w:ascii="Arial" w:eastAsia="Times New Roman" w:hAnsi="Arial" w:cs="Arial"/>
          <w:b/>
          <w:u w:val="single"/>
        </w:rPr>
        <w:t>October</w:t>
      </w:r>
      <w:r w:rsidRPr="00552696">
        <w:rPr>
          <w:rFonts w:ascii="Arial" w:eastAsia="Times New Roman" w:hAnsi="Arial" w:cs="Arial"/>
          <w:b/>
          <w:u w:val="single"/>
        </w:rPr>
        <w:t xml:space="preserve"> </w:t>
      </w:r>
      <w:r w:rsidRPr="00552696">
        <w:rPr>
          <w:rFonts w:ascii="Arial" w:eastAsia="Times New Roman" w:hAnsi="Arial" w:cs="Arial"/>
          <w:b/>
        </w:rPr>
        <w:t xml:space="preserve">2025 </w:t>
      </w:r>
      <w:r w:rsidRPr="00552696">
        <w:rPr>
          <w:rFonts w:ascii="Arial" w:eastAsia="Times New Roman" w:hAnsi="Arial" w:cs="Arial"/>
        </w:rPr>
        <w:t xml:space="preserve">at which time the tenders will be opened in public.  Tenders are to be submitted on the original tender documentation provided by the Municipality. </w:t>
      </w:r>
      <w:proofErr w:type="gramStart"/>
      <w:r w:rsidRPr="00552696">
        <w:rPr>
          <w:rFonts w:ascii="Arial" w:eastAsia="Times New Roman" w:hAnsi="Arial" w:cs="Arial"/>
        </w:rPr>
        <w:t>Late</w:t>
      </w:r>
      <w:proofErr w:type="gramEnd"/>
      <w:r w:rsidRPr="00552696">
        <w:rPr>
          <w:rFonts w:ascii="Arial" w:eastAsia="Times New Roman" w:hAnsi="Arial" w:cs="Arial"/>
        </w:rPr>
        <w:t>, electronic or faxed tenders will not be accepted.</w:t>
      </w:r>
    </w:p>
    <w:p w14:paraId="48228CF3" w14:textId="77777777" w:rsidR="00552696" w:rsidRPr="00552696" w:rsidRDefault="00552696" w:rsidP="00552696">
      <w:pPr>
        <w:suppressAutoHyphens/>
        <w:spacing w:after="0"/>
        <w:jc w:val="both"/>
        <w:rPr>
          <w:rFonts w:ascii="Arial" w:eastAsia="Times New Roman" w:hAnsi="Arial" w:cs="Arial"/>
          <w:b/>
          <w:lang w:val="en-GB" w:eastAsia="ar-SA"/>
        </w:rPr>
      </w:pPr>
    </w:p>
    <w:p w14:paraId="70861B51" w14:textId="77777777" w:rsidR="00552696" w:rsidRPr="00552696" w:rsidRDefault="00552696" w:rsidP="00552696">
      <w:pPr>
        <w:suppressAutoHyphens/>
        <w:jc w:val="both"/>
        <w:rPr>
          <w:rFonts w:ascii="Arial" w:eastAsia="Times New Roman" w:hAnsi="Arial" w:cs="Arial"/>
          <w:b/>
          <w:lang w:val="en-GB" w:eastAsia="ar-SA"/>
        </w:rPr>
      </w:pPr>
      <w:r w:rsidRPr="00552696">
        <w:rPr>
          <w:rFonts w:ascii="Arial" w:eastAsia="Times New Roman" w:hAnsi="Arial" w:cs="Arial"/>
          <w:b/>
          <w:lang w:val="en-GB" w:eastAsia="ar-SA"/>
        </w:rPr>
        <w:t>Bids will be evaluated and adjudicated according to the following criteria:</w:t>
      </w:r>
    </w:p>
    <w:p w14:paraId="63D2F8D8" w14:textId="77777777" w:rsidR="00552696" w:rsidRPr="00E5368E" w:rsidRDefault="00552696" w:rsidP="00552696">
      <w:pPr>
        <w:numPr>
          <w:ilvl w:val="0"/>
          <w:numId w:val="1"/>
        </w:numPr>
        <w:tabs>
          <w:tab w:val="clear" w:pos="720"/>
          <w:tab w:val="num" w:pos="360"/>
          <w:tab w:val="left" w:pos="426"/>
        </w:tabs>
        <w:suppressAutoHyphens/>
        <w:spacing w:before="240" w:after="0"/>
        <w:jc w:val="both"/>
        <w:rPr>
          <w:rFonts w:ascii="Arial" w:hAnsi="Arial" w:cs="Arial"/>
          <w:lang w:val="en-GB" w:eastAsia="ar-SA"/>
        </w:rPr>
      </w:pPr>
      <w:r w:rsidRPr="00552696">
        <w:rPr>
          <w:rFonts w:ascii="Arial" w:hAnsi="Arial" w:cs="Arial"/>
          <w:lang w:val="en-GB" w:eastAsia="ar-SA"/>
        </w:rPr>
        <w:t>80/20 preference points system will apply in terms of the Preferential Procurement Regulations, 2022 (Points claimed will be scored for specific goals and proof of such claim must be provided with your Bid). Failure in providing relevant proof will result in</w:t>
      </w:r>
      <w:r w:rsidRPr="00E5368E">
        <w:rPr>
          <w:rFonts w:ascii="Arial" w:hAnsi="Arial" w:cs="Arial"/>
          <w:lang w:val="en-GB" w:eastAsia="ar-SA"/>
        </w:rPr>
        <w:t xml:space="preserve"> no points being awarded for specific goals /preference points.</w:t>
      </w:r>
    </w:p>
    <w:p w14:paraId="2FA17194" w14:textId="77777777" w:rsidR="00552696" w:rsidRPr="00E5368E" w:rsidRDefault="00552696" w:rsidP="00552696">
      <w:pPr>
        <w:numPr>
          <w:ilvl w:val="0"/>
          <w:numId w:val="1"/>
        </w:numPr>
        <w:tabs>
          <w:tab w:val="left" w:pos="426"/>
          <w:tab w:val="left" w:pos="1843"/>
        </w:tabs>
        <w:suppressAutoHyphens/>
        <w:spacing w:after="0" w:line="240" w:lineRule="auto"/>
        <w:jc w:val="both"/>
        <w:rPr>
          <w:rFonts w:ascii="Arial" w:hAnsi="Arial" w:cs="Arial"/>
          <w:lang w:eastAsia="ar-SA"/>
        </w:rPr>
      </w:pPr>
      <w:r w:rsidRPr="00E5368E">
        <w:rPr>
          <w:rFonts w:ascii="Arial" w:hAnsi="Arial" w:cs="Arial"/>
          <w:lang w:eastAsia="ar-SA"/>
        </w:rPr>
        <w:t>Council’s Supply Chain Management Policy.</w:t>
      </w:r>
    </w:p>
    <w:p w14:paraId="5F8EFEF3" w14:textId="77777777" w:rsidR="00552696" w:rsidRPr="00E5368E" w:rsidRDefault="00552696" w:rsidP="00552696">
      <w:pPr>
        <w:numPr>
          <w:ilvl w:val="0"/>
          <w:numId w:val="1"/>
        </w:numPr>
        <w:spacing w:after="0" w:line="240" w:lineRule="auto"/>
        <w:jc w:val="both"/>
        <w:rPr>
          <w:rFonts w:ascii="Arial" w:hAnsi="Arial" w:cs="Arial"/>
          <w:lang w:eastAsia="ar-SA"/>
        </w:rPr>
      </w:pPr>
      <w:r w:rsidRPr="00E5368E">
        <w:rPr>
          <w:rFonts w:ascii="Arial" w:hAnsi="Arial" w:cs="Arial"/>
          <w:lang w:eastAsia="ar-SA"/>
        </w:rPr>
        <w:t>The contractor shall be registered on the National Treasury’s Central Supplier Database.</w:t>
      </w:r>
    </w:p>
    <w:p w14:paraId="0BD7955C" w14:textId="77777777" w:rsidR="00552696" w:rsidRPr="00E5368E" w:rsidRDefault="00552696" w:rsidP="00552696">
      <w:pPr>
        <w:numPr>
          <w:ilvl w:val="0"/>
          <w:numId w:val="1"/>
        </w:numPr>
        <w:spacing w:after="0" w:line="240" w:lineRule="auto"/>
        <w:jc w:val="both"/>
        <w:rPr>
          <w:rFonts w:ascii="Arial" w:hAnsi="Arial" w:cs="Arial"/>
          <w:lang w:eastAsia="ar-SA"/>
        </w:rPr>
      </w:pPr>
      <w:r w:rsidRPr="00E5368E">
        <w:rPr>
          <w:rFonts w:ascii="Arial" w:hAnsi="Arial" w:cs="Arial"/>
          <w:lang w:eastAsia="ar-SA"/>
        </w:rPr>
        <w:t>The contractor shall provide the Municipality with a compliance clearance PIN to verify your tax compliance status.</w:t>
      </w:r>
    </w:p>
    <w:p w14:paraId="68899F2B" w14:textId="77777777" w:rsidR="00552696" w:rsidRPr="00E5368E" w:rsidRDefault="00552696" w:rsidP="00552696">
      <w:pPr>
        <w:numPr>
          <w:ilvl w:val="0"/>
          <w:numId w:val="1"/>
        </w:numPr>
        <w:tabs>
          <w:tab w:val="left" w:pos="426"/>
        </w:tabs>
        <w:suppressAutoHyphens/>
        <w:spacing w:after="0" w:line="240" w:lineRule="auto"/>
        <w:jc w:val="both"/>
        <w:rPr>
          <w:rFonts w:ascii="Arial" w:hAnsi="Arial" w:cs="Arial"/>
          <w:lang w:eastAsia="ar-SA"/>
        </w:rPr>
      </w:pPr>
      <w:r w:rsidRPr="00E5368E">
        <w:rPr>
          <w:rFonts w:ascii="Arial" w:hAnsi="Arial" w:cs="Arial"/>
          <w:lang w:eastAsia="ar-SA"/>
        </w:rPr>
        <w:t>Certificate of Attendance at the clarification meeting.</w:t>
      </w:r>
    </w:p>
    <w:p w14:paraId="02AC3008" w14:textId="77777777" w:rsidR="00552696" w:rsidRPr="00E5368E" w:rsidRDefault="00552696" w:rsidP="00552696">
      <w:pPr>
        <w:numPr>
          <w:ilvl w:val="0"/>
          <w:numId w:val="1"/>
        </w:numPr>
        <w:tabs>
          <w:tab w:val="left" w:pos="426"/>
        </w:tabs>
        <w:suppressAutoHyphens/>
        <w:spacing w:after="0" w:line="240" w:lineRule="auto"/>
        <w:jc w:val="both"/>
        <w:rPr>
          <w:rFonts w:ascii="Arial" w:hAnsi="Arial" w:cs="Arial"/>
          <w:lang w:eastAsia="ar-SA"/>
        </w:rPr>
      </w:pPr>
      <w:r w:rsidRPr="00E5368E">
        <w:rPr>
          <w:rFonts w:ascii="Arial" w:hAnsi="Arial" w:cs="Arial"/>
          <w:lang w:eastAsia="ar-SA"/>
        </w:rPr>
        <w:t>Compliant with the Technical Specification and submission of relevant support documentation.</w:t>
      </w:r>
    </w:p>
    <w:p w14:paraId="22BB5C9A" w14:textId="77777777" w:rsidR="00552696" w:rsidRPr="00E5368E" w:rsidRDefault="00552696" w:rsidP="00552696">
      <w:pPr>
        <w:numPr>
          <w:ilvl w:val="0"/>
          <w:numId w:val="1"/>
        </w:numPr>
        <w:tabs>
          <w:tab w:val="left" w:pos="426"/>
        </w:tabs>
        <w:suppressAutoHyphens/>
        <w:spacing w:after="0" w:line="240" w:lineRule="auto"/>
        <w:jc w:val="both"/>
        <w:rPr>
          <w:rFonts w:ascii="Arial" w:hAnsi="Arial" w:cs="Arial"/>
          <w:lang w:eastAsia="ar-SA"/>
        </w:rPr>
      </w:pPr>
      <w:r w:rsidRPr="00E5368E">
        <w:rPr>
          <w:rFonts w:ascii="Arial" w:hAnsi="Arial" w:cs="Arial"/>
          <w:lang w:eastAsia="ar-SA"/>
        </w:rPr>
        <w:t>Prices tendered must be firm and inclusive of VAT.</w:t>
      </w:r>
    </w:p>
    <w:p w14:paraId="08DC548C" w14:textId="77777777" w:rsidR="00552696" w:rsidRPr="00E5368E" w:rsidRDefault="00552696" w:rsidP="00552696">
      <w:pPr>
        <w:numPr>
          <w:ilvl w:val="0"/>
          <w:numId w:val="1"/>
        </w:numPr>
        <w:spacing w:after="0" w:line="240" w:lineRule="auto"/>
        <w:jc w:val="both"/>
        <w:rPr>
          <w:rFonts w:ascii="Arial" w:hAnsi="Arial" w:cs="Arial"/>
          <w:b/>
          <w:lang w:eastAsia="ar-SA"/>
        </w:rPr>
      </w:pPr>
      <w:r w:rsidRPr="00E5368E">
        <w:rPr>
          <w:rFonts w:ascii="Arial" w:hAnsi="Arial" w:cs="Arial"/>
          <w:b/>
          <w:lang w:eastAsia="ar-SA"/>
        </w:rPr>
        <w:t>NB: Bidders who are listed in the National Treasury register of defaulters and restricted suppliers will be automatically disqualified.</w:t>
      </w:r>
    </w:p>
    <w:p w14:paraId="07A425C0" w14:textId="77777777" w:rsidR="00552696" w:rsidRPr="00E5368E" w:rsidRDefault="00552696" w:rsidP="00552696">
      <w:pPr>
        <w:numPr>
          <w:ilvl w:val="0"/>
          <w:numId w:val="1"/>
        </w:numPr>
        <w:tabs>
          <w:tab w:val="left" w:pos="426"/>
        </w:tabs>
        <w:suppressAutoHyphens/>
        <w:spacing w:after="0" w:line="240" w:lineRule="auto"/>
        <w:jc w:val="both"/>
        <w:rPr>
          <w:rFonts w:ascii="Arial" w:hAnsi="Arial" w:cs="Arial"/>
          <w:b/>
          <w:lang w:eastAsia="ar-SA"/>
        </w:rPr>
      </w:pPr>
      <w:r w:rsidRPr="00E5368E">
        <w:rPr>
          <w:rFonts w:ascii="Arial" w:eastAsia="Calibri" w:hAnsi="Arial" w:cs="Arial"/>
          <w:b/>
          <w:color w:val="000000"/>
        </w:rPr>
        <w:t>A copy of the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3F48F4A4" w14:textId="77777777" w:rsidR="00552696" w:rsidRPr="00E5368E" w:rsidRDefault="00552696" w:rsidP="00552696">
      <w:pPr>
        <w:pStyle w:val="ListParagraph"/>
        <w:numPr>
          <w:ilvl w:val="0"/>
          <w:numId w:val="1"/>
        </w:numPr>
        <w:spacing w:after="0" w:line="240" w:lineRule="auto"/>
        <w:contextualSpacing w:val="0"/>
        <w:jc w:val="both"/>
        <w:rPr>
          <w:rFonts w:ascii="Arial" w:hAnsi="Arial" w:cs="Arial"/>
          <w:lang w:val="en-ZA"/>
        </w:rPr>
      </w:pPr>
      <w:r w:rsidRPr="00E5368E">
        <w:rPr>
          <w:rFonts w:ascii="Arial" w:hAnsi="Arial" w:cs="Arial"/>
          <w:lang w:val="en-ZA"/>
        </w:rPr>
        <w:t>RDP criteria applied to this bid: this bid is open to all bidders within the Republic of South Africa.</w:t>
      </w:r>
    </w:p>
    <w:p w14:paraId="6CDE12C3" w14:textId="77777777" w:rsidR="00552696" w:rsidRPr="0080148B" w:rsidRDefault="00552696" w:rsidP="00552696">
      <w:pPr>
        <w:pStyle w:val="ListParagraph"/>
        <w:numPr>
          <w:ilvl w:val="0"/>
          <w:numId w:val="1"/>
        </w:numPr>
        <w:spacing w:after="0" w:line="240" w:lineRule="auto"/>
        <w:contextualSpacing w:val="0"/>
        <w:jc w:val="both"/>
        <w:rPr>
          <w:rFonts w:ascii="Arial" w:hAnsi="Arial" w:cs="Arial"/>
          <w:lang w:val="en-ZA"/>
        </w:rPr>
      </w:pPr>
      <w:r w:rsidRPr="0080148B">
        <w:rPr>
          <w:rFonts w:ascii="Arial" w:hAnsi="Arial" w:cs="Arial"/>
        </w:rPr>
        <w:t>The specific goals criteria applied to this tender in terms of Section 2 (1)(d) and (e)of the Act is EME, QSE OR GENERIC</w:t>
      </w:r>
      <w:r w:rsidRPr="0080148B">
        <w:rPr>
          <w:rFonts w:ascii="Arial" w:hAnsi="Arial" w:cs="Arial"/>
          <w:b/>
          <w:bCs/>
        </w:rPr>
        <w:t xml:space="preserve"> </w:t>
      </w:r>
      <w:r w:rsidRPr="0080148B">
        <w:rPr>
          <w:rFonts w:ascii="Arial" w:hAnsi="Arial" w:cs="Arial"/>
        </w:rPr>
        <w:t>which are at least 51% owned by black people.</w:t>
      </w:r>
    </w:p>
    <w:p w14:paraId="1E82C538" w14:textId="77777777" w:rsidR="00552696" w:rsidRPr="00E5368E" w:rsidRDefault="00552696" w:rsidP="00552696">
      <w:pPr>
        <w:numPr>
          <w:ilvl w:val="0"/>
          <w:numId w:val="1"/>
        </w:numPr>
        <w:tabs>
          <w:tab w:val="left" w:pos="426"/>
        </w:tabs>
        <w:suppressAutoHyphens/>
        <w:spacing w:after="0" w:line="240" w:lineRule="auto"/>
        <w:jc w:val="both"/>
        <w:rPr>
          <w:rFonts w:ascii="Arial" w:hAnsi="Arial" w:cs="Arial"/>
          <w:lang w:eastAsia="ar-SA"/>
        </w:rPr>
      </w:pPr>
      <w:r w:rsidRPr="00E5368E">
        <w:rPr>
          <w:rFonts w:ascii="Arial" w:hAnsi="Arial" w:cs="Arial"/>
          <w:lang w:eastAsia="ar-SA"/>
        </w:rPr>
        <w:t xml:space="preserve">Original </w:t>
      </w:r>
      <w:r>
        <w:rPr>
          <w:rFonts w:ascii="Arial" w:hAnsi="Arial" w:cs="Arial"/>
          <w:lang w:eastAsia="ar-SA"/>
        </w:rPr>
        <w:t xml:space="preserve">or copy of the </w:t>
      </w:r>
      <w:r w:rsidRPr="00E5368E">
        <w:rPr>
          <w:rFonts w:ascii="Arial" w:hAnsi="Arial" w:cs="Arial"/>
          <w:lang w:eastAsia="ar-SA"/>
        </w:rPr>
        <w:t>Bank Rating Letter from A Registered Financial Institution</w:t>
      </w:r>
      <w:r>
        <w:rPr>
          <w:rFonts w:ascii="Arial" w:hAnsi="Arial" w:cs="Arial"/>
          <w:lang w:eastAsia="ar-SA"/>
        </w:rPr>
        <w:t>.</w:t>
      </w:r>
    </w:p>
    <w:p w14:paraId="19D4AAEC" w14:textId="77777777" w:rsidR="00552696" w:rsidRPr="000E5391" w:rsidRDefault="00552696" w:rsidP="00552696">
      <w:pPr>
        <w:numPr>
          <w:ilvl w:val="0"/>
          <w:numId w:val="1"/>
        </w:numPr>
        <w:tabs>
          <w:tab w:val="left" w:pos="426"/>
        </w:tabs>
        <w:suppressAutoHyphens/>
        <w:spacing w:after="0" w:line="240" w:lineRule="auto"/>
        <w:jc w:val="both"/>
        <w:rPr>
          <w:rFonts w:ascii="Arial" w:eastAsia="Times New Roman" w:hAnsi="Arial" w:cs="Arial"/>
          <w:lang w:val="en-GB" w:eastAsia="ar-SA"/>
        </w:rPr>
      </w:pPr>
      <w:r w:rsidRPr="00E5368E">
        <w:rPr>
          <w:rFonts w:ascii="Arial" w:eastAsia="Times New Roman" w:hAnsi="Arial" w:cs="Arial"/>
          <w:lang w:val="en-GB" w:eastAsia="ar-SA"/>
        </w:rPr>
        <w:lastRenderedPageBreak/>
        <w:t>Each Item on the Bill of Quantities will be evaluated separately. Bidders can submit bid on any Item.</w:t>
      </w:r>
      <w:r>
        <w:rPr>
          <w:rFonts w:ascii="Arial" w:eastAsia="Times New Roman" w:hAnsi="Arial" w:cs="Arial"/>
          <w:lang w:val="en-GB" w:eastAsia="ar-SA"/>
        </w:rPr>
        <w:t xml:space="preserve">   </w:t>
      </w:r>
    </w:p>
    <w:p w14:paraId="0EADCE58" w14:textId="77777777" w:rsidR="00552696" w:rsidRPr="0023364A" w:rsidRDefault="00552696" w:rsidP="00552696">
      <w:pPr>
        <w:tabs>
          <w:tab w:val="left" w:pos="426"/>
        </w:tabs>
        <w:suppressAutoHyphens/>
        <w:spacing w:after="0" w:line="240" w:lineRule="auto"/>
        <w:ind w:left="720"/>
        <w:jc w:val="both"/>
        <w:rPr>
          <w:rFonts w:ascii="Arial" w:hAnsi="Arial" w:cs="Arial"/>
          <w:highlight w:val="yellow"/>
          <w:lang w:eastAsia="ar-SA"/>
        </w:rPr>
      </w:pPr>
    </w:p>
    <w:p w14:paraId="3CD1B8B2" w14:textId="77777777" w:rsidR="00552696" w:rsidRPr="000E5391" w:rsidRDefault="00552696" w:rsidP="00552696">
      <w:pPr>
        <w:tabs>
          <w:tab w:val="left" w:pos="426"/>
        </w:tabs>
        <w:suppressAutoHyphens/>
        <w:spacing w:after="0"/>
        <w:jc w:val="both"/>
        <w:rPr>
          <w:rFonts w:ascii="Arial" w:eastAsia="Times New Roman" w:hAnsi="Arial" w:cs="Arial"/>
        </w:rPr>
      </w:pPr>
    </w:p>
    <w:p w14:paraId="54A75D61" w14:textId="77777777" w:rsidR="00552696" w:rsidRPr="000E5391" w:rsidRDefault="00552696" w:rsidP="00552696">
      <w:pPr>
        <w:jc w:val="both"/>
        <w:rPr>
          <w:rFonts w:ascii="Times New Roman" w:eastAsia="Calibri" w:hAnsi="Times New Roman" w:cs="Times New Roman"/>
        </w:rPr>
      </w:pPr>
      <w:r w:rsidRPr="000E5391">
        <w:rPr>
          <w:rFonts w:ascii="Arial" w:eastAsia="Times New Roman" w:hAnsi="Arial" w:cs="Arial"/>
        </w:rPr>
        <w:t xml:space="preserve">All prospective tenderers will be screened in accordance with the National Treasury’s Defaulters Data Base.  </w:t>
      </w:r>
      <w:r w:rsidRPr="000E5391">
        <w:rPr>
          <w:rFonts w:ascii="Arial" w:eastAsia="Times New Roman" w:hAnsi="Arial" w:cs="Arial"/>
          <w:color w:val="000000"/>
          <w:lang w:val="en-GB"/>
        </w:rPr>
        <w:t xml:space="preserve">Council does not bind itself to accept the lowest tender or any tender and reserves the right to accept any part or the whole of any tender and preference will be given to Affirmable Business Enterprises.  The Municipality also reserves the right to call on preferred bidders to form a joint venture with a BEE company. </w:t>
      </w:r>
      <w:r w:rsidRPr="00A66770">
        <w:rPr>
          <w:rFonts w:ascii="Arial" w:eastAsia="Times New Roman" w:hAnsi="Arial" w:cs="Arial"/>
          <w:color w:val="000000"/>
          <w:lang w:val="en-GB"/>
        </w:rPr>
        <w:t>1 % of the project value must be allocated to skills development program within KDMs jurisdiction.</w:t>
      </w:r>
      <w:r>
        <w:rPr>
          <w:rFonts w:ascii="Arial" w:eastAsia="Times New Roman" w:hAnsi="Arial" w:cs="Arial"/>
          <w:color w:val="000000"/>
          <w:lang w:val="en-GB"/>
        </w:rPr>
        <w:t xml:space="preserve"> </w:t>
      </w:r>
      <w:r w:rsidRPr="000E5391">
        <w:rPr>
          <w:rFonts w:ascii="Arial" w:eastAsia="Times New Roman" w:hAnsi="Arial" w:cs="Arial"/>
          <w:lang w:val="en-GB"/>
        </w:rPr>
        <w:t xml:space="preserve">Canvassing in any form in the gift of </w:t>
      </w:r>
      <w:r w:rsidRPr="000E5391">
        <w:rPr>
          <w:rFonts w:ascii="Arial" w:eastAsia="Times New Roman" w:hAnsi="Arial" w:cs="Arial"/>
          <w:color w:val="000000"/>
          <w:lang w:val="en-GB"/>
        </w:rPr>
        <w:t>Council is strictly prohibited and will lead to the disqualification of the tender.  No bids will be considered from persons in the services of any organ of state</w:t>
      </w:r>
      <w:r>
        <w:rPr>
          <w:rFonts w:ascii="Arial" w:eastAsia="Times New Roman" w:hAnsi="Arial" w:cs="Arial"/>
          <w:color w:val="000000"/>
          <w:lang w:val="en-GB"/>
        </w:rPr>
        <w:t>.</w:t>
      </w:r>
    </w:p>
    <w:p w14:paraId="33B62E7A" w14:textId="77777777" w:rsidR="00552696" w:rsidRDefault="00552696" w:rsidP="00552696">
      <w:pPr>
        <w:rPr>
          <w:rFonts w:ascii="Times New Roman" w:eastAsia="Calibri" w:hAnsi="Times New Roman" w:cs="Times New Roman"/>
          <w:sz w:val="24"/>
          <w:szCs w:val="24"/>
        </w:rPr>
      </w:pPr>
    </w:p>
    <w:p w14:paraId="6F21C8CC" w14:textId="77777777" w:rsidR="00552696" w:rsidRDefault="00552696" w:rsidP="00552696">
      <w:pPr>
        <w:rPr>
          <w:rFonts w:ascii="Times New Roman" w:eastAsia="Calibri" w:hAnsi="Times New Roman" w:cs="Times New Roman"/>
          <w:sz w:val="24"/>
          <w:szCs w:val="24"/>
        </w:rPr>
      </w:pPr>
    </w:p>
    <w:p w14:paraId="7E212913" w14:textId="77777777" w:rsidR="00552696" w:rsidRDefault="00552696" w:rsidP="00552696">
      <w:pPr>
        <w:rPr>
          <w:rFonts w:ascii="Times New Roman" w:eastAsia="Calibri" w:hAnsi="Times New Roman" w:cs="Times New Roman"/>
          <w:sz w:val="24"/>
          <w:szCs w:val="24"/>
        </w:rPr>
      </w:pPr>
    </w:p>
    <w:p w14:paraId="5931BE8E" w14:textId="77777777" w:rsidR="00552696" w:rsidRPr="00F83A56" w:rsidRDefault="00552696" w:rsidP="00552696">
      <w:pPr>
        <w:spacing w:line="240" w:lineRule="auto"/>
        <w:jc w:val="both"/>
        <w:rPr>
          <w:rFonts w:ascii="Times New Roman" w:eastAsia="Times New Roman" w:hAnsi="Times New Roman" w:cs="Times New Roman"/>
          <w:sz w:val="24"/>
          <w:szCs w:val="24"/>
        </w:rPr>
      </w:pPr>
    </w:p>
    <w:p w14:paraId="646822C7" w14:textId="77777777" w:rsidR="00552696" w:rsidRPr="00F83A56" w:rsidRDefault="00552696" w:rsidP="00552696">
      <w:pPr>
        <w:spacing w:line="240" w:lineRule="auto"/>
        <w:jc w:val="both"/>
        <w:rPr>
          <w:rFonts w:ascii="Times New Roman" w:eastAsia="Times New Roman" w:hAnsi="Times New Roman" w:cs="Times New Roman"/>
          <w:sz w:val="24"/>
          <w:szCs w:val="24"/>
        </w:rPr>
      </w:pPr>
    </w:p>
    <w:p w14:paraId="0A0B1A4B" w14:textId="77777777" w:rsidR="00552696" w:rsidRPr="00F83A56" w:rsidRDefault="00552696" w:rsidP="00552696">
      <w:pPr>
        <w:spacing w:line="240" w:lineRule="auto"/>
        <w:jc w:val="both"/>
        <w:rPr>
          <w:rFonts w:ascii="Times New Roman" w:eastAsia="Times New Roman" w:hAnsi="Times New Roman" w:cs="Times New Roman"/>
          <w:sz w:val="24"/>
          <w:szCs w:val="24"/>
        </w:rPr>
      </w:pPr>
      <w:r w:rsidRPr="00F83A56">
        <w:rPr>
          <w:rFonts w:ascii="Times New Roman" w:eastAsia="Times New Roman" w:hAnsi="Times New Roman" w:cs="Times New Roman"/>
          <w:sz w:val="24"/>
          <w:szCs w:val="24"/>
        </w:rPr>
        <w:t>___________________</w:t>
      </w:r>
    </w:p>
    <w:p w14:paraId="66FC553C" w14:textId="77777777" w:rsidR="00552696" w:rsidRPr="0042545B" w:rsidRDefault="00552696" w:rsidP="00552696">
      <w:pPr>
        <w:spacing w:line="240" w:lineRule="auto"/>
        <w:jc w:val="both"/>
        <w:rPr>
          <w:rFonts w:ascii="Arial" w:eastAsia="Times New Roman" w:hAnsi="Arial" w:cs="Arial"/>
          <w:b/>
          <w:sz w:val="24"/>
          <w:szCs w:val="24"/>
        </w:rPr>
      </w:pPr>
      <w:r>
        <w:rPr>
          <w:rFonts w:ascii="Arial" w:eastAsia="Times New Roman" w:hAnsi="Arial" w:cs="Arial"/>
          <w:b/>
          <w:sz w:val="24"/>
          <w:szCs w:val="24"/>
        </w:rPr>
        <w:t>N</w:t>
      </w:r>
      <w:r w:rsidRPr="0042545B">
        <w:rPr>
          <w:rFonts w:ascii="Arial" w:eastAsia="Times New Roman" w:hAnsi="Arial" w:cs="Arial"/>
          <w:b/>
          <w:sz w:val="24"/>
          <w:szCs w:val="24"/>
        </w:rPr>
        <w:t>J MDAKANE</w:t>
      </w:r>
    </w:p>
    <w:p w14:paraId="795EBC28" w14:textId="77777777" w:rsidR="00552696" w:rsidRPr="0042545B" w:rsidRDefault="00552696" w:rsidP="00552696">
      <w:pPr>
        <w:spacing w:line="240" w:lineRule="auto"/>
        <w:jc w:val="both"/>
        <w:rPr>
          <w:rFonts w:ascii="Arial" w:eastAsia="Times New Roman" w:hAnsi="Arial" w:cs="Arial"/>
          <w:b/>
          <w:sz w:val="24"/>
          <w:szCs w:val="24"/>
        </w:rPr>
      </w:pPr>
      <w:r w:rsidRPr="0042545B">
        <w:rPr>
          <w:rFonts w:ascii="Arial" w:eastAsia="Times New Roman" w:hAnsi="Arial" w:cs="Arial"/>
          <w:b/>
          <w:sz w:val="24"/>
          <w:szCs w:val="24"/>
        </w:rPr>
        <w:t>Municipal Manager</w:t>
      </w:r>
    </w:p>
    <w:p w14:paraId="510BBD15" w14:textId="77777777" w:rsidR="00552696" w:rsidRPr="00552696" w:rsidRDefault="00552696"/>
    <w:sectPr w:rsidR="00552696" w:rsidRPr="005526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04C99"/>
    <w:multiLevelType w:val="singleLevel"/>
    <w:tmpl w:val="9AB6CA12"/>
    <w:lvl w:ilvl="0">
      <w:start w:val="1"/>
      <w:numFmt w:val="bullet"/>
      <w:lvlText w:val=""/>
      <w:lvlJc w:val="left"/>
      <w:pPr>
        <w:tabs>
          <w:tab w:val="num" w:pos="720"/>
        </w:tabs>
        <w:ind w:left="720" w:hanging="360"/>
      </w:pPr>
      <w:rPr>
        <w:rFonts w:ascii="Symbol" w:hAnsi="Symbol" w:hint="default"/>
        <w:color w:val="auto"/>
      </w:rPr>
    </w:lvl>
  </w:abstractNum>
  <w:num w:numId="1" w16cid:durableId="65156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96"/>
    <w:rsid w:val="00552696"/>
    <w:rsid w:val="00666C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808C"/>
  <w15:chartTrackingRefBased/>
  <w15:docId w15:val="{3D043A8E-35C3-4B5B-B132-9B4E7A38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696"/>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552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696"/>
    <w:rPr>
      <w:rFonts w:eastAsiaTheme="majorEastAsia" w:cstheme="majorBidi"/>
      <w:color w:val="272727" w:themeColor="text1" w:themeTint="D8"/>
    </w:rPr>
  </w:style>
  <w:style w:type="paragraph" w:styleId="Title">
    <w:name w:val="Title"/>
    <w:basedOn w:val="Normal"/>
    <w:next w:val="Normal"/>
    <w:link w:val="TitleChar"/>
    <w:uiPriority w:val="10"/>
    <w:qFormat/>
    <w:rsid w:val="00552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696"/>
    <w:pPr>
      <w:spacing w:before="160"/>
      <w:jc w:val="center"/>
    </w:pPr>
    <w:rPr>
      <w:i/>
      <w:iCs/>
      <w:color w:val="404040" w:themeColor="text1" w:themeTint="BF"/>
    </w:rPr>
  </w:style>
  <w:style w:type="character" w:customStyle="1" w:styleId="QuoteChar">
    <w:name w:val="Quote Char"/>
    <w:basedOn w:val="DefaultParagraphFont"/>
    <w:link w:val="Quote"/>
    <w:uiPriority w:val="29"/>
    <w:rsid w:val="00552696"/>
    <w:rPr>
      <w:i/>
      <w:iCs/>
      <w:color w:val="404040" w:themeColor="text1" w:themeTint="BF"/>
    </w:rPr>
  </w:style>
  <w:style w:type="paragraph" w:styleId="ListParagraph">
    <w:name w:val="List Paragraph"/>
    <w:aliases w:val="Indent Paragraph"/>
    <w:basedOn w:val="Normal"/>
    <w:link w:val="ListParagraphChar"/>
    <w:uiPriority w:val="34"/>
    <w:qFormat/>
    <w:rsid w:val="00552696"/>
    <w:pPr>
      <w:ind w:left="720"/>
      <w:contextualSpacing/>
    </w:pPr>
  </w:style>
  <w:style w:type="character" w:styleId="IntenseEmphasis">
    <w:name w:val="Intense Emphasis"/>
    <w:basedOn w:val="DefaultParagraphFont"/>
    <w:uiPriority w:val="21"/>
    <w:qFormat/>
    <w:rsid w:val="00552696"/>
    <w:rPr>
      <w:i/>
      <w:iCs/>
      <w:color w:val="0F4761" w:themeColor="accent1" w:themeShade="BF"/>
    </w:rPr>
  </w:style>
  <w:style w:type="paragraph" w:styleId="IntenseQuote">
    <w:name w:val="Intense Quote"/>
    <w:basedOn w:val="Normal"/>
    <w:next w:val="Normal"/>
    <w:link w:val="IntenseQuoteChar"/>
    <w:uiPriority w:val="30"/>
    <w:qFormat/>
    <w:rsid w:val="00552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696"/>
    <w:rPr>
      <w:i/>
      <w:iCs/>
      <w:color w:val="0F4761" w:themeColor="accent1" w:themeShade="BF"/>
    </w:rPr>
  </w:style>
  <w:style w:type="character" w:styleId="IntenseReference">
    <w:name w:val="Intense Reference"/>
    <w:basedOn w:val="DefaultParagraphFont"/>
    <w:uiPriority w:val="32"/>
    <w:qFormat/>
    <w:rsid w:val="00552696"/>
    <w:rPr>
      <w:b/>
      <w:bCs/>
      <w:smallCaps/>
      <w:color w:val="0F4761" w:themeColor="accent1" w:themeShade="BF"/>
      <w:spacing w:val="5"/>
    </w:rPr>
  </w:style>
  <w:style w:type="table" w:styleId="TableGrid">
    <w:name w:val="Table Grid"/>
    <w:basedOn w:val="TableNormal"/>
    <w:rsid w:val="00552696"/>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 Paragraph Char"/>
    <w:link w:val="ListParagraph"/>
    <w:uiPriority w:val="34"/>
    <w:rsid w:val="00552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821</Words>
  <Characters>4680</Characters>
  <Application>Microsoft Office Word</Application>
  <DocSecurity>0</DocSecurity>
  <Lines>39</Lines>
  <Paragraphs>10</Paragraphs>
  <ScaleCrop>false</ScaleCrop>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Thobeka Magwaza</cp:lastModifiedBy>
  <cp:revision>1</cp:revision>
  <dcterms:created xsi:type="dcterms:W3CDTF">2025-09-04T12:12:00Z</dcterms:created>
  <dcterms:modified xsi:type="dcterms:W3CDTF">2025-09-04T12:21:00Z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2025-09-04T12:21:08Z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c5033977-2e92-4804-9ebe-4e8ab1d8a575</vt:lpwstr>
  </property>
  <property fmtid="{D5CDD505-2E9C-101B-9397-08002B2CF9AE}" pid="8" name="MSIP_Label_629c0886-2c13-4aee-9157-e301bf0f1f4c_ContentBits">
    <vt:lpwstr>0</vt:lpwstr>
  </property>
  <property fmtid="{D5CDD505-2E9C-101B-9397-08002B2CF9AE}" pid="9" name="MSIP_Label_629c0886-2c13-4aee-9157-e301bf0f1f4c_Tag">
    <vt:lpwstr>10, 3, 0, 1</vt:lpwstr>
  </property>
</Properties>
</file>