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205BCE">
              <w:rPr>
                <w:rFonts w:ascii="Calibri" w:hAnsi="Calibri" w:cs="Arial"/>
                <w:sz w:val="20"/>
                <w:szCs w:val="20"/>
              </w:rPr>
              <w:t>0895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205BCE" w:rsidRDefault="00205BCE" w:rsidP="00BB6A49">
            <w:pPr>
              <w:rPr>
                <w:sz w:val="20"/>
                <w:szCs w:val="20"/>
              </w:rPr>
            </w:pPr>
            <w:r w:rsidRPr="00205BCE">
              <w:rPr>
                <w:rFonts w:cs="Arial"/>
                <w:sz w:val="20"/>
                <w:szCs w:val="20"/>
                <w:lang w:val="en-US"/>
              </w:rPr>
              <w:t xml:space="preserve">Department of Education: Water and Sanitation </w:t>
            </w:r>
            <w:proofErr w:type="spellStart"/>
            <w:r w:rsidRPr="00205BCE"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 w:rsidRPr="00205BCE">
              <w:rPr>
                <w:rFonts w:cs="Arial"/>
                <w:sz w:val="20"/>
                <w:szCs w:val="20"/>
                <w:lang w:val="en-US"/>
              </w:rPr>
              <w:t xml:space="preserve"> for schools: </w:t>
            </w:r>
            <w:proofErr w:type="spellStart"/>
            <w:r w:rsidRPr="00205BCE">
              <w:rPr>
                <w:rFonts w:cs="Arial"/>
                <w:sz w:val="20"/>
                <w:szCs w:val="20"/>
                <w:lang w:val="en-US"/>
              </w:rPr>
              <w:t>Engwaqa</w:t>
            </w:r>
            <w:proofErr w:type="spellEnd"/>
            <w:r w:rsidRPr="00205BCE">
              <w:rPr>
                <w:rFonts w:cs="Arial"/>
                <w:sz w:val="20"/>
                <w:szCs w:val="20"/>
                <w:lang w:val="en-US"/>
              </w:rPr>
              <w:t xml:space="preserve"> Secondary School.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205BCE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E6DB7"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F4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3558F4" w:rsidRDefault="003558F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BE6DB7" w:rsidRPr="009D53EE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="00C14C62" w:rsidRPr="003558F4">
              <w:rPr>
                <w:sz w:val="20"/>
                <w:szCs w:val="20"/>
              </w:rPr>
              <w:t>ndabezinhle.dube</w:t>
            </w:r>
            <w:proofErr w:type="spellEnd"/>
            <w:r w:rsidR="00C14C62" w:rsidRPr="003558F4">
              <w:rPr>
                <w:sz w:val="20"/>
                <w:szCs w:val="20"/>
              </w:rPr>
              <w:t xml:space="preserve"> </w:t>
            </w:r>
            <w:hyperlink r:id="rId7" w:history="1">
              <w:r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3558F4">
              <w:rPr>
                <w:b/>
                <w:sz w:val="20"/>
                <w:szCs w:val="20"/>
              </w:rPr>
              <w:t>27 March</w:t>
            </w:r>
            <w:r w:rsidR="00B542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3558F4">
              <w:rPr>
                <w:b/>
                <w:sz w:val="20"/>
                <w:szCs w:val="20"/>
              </w:rPr>
              <w:t>11 April</w:t>
            </w:r>
            <w:r w:rsidR="00B54292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205BCE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05BCE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58F4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AC7C4D8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A0D-F6E8-4822-A354-A3546E66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2020-11-05T09:14:00Z</cp:lastPrinted>
  <dcterms:created xsi:type="dcterms:W3CDTF">2023-03-23T11:57:00Z</dcterms:created>
  <dcterms:modified xsi:type="dcterms:W3CDTF">2023-03-23T11:57:00Z</dcterms:modified>
</cp:coreProperties>
</file>