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70"/>
        <w:tblW w:w="5000" w:type="pct"/>
        <w:tblLook w:val="04A0" w:firstRow="1" w:lastRow="0" w:firstColumn="1" w:lastColumn="0" w:noHBand="0" w:noVBand="1"/>
      </w:tblPr>
      <w:tblGrid>
        <w:gridCol w:w="3076"/>
        <w:gridCol w:w="5940"/>
      </w:tblGrid>
      <w:tr w:rsidR="004B26AC" w:rsidRPr="00A44540" w14:paraId="435D3ED2" w14:textId="77777777" w:rsidTr="004B26AC">
        <w:tc>
          <w:tcPr>
            <w:tcW w:w="1706" w:type="pct"/>
          </w:tcPr>
          <w:p w14:paraId="2773221A" w14:textId="77777777" w:rsidR="004B26AC" w:rsidRPr="00A44540" w:rsidRDefault="004B26AC" w:rsidP="00554450">
            <w:pPr>
              <w:pStyle w:val="Heading1"/>
            </w:pPr>
            <w:r w:rsidRPr="00A44540">
              <w:t>RFQ Number</w:t>
            </w:r>
          </w:p>
        </w:tc>
        <w:tc>
          <w:tcPr>
            <w:tcW w:w="3294" w:type="pct"/>
          </w:tcPr>
          <w:p w14:paraId="06F014DE" w14:textId="3C3E42A4" w:rsidR="004B26AC" w:rsidRPr="00A44540" w:rsidRDefault="00D05A04" w:rsidP="004B26AC">
            <w:pPr>
              <w:spacing w:line="276" w:lineRule="auto"/>
              <w:rPr>
                <w:rFonts w:cstheme="minorHAnsi"/>
                <w:b/>
              </w:rPr>
            </w:pPr>
            <w:r>
              <w:rPr>
                <w:rFonts w:cstheme="minorHAnsi"/>
                <w:b/>
              </w:rPr>
              <w:t>Necsa 2025/0</w:t>
            </w:r>
            <w:r w:rsidR="009052FF">
              <w:rPr>
                <w:rFonts w:cstheme="minorHAnsi"/>
                <w:b/>
              </w:rPr>
              <w:t>715</w:t>
            </w:r>
          </w:p>
        </w:tc>
      </w:tr>
      <w:tr w:rsidR="004B26AC" w:rsidRPr="00A44540" w14:paraId="0313AF9B" w14:textId="77777777" w:rsidTr="004B26AC">
        <w:tc>
          <w:tcPr>
            <w:tcW w:w="1706" w:type="pct"/>
          </w:tcPr>
          <w:p w14:paraId="6B3FE4A4" w14:textId="77777777" w:rsidR="004B26AC" w:rsidRPr="00A44540" w:rsidRDefault="004B26AC" w:rsidP="004B26AC">
            <w:pPr>
              <w:spacing w:line="276" w:lineRule="auto"/>
              <w:rPr>
                <w:rFonts w:cstheme="minorHAnsi"/>
                <w:b/>
              </w:rPr>
            </w:pPr>
            <w:r w:rsidRPr="00A44540">
              <w:rPr>
                <w:rFonts w:cstheme="minorHAnsi"/>
                <w:b/>
              </w:rPr>
              <w:t>Request for Quotation Date</w:t>
            </w:r>
          </w:p>
        </w:tc>
        <w:tc>
          <w:tcPr>
            <w:tcW w:w="3294" w:type="pct"/>
          </w:tcPr>
          <w:p w14:paraId="0D334611" w14:textId="7AA3665C" w:rsidR="004B26AC" w:rsidRPr="00A44540" w:rsidRDefault="00656DEA" w:rsidP="004B26AC">
            <w:pPr>
              <w:spacing w:line="276" w:lineRule="auto"/>
              <w:rPr>
                <w:rFonts w:cstheme="minorHAnsi"/>
                <w:b/>
              </w:rPr>
            </w:pPr>
            <w:r>
              <w:rPr>
                <w:rFonts w:cstheme="minorHAnsi"/>
                <w:b/>
              </w:rPr>
              <w:t>15-07-2025</w:t>
            </w:r>
          </w:p>
        </w:tc>
      </w:tr>
      <w:tr w:rsidR="004B26AC" w:rsidRPr="00A44540" w14:paraId="0F9F5424" w14:textId="77777777" w:rsidTr="004B26AC">
        <w:tc>
          <w:tcPr>
            <w:tcW w:w="1706" w:type="pct"/>
          </w:tcPr>
          <w:p w14:paraId="25446DFB" w14:textId="77777777" w:rsidR="004B26AC" w:rsidRPr="00A44540" w:rsidRDefault="004B26AC" w:rsidP="004B26AC">
            <w:pPr>
              <w:spacing w:line="276" w:lineRule="auto"/>
              <w:rPr>
                <w:rFonts w:cstheme="minorHAnsi"/>
                <w:b/>
              </w:rPr>
            </w:pPr>
            <w:r w:rsidRPr="00A44540">
              <w:rPr>
                <w:rFonts w:cstheme="minorHAnsi"/>
                <w:b/>
              </w:rPr>
              <w:t>RFQ Closing Date</w:t>
            </w:r>
          </w:p>
        </w:tc>
        <w:tc>
          <w:tcPr>
            <w:tcW w:w="3294" w:type="pct"/>
          </w:tcPr>
          <w:p w14:paraId="4D3BF127" w14:textId="543D1AF7" w:rsidR="004B26AC" w:rsidRPr="00A44540" w:rsidRDefault="003C16F2" w:rsidP="004B26AC">
            <w:pPr>
              <w:spacing w:line="276" w:lineRule="auto"/>
              <w:rPr>
                <w:rFonts w:cstheme="minorHAnsi"/>
                <w:b/>
              </w:rPr>
            </w:pPr>
            <w:r>
              <w:rPr>
                <w:rFonts w:cstheme="minorHAnsi"/>
                <w:b/>
              </w:rPr>
              <w:t>29-07-2025</w:t>
            </w:r>
          </w:p>
        </w:tc>
      </w:tr>
      <w:tr w:rsidR="004B26AC" w:rsidRPr="00A44540" w14:paraId="36395FE5" w14:textId="77777777" w:rsidTr="004B26AC">
        <w:tc>
          <w:tcPr>
            <w:tcW w:w="1706" w:type="pct"/>
          </w:tcPr>
          <w:p w14:paraId="6E6B9CED" w14:textId="77777777" w:rsidR="004B26AC" w:rsidRPr="00A44540" w:rsidRDefault="004B26AC" w:rsidP="004B26AC">
            <w:pPr>
              <w:spacing w:line="276" w:lineRule="auto"/>
              <w:rPr>
                <w:rFonts w:cstheme="minorHAnsi"/>
                <w:b/>
              </w:rPr>
            </w:pPr>
            <w:r w:rsidRPr="00A44540">
              <w:rPr>
                <w:rFonts w:cstheme="minorHAnsi"/>
                <w:b/>
              </w:rPr>
              <w:t>RFQ Closing Time</w:t>
            </w:r>
          </w:p>
        </w:tc>
        <w:tc>
          <w:tcPr>
            <w:tcW w:w="3294" w:type="pct"/>
          </w:tcPr>
          <w:p w14:paraId="3170249D" w14:textId="5FAE1F67" w:rsidR="004B26AC" w:rsidRPr="00A44540" w:rsidRDefault="004838A3" w:rsidP="004B26AC">
            <w:pPr>
              <w:spacing w:line="276" w:lineRule="auto"/>
              <w:rPr>
                <w:rFonts w:cstheme="minorHAnsi"/>
                <w:b/>
              </w:rPr>
            </w:pPr>
            <w:r>
              <w:rPr>
                <w:rFonts w:cstheme="minorHAnsi"/>
                <w:b/>
              </w:rPr>
              <w:t>12:00</w:t>
            </w:r>
          </w:p>
        </w:tc>
      </w:tr>
      <w:tr w:rsidR="004B26AC" w:rsidRPr="00A44540" w14:paraId="01C3CB34" w14:textId="77777777" w:rsidTr="004B26AC">
        <w:tc>
          <w:tcPr>
            <w:tcW w:w="1706" w:type="pct"/>
          </w:tcPr>
          <w:p w14:paraId="5220AB42" w14:textId="77777777" w:rsidR="004B26AC" w:rsidRPr="00A44540" w:rsidRDefault="004B26AC" w:rsidP="004B26AC">
            <w:pPr>
              <w:spacing w:line="276" w:lineRule="auto"/>
              <w:rPr>
                <w:rFonts w:cstheme="minorHAnsi"/>
                <w:b/>
              </w:rPr>
            </w:pPr>
            <w:r w:rsidRPr="00A44540">
              <w:rPr>
                <w:rFonts w:cstheme="minorHAnsi"/>
                <w:b/>
              </w:rPr>
              <w:t>Compulsory Site Briefing</w:t>
            </w:r>
          </w:p>
        </w:tc>
        <w:tc>
          <w:tcPr>
            <w:tcW w:w="3294" w:type="pct"/>
          </w:tcPr>
          <w:p w14:paraId="4A56DF5D" w14:textId="77777777" w:rsidR="004B26AC" w:rsidRPr="00A44540" w:rsidRDefault="004B26AC" w:rsidP="004B26AC">
            <w:pPr>
              <w:spacing w:line="276" w:lineRule="auto"/>
              <w:rPr>
                <w:rFonts w:cstheme="minorHAnsi"/>
                <w:b/>
              </w:rPr>
            </w:pPr>
            <w:r>
              <w:rPr>
                <w:rFonts w:cstheme="minorHAnsi"/>
                <w:b/>
              </w:rPr>
              <w:t>n/a</w:t>
            </w:r>
          </w:p>
        </w:tc>
      </w:tr>
      <w:tr w:rsidR="004B26AC" w:rsidRPr="00A44540" w14:paraId="40135DE0" w14:textId="77777777" w:rsidTr="004B26AC">
        <w:tc>
          <w:tcPr>
            <w:tcW w:w="1706" w:type="pct"/>
          </w:tcPr>
          <w:p w14:paraId="4F574A41" w14:textId="77777777" w:rsidR="004B26AC" w:rsidRPr="00A44540" w:rsidRDefault="004B26AC" w:rsidP="004B26AC">
            <w:pPr>
              <w:spacing w:line="276" w:lineRule="auto"/>
              <w:rPr>
                <w:rFonts w:cstheme="minorHAnsi"/>
                <w:b/>
              </w:rPr>
            </w:pPr>
            <w:r w:rsidRPr="00A44540">
              <w:rPr>
                <w:rFonts w:cstheme="minorHAnsi"/>
                <w:b/>
              </w:rPr>
              <w:t>Contact Person</w:t>
            </w:r>
          </w:p>
        </w:tc>
        <w:tc>
          <w:tcPr>
            <w:tcW w:w="3294" w:type="pct"/>
          </w:tcPr>
          <w:p w14:paraId="62C87A94" w14:textId="494F8BC0" w:rsidR="004B26AC" w:rsidRPr="00A44540" w:rsidRDefault="004838A3" w:rsidP="004B26AC">
            <w:pPr>
              <w:spacing w:line="276" w:lineRule="auto"/>
              <w:rPr>
                <w:rFonts w:cstheme="minorHAnsi"/>
                <w:b/>
              </w:rPr>
            </w:pPr>
            <w:r>
              <w:rPr>
                <w:rFonts w:cstheme="minorHAnsi"/>
                <w:b/>
              </w:rPr>
              <w:t xml:space="preserve">Thulile Sokhela </w:t>
            </w:r>
          </w:p>
        </w:tc>
      </w:tr>
      <w:tr w:rsidR="004B26AC" w:rsidRPr="00A44540" w14:paraId="0F4DEF30" w14:textId="77777777" w:rsidTr="004B26AC">
        <w:tc>
          <w:tcPr>
            <w:tcW w:w="1706" w:type="pct"/>
          </w:tcPr>
          <w:p w14:paraId="4205399C" w14:textId="77777777" w:rsidR="004B26AC" w:rsidRPr="00A44540" w:rsidRDefault="004B26AC" w:rsidP="004B26AC">
            <w:pPr>
              <w:spacing w:line="276" w:lineRule="auto"/>
              <w:rPr>
                <w:rFonts w:cstheme="minorHAnsi"/>
                <w:b/>
              </w:rPr>
            </w:pPr>
            <w:r w:rsidRPr="00A44540">
              <w:rPr>
                <w:rFonts w:cstheme="minorHAnsi"/>
                <w:b/>
              </w:rPr>
              <w:t>Quotation Validity</w:t>
            </w:r>
          </w:p>
        </w:tc>
        <w:tc>
          <w:tcPr>
            <w:tcW w:w="3294" w:type="pct"/>
          </w:tcPr>
          <w:p w14:paraId="5D7FEA57" w14:textId="77777777" w:rsidR="004B26AC" w:rsidRPr="00A44540" w:rsidRDefault="004B26AC" w:rsidP="004B26AC">
            <w:pPr>
              <w:spacing w:line="276" w:lineRule="auto"/>
              <w:rPr>
                <w:rFonts w:cstheme="minorHAnsi"/>
                <w:b/>
              </w:rPr>
            </w:pPr>
            <w:r w:rsidRPr="00A44540">
              <w:rPr>
                <w:rFonts w:cstheme="minorHAnsi"/>
                <w:b/>
              </w:rPr>
              <w:t>90 Days from the closing date</w:t>
            </w:r>
          </w:p>
        </w:tc>
      </w:tr>
      <w:tr w:rsidR="004B26AC" w:rsidRPr="00A44540" w14:paraId="1FAA8130" w14:textId="77777777" w:rsidTr="004B26AC">
        <w:tc>
          <w:tcPr>
            <w:tcW w:w="1706" w:type="pct"/>
          </w:tcPr>
          <w:p w14:paraId="3BDDC746" w14:textId="77777777" w:rsidR="004B26AC" w:rsidRPr="00A44540" w:rsidRDefault="004B26AC" w:rsidP="004B26AC">
            <w:pPr>
              <w:spacing w:line="276" w:lineRule="auto"/>
              <w:rPr>
                <w:rFonts w:cstheme="minorHAnsi"/>
                <w:b/>
              </w:rPr>
            </w:pPr>
            <w:r w:rsidRPr="00A44540">
              <w:rPr>
                <w:rFonts w:cstheme="minorHAnsi"/>
                <w:b/>
              </w:rPr>
              <w:t>Submission Details</w:t>
            </w:r>
          </w:p>
        </w:tc>
        <w:tc>
          <w:tcPr>
            <w:tcW w:w="3294" w:type="pct"/>
          </w:tcPr>
          <w:p w14:paraId="4632A32B" w14:textId="1F66A7A3" w:rsidR="004B26AC" w:rsidRPr="00A44540" w:rsidRDefault="004B26AC" w:rsidP="00EB2DBF">
            <w:pPr>
              <w:spacing w:line="276" w:lineRule="auto"/>
              <w:rPr>
                <w:rFonts w:cstheme="minorHAnsi"/>
                <w:b/>
              </w:rPr>
            </w:pPr>
            <w:r w:rsidRPr="00A44540">
              <w:rPr>
                <w:rFonts w:cstheme="minorHAnsi"/>
                <w:b/>
              </w:rPr>
              <w:t xml:space="preserve">RFQ Response must be sent to: </w:t>
            </w:r>
            <w:r w:rsidR="004838A3">
              <w:rPr>
                <w:rFonts w:cstheme="minorHAnsi"/>
                <w:b/>
              </w:rPr>
              <w:t>Thulile.sokhela@n</w:t>
            </w:r>
            <w:r w:rsidR="003C16F2">
              <w:rPr>
                <w:rFonts w:cstheme="minorHAnsi"/>
                <w:b/>
              </w:rPr>
              <w:t>tp</w:t>
            </w:r>
            <w:r w:rsidR="004838A3">
              <w:rPr>
                <w:rFonts w:cstheme="minorHAnsi"/>
                <w:b/>
              </w:rPr>
              <w:t>.co.za</w:t>
            </w:r>
          </w:p>
        </w:tc>
      </w:tr>
      <w:tr w:rsidR="004B26AC" w:rsidRPr="00A44540" w14:paraId="019EA476" w14:textId="77777777" w:rsidTr="004B26AC">
        <w:tc>
          <w:tcPr>
            <w:tcW w:w="1706" w:type="pct"/>
          </w:tcPr>
          <w:p w14:paraId="6B2ADCBC" w14:textId="77777777" w:rsidR="004B26AC" w:rsidRPr="00A44540" w:rsidRDefault="004B26AC" w:rsidP="004B26AC">
            <w:pPr>
              <w:spacing w:line="276" w:lineRule="auto"/>
              <w:rPr>
                <w:rFonts w:cstheme="minorHAnsi"/>
                <w:b/>
              </w:rPr>
            </w:pPr>
            <w:r w:rsidRPr="00A44540">
              <w:rPr>
                <w:rFonts w:cstheme="minorHAnsi"/>
                <w:b/>
              </w:rPr>
              <w:t>RFQ Description</w:t>
            </w:r>
          </w:p>
        </w:tc>
        <w:tc>
          <w:tcPr>
            <w:tcW w:w="3294" w:type="pct"/>
          </w:tcPr>
          <w:p w14:paraId="66631161" w14:textId="140850D5" w:rsidR="004B26AC" w:rsidRPr="00A44540" w:rsidRDefault="00D03B77" w:rsidP="004B26AC">
            <w:pPr>
              <w:spacing w:line="276" w:lineRule="auto"/>
              <w:rPr>
                <w:rFonts w:cstheme="minorHAnsi"/>
                <w:b/>
              </w:rPr>
            </w:pPr>
            <w:r w:rsidRPr="0057653B">
              <w:rPr>
                <w:rFonts w:ascii="Arial" w:hAnsi="Arial" w:cs="Arial"/>
                <w:b/>
                <w:bCs/>
                <w:sz w:val="20"/>
                <w:szCs w:val="20"/>
              </w:rPr>
              <w:t>Appointment of a Service Provider to Facilitate the Development of the Necsa Group's Five-Year Strategic Plan (2026-2031) and Corporate Plan (2026-2027</w:t>
            </w:r>
            <w:r w:rsidRPr="000B6AEB">
              <w:rPr>
                <w:rFonts w:ascii="Arial" w:hAnsi="Arial" w:cs="Arial"/>
                <w:sz w:val="20"/>
                <w:szCs w:val="20"/>
              </w:rPr>
              <w:t>)</w:t>
            </w:r>
          </w:p>
        </w:tc>
      </w:tr>
    </w:tbl>
    <w:p w14:paraId="2FDFAC80" w14:textId="3E17FDC3" w:rsidR="009B6299" w:rsidRPr="00A44540" w:rsidRDefault="00745D44" w:rsidP="004B26AC">
      <w:pPr>
        <w:rPr>
          <w:rFonts w:cstheme="minorHAnsi"/>
          <w:b/>
        </w:rPr>
      </w:pPr>
      <w:r w:rsidRPr="00A44540">
        <w:rPr>
          <w:rFonts w:cstheme="minorHAnsi"/>
          <w:b/>
        </w:rPr>
        <w:tab/>
      </w:r>
      <w:r w:rsidRPr="00A44540">
        <w:rPr>
          <w:rFonts w:cstheme="minorHAnsi"/>
          <w:b/>
        </w:rPr>
        <w:tab/>
      </w:r>
      <w:r w:rsidRPr="00A44540">
        <w:rPr>
          <w:rFonts w:cstheme="minorHAnsi"/>
          <w:b/>
        </w:rPr>
        <w:tab/>
      </w:r>
    </w:p>
    <w:p w14:paraId="32E97F52" w14:textId="77777777" w:rsidR="005D3EA3" w:rsidRPr="00A44540" w:rsidRDefault="009B6299" w:rsidP="001A799E">
      <w:pPr>
        <w:spacing w:after="0"/>
        <w:jc w:val="both"/>
        <w:rPr>
          <w:rFonts w:cstheme="minorHAnsi"/>
        </w:rPr>
      </w:pPr>
      <w:r w:rsidRPr="00A44540">
        <w:rPr>
          <w:rFonts w:cstheme="minorHAnsi"/>
        </w:rPr>
        <w:t xml:space="preserve">Dear </w:t>
      </w:r>
      <w:r w:rsidR="00026653" w:rsidRPr="00A44540">
        <w:rPr>
          <w:rFonts w:cstheme="minorHAnsi"/>
        </w:rPr>
        <w:t>Service Provider</w:t>
      </w:r>
    </w:p>
    <w:p w14:paraId="42C637F1" w14:textId="77777777" w:rsidR="00A97702" w:rsidRPr="00A44540" w:rsidRDefault="00A97702" w:rsidP="001A799E">
      <w:pPr>
        <w:spacing w:after="0"/>
        <w:jc w:val="both"/>
        <w:rPr>
          <w:rFonts w:cstheme="minorHAnsi"/>
        </w:rPr>
      </w:pPr>
    </w:p>
    <w:p w14:paraId="495CF982" w14:textId="77777777" w:rsidR="009B6299" w:rsidRPr="00A44540" w:rsidRDefault="00A97702" w:rsidP="001A799E">
      <w:pPr>
        <w:spacing w:after="0"/>
        <w:jc w:val="both"/>
        <w:rPr>
          <w:rFonts w:cstheme="minorHAnsi"/>
        </w:rPr>
      </w:pPr>
      <w:r w:rsidRPr="00A44540">
        <w:rPr>
          <w:rFonts w:cstheme="minorHAnsi"/>
        </w:rPr>
        <w:t>Kindly provide a quotation for goods and or services as outlined in section 2 of this document.</w:t>
      </w:r>
    </w:p>
    <w:p w14:paraId="0EDCCBB8" w14:textId="77777777" w:rsidR="00155894" w:rsidRPr="00A44540" w:rsidRDefault="00155894" w:rsidP="001A799E">
      <w:pPr>
        <w:widowControl w:val="0"/>
        <w:autoSpaceDE w:val="0"/>
        <w:autoSpaceDN w:val="0"/>
        <w:adjustRightInd w:val="0"/>
        <w:spacing w:after="0"/>
        <w:ind w:left="1800" w:hanging="99"/>
        <w:jc w:val="both"/>
        <w:rPr>
          <w:rFonts w:eastAsia="Times New Roman" w:cstheme="minorHAnsi"/>
          <w:b/>
          <w:color w:val="000000"/>
          <w:spacing w:val="-3"/>
        </w:rPr>
      </w:pPr>
      <w:bookmarkStart w:id="0" w:name="Pg2"/>
      <w:bookmarkEnd w:id="0"/>
    </w:p>
    <w:p w14:paraId="477FFD01" w14:textId="77777777" w:rsidR="00155894" w:rsidRDefault="00155894" w:rsidP="009E3142">
      <w:pPr>
        <w:pStyle w:val="ListParagraph"/>
        <w:widowControl w:val="0"/>
        <w:numPr>
          <w:ilvl w:val="0"/>
          <w:numId w:val="3"/>
        </w:numPr>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r w:rsidRPr="00A44540">
        <w:rPr>
          <w:rFonts w:eastAsia="Times New Roman" w:cstheme="minorHAnsi"/>
          <w:b/>
          <w:color w:val="000000"/>
          <w:spacing w:val="-3"/>
          <w:sz w:val="24"/>
          <w:szCs w:val="24"/>
          <w:u w:val="single"/>
        </w:rPr>
        <w:t>Introduction</w:t>
      </w:r>
    </w:p>
    <w:p w14:paraId="3EEC5A65" w14:textId="77777777" w:rsidR="003B5BB2" w:rsidRDefault="003B5BB2" w:rsidP="003B5BB2">
      <w:pPr>
        <w:widowControl w:val="0"/>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p>
    <w:p w14:paraId="0C549FB3" w14:textId="77777777" w:rsidR="003B5BB2" w:rsidRDefault="003B5BB2" w:rsidP="003B5BB2">
      <w:pPr>
        <w:pStyle w:val="1Paragraph"/>
        <w:ind w:left="0"/>
      </w:pPr>
      <w:r w:rsidRPr="00996C02">
        <w:t>The South African Nuclear Energy Corporation Limited (Necsa) is a state-owned public company</w:t>
      </w:r>
      <w:r>
        <w:t xml:space="preserve"> (SOC)</w:t>
      </w:r>
      <w:r w:rsidRPr="00996C02">
        <w:t xml:space="preserve">, registered in terms of the Companies Act, (Act No. 61 of 1973), registration number 2000/003735/06. </w:t>
      </w:r>
    </w:p>
    <w:p w14:paraId="257F42B0" w14:textId="77777777" w:rsidR="003B5BB2" w:rsidRDefault="003B5BB2" w:rsidP="003B5BB2">
      <w:pPr>
        <w:pStyle w:val="1Paragraph"/>
        <w:ind w:left="0"/>
      </w:pPr>
      <w:r>
        <w:t xml:space="preserve">The Necsa Group engages in commercial business mainly through its </w:t>
      </w:r>
      <w:proofErr w:type="gramStart"/>
      <w:r>
        <w:t>wholly-owned</w:t>
      </w:r>
      <w:proofErr w:type="gramEnd"/>
      <w:r>
        <w:t xml:space="preserve"> commercial subsidiaries: NTP Radioisotopes SOC Ltd (NTP), which is responsible for a range of radiation-based products and services for healthcare, life sciences and industry, and </w:t>
      </w:r>
      <w:proofErr w:type="spellStart"/>
      <w:r>
        <w:t>Pelchem</w:t>
      </w:r>
      <w:proofErr w:type="spellEnd"/>
      <w:r>
        <w:t xml:space="preserve"> SOC Ltd (</w:t>
      </w:r>
      <w:proofErr w:type="spellStart"/>
      <w:r>
        <w:t>Pelchem</w:t>
      </w:r>
      <w:proofErr w:type="spellEnd"/>
      <w:r>
        <w:t>), which supplies fluorine and fluorine-based products. Both subsidiaries, together with their subsidiaries, supply local and global markets, earning valuable foreign exchange for South Africa and are among the best in their field in their respective world markets.</w:t>
      </w:r>
    </w:p>
    <w:p w14:paraId="1E2E174E" w14:textId="77777777" w:rsidR="003B5BB2" w:rsidRDefault="003B5BB2" w:rsidP="003B5BB2">
      <w:pPr>
        <w:pStyle w:val="1Paragraph"/>
        <w:ind w:left="0"/>
      </w:pPr>
      <w:proofErr w:type="spellStart"/>
      <w:r>
        <w:t>Necsa’s</w:t>
      </w:r>
      <w:proofErr w:type="spellEnd"/>
      <w:r>
        <w:t xml:space="preserve"> safety, health, environment and quality policies provides for top management commitment to compliance with regulatory requirements of ISO 14001, OHSAS 18001 and RD 0034 (Quality and Safety Management Requirements for Nuclear Installations), ISO 9001 and ISO 17025.</w:t>
      </w:r>
    </w:p>
    <w:p w14:paraId="6940DC1B" w14:textId="77777777" w:rsidR="003B5BB2" w:rsidRDefault="003B5BB2" w:rsidP="003B5BB2">
      <w:pPr>
        <w:pStyle w:val="1Paragraph"/>
        <w:ind w:left="0"/>
      </w:pPr>
      <w:r>
        <w:t>Necsa promotes the science, technology and engineering expertise of South Africa and improves the public understanding of these through regular communications at various forums and outreach programmes to the community. We are a proudly South African company continuously striving, and succeeding in many respects, to be at the edge of science, technology and engineering related to the safe use of nuclear knowledge to improve our world.</w:t>
      </w:r>
    </w:p>
    <w:p w14:paraId="7848F0AA" w14:textId="77777777" w:rsidR="003B5BB2" w:rsidRPr="003B5BB2" w:rsidRDefault="003B5BB2" w:rsidP="003B5BB2">
      <w:pPr>
        <w:widowControl w:val="0"/>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p>
    <w:p w14:paraId="7F1361DC" w14:textId="77777777" w:rsidR="00A7116A" w:rsidRDefault="003B5BB2" w:rsidP="00A7116A">
      <w:pPr>
        <w:autoSpaceDE w:val="0"/>
        <w:autoSpaceDN w:val="0"/>
        <w:adjustRightInd w:val="0"/>
        <w:jc w:val="both"/>
        <w:rPr>
          <w:rFonts w:eastAsia="Times New Roman" w:cstheme="minorHAnsi"/>
          <w:color w:val="000000"/>
        </w:rPr>
      </w:pPr>
      <w:r>
        <w:rPr>
          <w:rFonts w:eastAsia="Times New Roman" w:cstheme="minorHAnsi"/>
          <w:color w:val="000000"/>
        </w:rPr>
        <w:t xml:space="preserve">For more information on Necsa, please visit: </w:t>
      </w:r>
      <w:hyperlink r:id="rId8" w:history="1">
        <w:r w:rsidRPr="005B7C37">
          <w:rPr>
            <w:rStyle w:val="Hyperlink"/>
            <w:rFonts w:eastAsia="Times New Roman" w:cstheme="minorHAnsi"/>
          </w:rPr>
          <w:t>WWW.Necsa.co.za</w:t>
        </w:r>
      </w:hyperlink>
    </w:p>
    <w:p w14:paraId="615E3088" w14:textId="4A512ACA" w:rsidR="00A7116A" w:rsidRPr="0002202C" w:rsidRDefault="0002202C" w:rsidP="0002202C">
      <w:pPr>
        <w:pStyle w:val="ListParagraph"/>
        <w:numPr>
          <w:ilvl w:val="0"/>
          <w:numId w:val="3"/>
        </w:numPr>
        <w:autoSpaceDE w:val="0"/>
        <w:autoSpaceDN w:val="0"/>
        <w:adjustRightInd w:val="0"/>
        <w:jc w:val="both"/>
        <w:rPr>
          <w:rFonts w:eastAsia="Times New Roman" w:cstheme="minorHAnsi"/>
          <w:b/>
          <w:bCs/>
          <w:color w:val="000000"/>
          <w:sz w:val="20"/>
          <w:szCs w:val="20"/>
          <w:u w:val="single"/>
        </w:rPr>
      </w:pPr>
      <w:r w:rsidRPr="0002202C">
        <w:rPr>
          <w:rFonts w:ascii="Arial" w:hAnsi="Arial" w:cs="Arial"/>
          <w:b/>
          <w:bCs/>
          <w:sz w:val="20"/>
          <w:szCs w:val="20"/>
          <w:u w:val="single"/>
        </w:rPr>
        <w:lastRenderedPageBreak/>
        <w:t>Scope of services</w:t>
      </w:r>
    </w:p>
    <w:p w14:paraId="347EBCD5" w14:textId="423892D2" w:rsidR="00A7116A" w:rsidRDefault="00A7116A" w:rsidP="00A7116A">
      <w:pPr>
        <w:tabs>
          <w:tab w:val="left" w:pos="709"/>
        </w:tabs>
        <w:spacing w:before="58" w:after="58"/>
        <w:rPr>
          <w:rFonts w:ascii="Arial" w:hAnsi="Arial" w:cs="Arial"/>
        </w:rPr>
      </w:pPr>
      <w:r w:rsidRPr="000B6AEB">
        <w:rPr>
          <w:rFonts w:ascii="Arial" w:hAnsi="Arial" w:cs="Arial"/>
        </w:rPr>
        <w:t>The successful bidder will:</w:t>
      </w:r>
    </w:p>
    <w:p w14:paraId="7D1EFD6F" w14:textId="77777777" w:rsidR="00A7116A" w:rsidRPr="000B6AEB" w:rsidRDefault="00A7116A" w:rsidP="00A7116A">
      <w:pPr>
        <w:spacing w:before="58" w:after="58"/>
        <w:rPr>
          <w:rFonts w:ascii="Arial" w:hAnsi="Arial" w:cs="Arial"/>
        </w:rPr>
      </w:pPr>
    </w:p>
    <w:p w14:paraId="28ED8529" w14:textId="77777777" w:rsidR="00A7116A" w:rsidRPr="000B6AEB" w:rsidRDefault="00A7116A" w:rsidP="00A7116A">
      <w:pPr>
        <w:numPr>
          <w:ilvl w:val="0"/>
          <w:numId w:val="32"/>
        </w:numPr>
        <w:tabs>
          <w:tab w:val="clear" w:pos="720"/>
          <w:tab w:val="num" w:pos="993"/>
        </w:tabs>
        <w:spacing w:before="58" w:after="58"/>
        <w:ind w:left="993"/>
        <w:rPr>
          <w:rFonts w:ascii="Arial" w:hAnsi="Arial" w:cs="Arial"/>
        </w:rPr>
      </w:pPr>
      <w:r w:rsidRPr="000B6AEB">
        <w:rPr>
          <w:rFonts w:ascii="Arial" w:hAnsi="Arial" w:cs="Arial"/>
        </w:rPr>
        <w:t>Facilitate a structured process for strategy development, including:</w:t>
      </w:r>
    </w:p>
    <w:p w14:paraId="3B1A36DC" w14:textId="77777777" w:rsidR="00A7116A" w:rsidRPr="000B6AEB" w:rsidRDefault="00A7116A" w:rsidP="00A7116A">
      <w:pPr>
        <w:numPr>
          <w:ilvl w:val="1"/>
          <w:numId w:val="32"/>
        </w:numPr>
        <w:spacing w:before="58" w:after="58"/>
        <w:rPr>
          <w:rFonts w:ascii="Arial" w:hAnsi="Arial" w:cs="Arial"/>
        </w:rPr>
      </w:pPr>
      <w:r w:rsidRPr="000B6AEB">
        <w:rPr>
          <w:rFonts w:ascii="Arial" w:hAnsi="Arial" w:cs="Arial"/>
        </w:rPr>
        <w:t>Stakeholder consultations (Including but not limited to GCEO, Boards, MD’s, GE’s, GM’s, etc.)</w:t>
      </w:r>
    </w:p>
    <w:p w14:paraId="77B75BE7" w14:textId="77777777" w:rsidR="00A7116A" w:rsidRPr="000B6AEB" w:rsidRDefault="00A7116A" w:rsidP="00A7116A">
      <w:pPr>
        <w:numPr>
          <w:ilvl w:val="1"/>
          <w:numId w:val="32"/>
        </w:numPr>
        <w:spacing w:before="58" w:after="58"/>
        <w:rPr>
          <w:rFonts w:ascii="Arial" w:hAnsi="Arial" w:cs="Arial"/>
        </w:rPr>
      </w:pPr>
      <w:r w:rsidRPr="000B6AEB">
        <w:rPr>
          <w:rFonts w:ascii="Arial" w:hAnsi="Arial" w:cs="Arial"/>
        </w:rPr>
        <w:t>Strategic analysis (PESTEL, SWOT, Scenario planning, Risk Alignment)</w:t>
      </w:r>
    </w:p>
    <w:p w14:paraId="504D9FC8" w14:textId="7D8E76DD" w:rsidR="00A7116A" w:rsidRPr="000B6AEB" w:rsidRDefault="00A7116A" w:rsidP="00A7116A">
      <w:pPr>
        <w:numPr>
          <w:ilvl w:val="1"/>
          <w:numId w:val="32"/>
        </w:numPr>
        <w:spacing w:before="58" w:after="58"/>
        <w:rPr>
          <w:rFonts w:ascii="Arial" w:hAnsi="Arial" w:cs="Arial"/>
        </w:rPr>
      </w:pPr>
      <w:r w:rsidRPr="000B6AEB">
        <w:rPr>
          <w:rFonts w:ascii="Arial" w:hAnsi="Arial" w:cs="Arial"/>
        </w:rPr>
        <w:t xml:space="preserve">Theory of Change and </w:t>
      </w:r>
      <w:r w:rsidR="006C20CB" w:rsidRPr="000B6AEB">
        <w:rPr>
          <w:rFonts w:ascii="Arial" w:hAnsi="Arial" w:cs="Arial"/>
        </w:rPr>
        <w:t>Log frame</w:t>
      </w:r>
      <w:r w:rsidRPr="000B6AEB">
        <w:rPr>
          <w:rFonts w:ascii="Arial" w:hAnsi="Arial" w:cs="Arial"/>
        </w:rPr>
        <w:t xml:space="preserve"> methodologies</w:t>
      </w:r>
    </w:p>
    <w:p w14:paraId="4CF7A707" w14:textId="77777777" w:rsidR="00A7116A" w:rsidRPr="000B6AEB" w:rsidRDefault="00A7116A" w:rsidP="00A7116A">
      <w:pPr>
        <w:numPr>
          <w:ilvl w:val="1"/>
          <w:numId w:val="32"/>
        </w:numPr>
        <w:spacing w:before="58" w:after="58"/>
        <w:rPr>
          <w:rFonts w:ascii="Arial" w:hAnsi="Arial" w:cs="Arial"/>
        </w:rPr>
      </w:pPr>
      <w:r w:rsidRPr="000B6AEB">
        <w:rPr>
          <w:rFonts w:ascii="Arial" w:hAnsi="Arial" w:cs="Arial"/>
        </w:rPr>
        <w:t>Identification and framing of new strategic pillars and high-impact programmes if and where applicable</w:t>
      </w:r>
    </w:p>
    <w:p w14:paraId="53CF9C8C" w14:textId="7474865E" w:rsidR="00A7116A" w:rsidRPr="000B6AEB" w:rsidRDefault="00A7116A" w:rsidP="00A7116A">
      <w:pPr>
        <w:numPr>
          <w:ilvl w:val="0"/>
          <w:numId w:val="32"/>
        </w:numPr>
        <w:tabs>
          <w:tab w:val="clear" w:pos="720"/>
        </w:tabs>
        <w:spacing w:before="58" w:after="58"/>
        <w:ind w:left="993"/>
        <w:rPr>
          <w:rFonts w:ascii="Arial" w:hAnsi="Arial" w:cs="Arial"/>
        </w:rPr>
      </w:pPr>
      <w:r w:rsidRPr="000B6AEB">
        <w:rPr>
          <w:rFonts w:ascii="Arial" w:hAnsi="Arial" w:cs="Arial"/>
        </w:rPr>
        <w:t xml:space="preserve">Plan and facilitate one or more multi-day Strategic Planning Sessions with Necsa Group Executives, </w:t>
      </w:r>
      <w:r w:rsidR="006C20CB" w:rsidRPr="000B6AEB">
        <w:rPr>
          <w:rFonts w:ascii="Arial" w:hAnsi="Arial" w:cs="Arial"/>
        </w:rPr>
        <w:t>MDs</w:t>
      </w:r>
      <w:r w:rsidRPr="000B6AEB">
        <w:rPr>
          <w:rFonts w:ascii="Arial" w:hAnsi="Arial" w:cs="Arial"/>
        </w:rPr>
        <w:t xml:space="preserve"> of Subsidiaries, Senior Managers, and Board Committee members.</w:t>
      </w:r>
    </w:p>
    <w:p w14:paraId="5EB57B01" w14:textId="77777777" w:rsidR="00A7116A" w:rsidRPr="000B6AEB" w:rsidRDefault="00A7116A" w:rsidP="00A7116A">
      <w:pPr>
        <w:numPr>
          <w:ilvl w:val="0"/>
          <w:numId w:val="32"/>
        </w:numPr>
        <w:tabs>
          <w:tab w:val="clear" w:pos="720"/>
        </w:tabs>
        <w:spacing w:before="58" w:after="58"/>
        <w:ind w:left="993"/>
        <w:rPr>
          <w:rFonts w:ascii="Arial" w:hAnsi="Arial" w:cs="Arial"/>
        </w:rPr>
      </w:pPr>
      <w:r w:rsidRPr="000B6AEB">
        <w:rPr>
          <w:rFonts w:ascii="Arial" w:hAnsi="Arial" w:cs="Arial"/>
        </w:rPr>
        <w:t>Draft the Five-Year Strategic Plan (2026-2031) in accordance with:</w:t>
      </w:r>
    </w:p>
    <w:p w14:paraId="733CAE86" w14:textId="77777777" w:rsidR="00A7116A" w:rsidRPr="000B6AEB" w:rsidRDefault="00A7116A" w:rsidP="00A7116A">
      <w:pPr>
        <w:numPr>
          <w:ilvl w:val="1"/>
          <w:numId w:val="32"/>
        </w:numPr>
        <w:spacing w:before="58" w:after="58"/>
        <w:rPr>
          <w:rFonts w:ascii="Arial" w:hAnsi="Arial" w:cs="Arial"/>
        </w:rPr>
      </w:pPr>
      <w:r w:rsidRPr="000B6AEB">
        <w:rPr>
          <w:rFonts w:ascii="Arial" w:hAnsi="Arial" w:cs="Arial"/>
        </w:rPr>
        <w:t>PFMA (Sections 53 &amp; 55)</w:t>
      </w:r>
    </w:p>
    <w:p w14:paraId="7A0050B9" w14:textId="77777777" w:rsidR="00A7116A" w:rsidRPr="000B6AEB" w:rsidRDefault="00A7116A" w:rsidP="00A7116A">
      <w:pPr>
        <w:numPr>
          <w:ilvl w:val="1"/>
          <w:numId w:val="32"/>
        </w:numPr>
        <w:spacing w:before="58" w:after="58"/>
        <w:rPr>
          <w:rFonts w:ascii="Arial" w:hAnsi="Arial" w:cs="Arial"/>
        </w:rPr>
      </w:pPr>
      <w:r w:rsidRPr="000B6AEB">
        <w:rPr>
          <w:rFonts w:ascii="Arial" w:hAnsi="Arial" w:cs="Arial"/>
        </w:rPr>
        <w:t>DPME Revised Framework</w:t>
      </w:r>
    </w:p>
    <w:p w14:paraId="7925C7C2" w14:textId="77777777" w:rsidR="00A7116A" w:rsidRPr="000B6AEB" w:rsidRDefault="00A7116A" w:rsidP="00A7116A">
      <w:pPr>
        <w:numPr>
          <w:ilvl w:val="1"/>
          <w:numId w:val="32"/>
        </w:numPr>
        <w:spacing w:before="58" w:after="58"/>
        <w:rPr>
          <w:rFonts w:ascii="Arial" w:hAnsi="Arial" w:cs="Arial"/>
        </w:rPr>
      </w:pPr>
      <w:r w:rsidRPr="000B6AEB">
        <w:rPr>
          <w:rFonts w:ascii="Arial" w:hAnsi="Arial" w:cs="Arial"/>
        </w:rPr>
        <w:t>National Treasury Regulations</w:t>
      </w:r>
    </w:p>
    <w:p w14:paraId="396D55BD" w14:textId="77777777" w:rsidR="00A7116A" w:rsidRPr="000B6AEB" w:rsidRDefault="00A7116A" w:rsidP="00A7116A">
      <w:pPr>
        <w:numPr>
          <w:ilvl w:val="0"/>
          <w:numId w:val="32"/>
        </w:numPr>
        <w:tabs>
          <w:tab w:val="clear" w:pos="720"/>
        </w:tabs>
        <w:spacing w:before="58" w:after="58"/>
        <w:ind w:left="993"/>
        <w:rPr>
          <w:rFonts w:ascii="Arial" w:hAnsi="Arial" w:cs="Arial"/>
        </w:rPr>
      </w:pPr>
      <w:r w:rsidRPr="000B6AEB">
        <w:rPr>
          <w:rFonts w:ascii="Arial" w:hAnsi="Arial" w:cs="Arial"/>
        </w:rPr>
        <w:t>Translate the Strategic Plan into a one-year Corporate Plan (2026/27), aligned with:</w:t>
      </w:r>
    </w:p>
    <w:p w14:paraId="327EFBAB" w14:textId="77777777" w:rsidR="00A7116A" w:rsidRPr="000B6AEB" w:rsidRDefault="00A7116A" w:rsidP="00A7116A">
      <w:pPr>
        <w:numPr>
          <w:ilvl w:val="1"/>
          <w:numId w:val="32"/>
        </w:numPr>
        <w:spacing w:before="58" w:after="58"/>
        <w:rPr>
          <w:rFonts w:ascii="Arial" w:hAnsi="Arial" w:cs="Arial"/>
        </w:rPr>
      </w:pPr>
      <w:r w:rsidRPr="000B6AEB">
        <w:rPr>
          <w:rFonts w:ascii="Arial" w:hAnsi="Arial" w:cs="Arial"/>
        </w:rPr>
        <w:t>The Medium-Term Expenditure Framework (MTEF)</w:t>
      </w:r>
    </w:p>
    <w:p w14:paraId="4C8997F3" w14:textId="0BAE9233" w:rsidR="00A7116A" w:rsidRPr="000B6AEB" w:rsidRDefault="00A7116A" w:rsidP="00A7116A">
      <w:pPr>
        <w:numPr>
          <w:ilvl w:val="1"/>
          <w:numId w:val="32"/>
        </w:numPr>
        <w:spacing w:before="58" w:after="58"/>
        <w:rPr>
          <w:rFonts w:ascii="Arial" w:hAnsi="Arial" w:cs="Arial"/>
        </w:rPr>
      </w:pPr>
      <w:r w:rsidRPr="000B6AEB">
        <w:rPr>
          <w:rFonts w:ascii="Arial" w:hAnsi="Arial" w:cs="Arial"/>
        </w:rPr>
        <w:t xml:space="preserve">APP format and DPME </w:t>
      </w:r>
      <w:r w:rsidR="006C20CB" w:rsidRPr="000B6AEB">
        <w:rPr>
          <w:rFonts w:ascii="Arial" w:hAnsi="Arial" w:cs="Arial"/>
        </w:rPr>
        <w:t>log frame</w:t>
      </w:r>
      <w:r w:rsidRPr="000B6AEB">
        <w:rPr>
          <w:rFonts w:ascii="Arial" w:hAnsi="Arial" w:cs="Arial"/>
        </w:rPr>
        <w:t xml:space="preserve"> structures</w:t>
      </w:r>
    </w:p>
    <w:p w14:paraId="55973465" w14:textId="77777777" w:rsidR="00A7116A" w:rsidRPr="000B6AEB" w:rsidRDefault="00A7116A" w:rsidP="00A7116A">
      <w:pPr>
        <w:numPr>
          <w:ilvl w:val="0"/>
          <w:numId w:val="32"/>
        </w:numPr>
        <w:tabs>
          <w:tab w:val="clear" w:pos="720"/>
        </w:tabs>
        <w:spacing w:before="58" w:after="58"/>
        <w:ind w:left="993"/>
        <w:rPr>
          <w:rFonts w:ascii="Arial" w:hAnsi="Arial" w:cs="Arial"/>
        </w:rPr>
      </w:pPr>
      <w:r w:rsidRPr="000B6AEB">
        <w:rPr>
          <w:rFonts w:ascii="Arial" w:hAnsi="Arial" w:cs="Arial"/>
        </w:rPr>
        <w:t>Support packaging of the draft plans for submission to:</w:t>
      </w:r>
    </w:p>
    <w:p w14:paraId="24C1EED8" w14:textId="77777777" w:rsidR="00A7116A" w:rsidRPr="000B6AEB" w:rsidRDefault="00A7116A" w:rsidP="00A7116A">
      <w:pPr>
        <w:numPr>
          <w:ilvl w:val="1"/>
          <w:numId w:val="32"/>
        </w:numPr>
        <w:spacing w:before="58" w:after="58"/>
        <w:rPr>
          <w:rFonts w:ascii="Arial" w:hAnsi="Arial" w:cs="Arial"/>
        </w:rPr>
      </w:pPr>
      <w:r w:rsidRPr="000B6AEB">
        <w:rPr>
          <w:rFonts w:ascii="Arial" w:hAnsi="Arial" w:cs="Arial"/>
        </w:rPr>
        <w:t>Audit and Risk Committee</w:t>
      </w:r>
    </w:p>
    <w:p w14:paraId="3EF49A61" w14:textId="77777777" w:rsidR="00A7116A" w:rsidRPr="000B6AEB" w:rsidRDefault="00A7116A" w:rsidP="00A7116A">
      <w:pPr>
        <w:numPr>
          <w:ilvl w:val="1"/>
          <w:numId w:val="32"/>
        </w:numPr>
        <w:spacing w:before="58" w:after="58"/>
        <w:rPr>
          <w:rFonts w:ascii="Arial" w:hAnsi="Arial" w:cs="Arial"/>
        </w:rPr>
      </w:pPr>
      <w:r w:rsidRPr="000B6AEB">
        <w:rPr>
          <w:rFonts w:ascii="Arial" w:hAnsi="Arial" w:cs="Arial"/>
        </w:rPr>
        <w:t>The Board</w:t>
      </w:r>
    </w:p>
    <w:p w14:paraId="48D340C6" w14:textId="77777777" w:rsidR="00A7116A" w:rsidRPr="000B6AEB" w:rsidRDefault="00A7116A" w:rsidP="00A7116A">
      <w:pPr>
        <w:numPr>
          <w:ilvl w:val="1"/>
          <w:numId w:val="32"/>
        </w:numPr>
        <w:spacing w:before="58" w:after="58"/>
        <w:rPr>
          <w:rFonts w:ascii="Arial" w:hAnsi="Arial" w:cs="Arial"/>
        </w:rPr>
      </w:pPr>
      <w:r w:rsidRPr="000B6AEB">
        <w:rPr>
          <w:rFonts w:ascii="Arial" w:hAnsi="Arial" w:cs="Arial"/>
        </w:rPr>
        <w:t>Department of Energy and Electricity (DEE)</w:t>
      </w:r>
    </w:p>
    <w:p w14:paraId="6B68B4FC" w14:textId="77777777" w:rsidR="00A7116A" w:rsidRPr="000B6AEB" w:rsidRDefault="00A7116A" w:rsidP="00A7116A">
      <w:pPr>
        <w:numPr>
          <w:ilvl w:val="0"/>
          <w:numId w:val="32"/>
        </w:numPr>
        <w:tabs>
          <w:tab w:val="clear" w:pos="720"/>
        </w:tabs>
        <w:spacing w:before="58" w:after="58"/>
        <w:ind w:left="993"/>
        <w:rPr>
          <w:rFonts w:ascii="Arial" w:hAnsi="Arial" w:cs="Arial"/>
        </w:rPr>
      </w:pPr>
      <w:r w:rsidRPr="000B6AEB">
        <w:rPr>
          <w:rFonts w:ascii="Arial" w:hAnsi="Arial" w:cs="Arial"/>
        </w:rPr>
        <w:t>Provide implementation coaching and tools to internal teams.</w:t>
      </w:r>
    </w:p>
    <w:p w14:paraId="2AF40535" w14:textId="77777777" w:rsidR="00A7116A" w:rsidRPr="000B6AEB" w:rsidRDefault="00A7116A" w:rsidP="00A7116A">
      <w:pPr>
        <w:spacing w:before="58" w:after="58"/>
        <w:jc w:val="both"/>
        <w:rPr>
          <w:rFonts w:ascii="Arial" w:hAnsi="Arial" w:cs="Arial"/>
          <w:sz w:val="20"/>
          <w:szCs w:val="20"/>
        </w:rPr>
      </w:pPr>
    </w:p>
    <w:p w14:paraId="6E789E30" w14:textId="0B3D766E" w:rsidR="00A7116A" w:rsidRPr="00C77E55" w:rsidRDefault="00C77E55" w:rsidP="00C77E55">
      <w:pPr>
        <w:pStyle w:val="ListParagraph"/>
        <w:numPr>
          <w:ilvl w:val="0"/>
          <w:numId w:val="3"/>
        </w:numPr>
        <w:spacing w:before="58" w:after="58"/>
        <w:jc w:val="both"/>
        <w:rPr>
          <w:rFonts w:ascii="Arial" w:hAnsi="Arial" w:cs="Arial"/>
          <w:b/>
          <w:bCs/>
        </w:rPr>
      </w:pPr>
      <w:r>
        <w:rPr>
          <w:rFonts w:ascii="Arial" w:hAnsi="Arial" w:cs="Arial"/>
          <w:b/>
          <w:bCs/>
        </w:rPr>
        <w:t xml:space="preserve"> </w:t>
      </w:r>
      <w:r w:rsidR="00C94DA3" w:rsidRPr="00C77E55">
        <w:rPr>
          <w:rFonts w:ascii="Arial" w:hAnsi="Arial" w:cs="Arial"/>
          <w:b/>
          <w:bCs/>
        </w:rPr>
        <w:t xml:space="preserve"> </w:t>
      </w:r>
      <w:r w:rsidR="00A7116A" w:rsidRPr="00C77E55">
        <w:rPr>
          <w:rFonts w:ascii="Arial" w:hAnsi="Arial" w:cs="Arial"/>
          <w:b/>
          <w:bCs/>
        </w:rPr>
        <w:t>DELIVERABLES</w:t>
      </w:r>
    </w:p>
    <w:p w14:paraId="245992C6" w14:textId="77777777" w:rsidR="00A7116A" w:rsidRPr="000B6AEB" w:rsidRDefault="00A7116A" w:rsidP="00A7116A">
      <w:pPr>
        <w:spacing w:before="58" w:after="58"/>
        <w:ind w:left="720"/>
        <w:jc w:val="both"/>
        <w:rPr>
          <w:rFonts w:ascii="Arial" w:hAnsi="Arial" w:cs="Arial"/>
          <w:sz w:val="20"/>
          <w:szCs w:val="20"/>
        </w:rPr>
      </w:pPr>
    </w:p>
    <w:p w14:paraId="1B6068CF" w14:textId="77777777" w:rsidR="00A7116A" w:rsidRPr="000B6AEB" w:rsidRDefault="00A7116A" w:rsidP="00A7116A">
      <w:pPr>
        <w:numPr>
          <w:ilvl w:val="0"/>
          <w:numId w:val="33"/>
        </w:numPr>
        <w:tabs>
          <w:tab w:val="clear" w:pos="720"/>
          <w:tab w:val="num" w:pos="1418"/>
        </w:tabs>
        <w:spacing w:before="58" w:after="58"/>
        <w:ind w:left="1418" w:hanging="709"/>
        <w:rPr>
          <w:rFonts w:ascii="Arial" w:hAnsi="Arial" w:cs="Arial"/>
        </w:rPr>
      </w:pPr>
      <w:r w:rsidRPr="000B6AEB">
        <w:rPr>
          <w:rFonts w:ascii="Arial" w:hAnsi="Arial" w:cs="Arial"/>
        </w:rPr>
        <w:t>Inception report and project plan (by 15 August 2025)</w:t>
      </w:r>
    </w:p>
    <w:p w14:paraId="5CA18D7C" w14:textId="77777777" w:rsidR="00A7116A" w:rsidRPr="000B6AEB" w:rsidRDefault="00A7116A" w:rsidP="00A7116A">
      <w:pPr>
        <w:numPr>
          <w:ilvl w:val="0"/>
          <w:numId w:val="33"/>
        </w:numPr>
        <w:tabs>
          <w:tab w:val="clear" w:pos="720"/>
          <w:tab w:val="num" w:pos="1418"/>
        </w:tabs>
        <w:spacing w:before="58" w:after="58"/>
        <w:ind w:left="1418" w:hanging="709"/>
        <w:rPr>
          <w:rFonts w:ascii="Arial" w:hAnsi="Arial" w:cs="Arial"/>
        </w:rPr>
      </w:pPr>
      <w:r w:rsidRPr="000B6AEB">
        <w:rPr>
          <w:rFonts w:ascii="Arial" w:hAnsi="Arial" w:cs="Arial"/>
        </w:rPr>
        <w:t>Situational analysis and gap report (by 30 September 2025)</w:t>
      </w:r>
    </w:p>
    <w:p w14:paraId="3CBDC868" w14:textId="77777777" w:rsidR="00A7116A" w:rsidRPr="000B6AEB" w:rsidRDefault="00A7116A" w:rsidP="00A7116A">
      <w:pPr>
        <w:numPr>
          <w:ilvl w:val="0"/>
          <w:numId w:val="33"/>
        </w:numPr>
        <w:tabs>
          <w:tab w:val="clear" w:pos="720"/>
          <w:tab w:val="num" w:pos="1418"/>
        </w:tabs>
        <w:spacing w:before="58" w:after="58"/>
        <w:ind w:left="1418" w:hanging="709"/>
        <w:rPr>
          <w:rFonts w:ascii="Arial" w:hAnsi="Arial" w:cs="Arial"/>
        </w:rPr>
      </w:pPr>
      <w:r w:rsidRPr="000B6AEB">
        <w:rPr>
          <w:rFonts w:ascii="Arial" w:hAnsi="Arial" w:cs="Arial"/>
        </w:rPr>
        <w:t>Facilitated Strategic Session outputs (October 2025)</w:t>
      </w:r>
    </w:p>
    <w:p w14:paraId="57BE0902" w14:textId="77777777" w:rsidR="00A7116A" w:rsidRPr="000B6AEB" w:rsidRDefault="00A7116A" w:rsidP="00A7116A">
      <w:pPr>
        <w:numPr>
          <w:ilvl w:val="0"/>
          <w:numId w:val="33"/>
        </w:numPr>
        <w:tabs>
          <w:tab w:val="clear" w:pos="720"/>
          <w:tab w:val="num" w:pos="1418"/>
        </w:tabs>
        <w:spacing w:before="58" w:after="58"/>
        <w:ind w:left="1418" w:hanging="709"/>
        <w:rPr>
          <w:rFonts w:ascii="Arial" w:hAnsi="Arial" w:cs="Arial"/>
        </w:rPr>
      </w:pPr>
      <w:r w:rsidRPr="000B6AEB">
        <w:rPr>
          <w:rFonts w:ascii="Arial" w:hAnsi="Arial" w:cs="Arial"/>
        </w:rPr>
        <w:t>Draft Five-Year Strategic Plan (by 15 November 2025)</w:t>
      </w:r>
    </w:p>
    <w:p w14:paraId="306C79A7" w14:textId="77777777" w:rsidR="00A7116A" w:rsidRPr="000B6AEB" w:rsidRDefault="00A7116A" w:rsidP="00A7116A">
      <w:pPr>
        <w:numPr>
          <w:ilvl w:val="0"/>
          <w:numId w:val="33"/>
        </w:numPr>
        <w:tabs>
          <w:tab w:val="clear" w:pos="720"/>
          <w:tab w:val="num" w:pos="1418"/>
        </w:tabs>
        <w:spacing w:before="58" w:after="58"/>
        <w:ind w:left="1418" w:hanging="709"/>
        <w:rPr>
          <w:rFonts w:ascii="Arial" w:hAnsi="Arial" w:cs="Arial"/>
        </w:rPr>
      </w:pPr>
      <w:r w:rsidRPr="000B6AEB">
        <w:rPr>
          <w:rFonts w:ascii="Arial" w:hAnsi="Arial" w:cs="Arial"/>
        </w:rPr>
        <w:t>Draft Corporate Plan (by 30 November 2025)</w:t>
      </w:r>
    </w:p>
    <w:p w14:paraId="4C83D309" w14:textId="77777777" w:rsidR="00A7116A" w:rsidRPr="000B6AEB" w:rsidRDefault="00A7116A" w:rsidP="00A7116A">
      <w:pPr>
        <w:numPr>
          <w:ilvl w:val="0"/>
          <w:numId w:val="33"/>
        </w:numPr>
        <w:tabs>
          <w:tab w:val="clear" w:pos="720"/>
          <w:tab w:val="num" w:pos="1418"/>
        </w:tabs>
        <w:spacing w:before="58" w:after="58"/>
        <w:ind w:left="1418" w:hanging="709"/>
        <w:rPr>
          <w:rFonts w:ascii="Arial" w:hAnsi="Arial" w:cs="Arial"/>
        </w:rPr>
      </w:pPr>
      <w:r w:rsidRPr="000B6AEB">
        <w:rPr>
          <w:rFonts w:ascii="Arial" w:hAnsi="Arial" w:cs="Arial"/>
        </w:rPr>
        <w:t>Final board-ready packages (by 15 January 2026)</w:t>
      </w:r>
    </w:p>
    <w:p w14:paraId="7843D22A" w14:textId="77777777" w:rsidR="00A7116A" w:rsidRPr="000B6AEB" w:rsidRDefault="00A7116A" w:rsidP="00A7116A">
      <w:pPr>
        <w:numPr>
          <w:ilvl w:val="0"/>
          <w:numId w:val="33"/>
        </w:numPr>
        <w:tabs>
          <w:tab w:val="clear" w:pos="720"/>
          <w:tab w:val="num" w:pos="1418"/>
        </w:tabs>
        <w:spacing w:before="58" w:after="58"/>
        <w:ind w:left="1418" w:hanging="709"/>
        <w:rPr>
          <w:rFonts w:ascii="Arial" w:hAnsi="Arial" w:cs="Arial"/>
        </w:rPr>
      </w:pPr>
      <w:r w:rsidRPr="000B6AEB">
        <w:rPr>
          <w:rFonts w:ascii="Arial" w:hAnsi="Arial" w:cs="Arial"/>
        </w:rPr>
        <w:t>Submission-ready documentation for DEE (by 10 February 2026)</w:t>
      </w:r>
    </w:p>
    <w:p w14:paraId="5CE2838D" w14:textId="77777777" w:rsidR="00A7116A" w:rsidRPr="000B6AEB" w:rsidRDefault="00A7116A" w:rsidP="00A7116A">
      <w:pPr>
        <w:numPr>
          <w:ilvl w:val="0"/>
          <w:numId w:val="33"/>
        </w:numPr>
        <w:tabs>
          <w:tab w:val="clear" w:pos="720"/>
          <w:tab w:val="num" w:pos="1418"/>
        </w:tabs>
        <w:spacing w:before="58" w:after="58"/>
        <w:ind w:left="1418" w:hanging="709"/>
        <w:rPr>
          <w:rFonts w:ascii="Arial" w:hAnsi="Arial" w:cs="Arial"/>
        </w:rPr>
      </w:pPr>
      <w:r w:rsidRPr="000B6AEB">
        <w:rPr>
          <w:rFonts w:ascii="Arial" w:hAnsi="Arial" w:cs="Arial"/>
        </w:rPr>
        <w:t>Implementation roadmap and internal capability-building report</w:t>
      </w:r>
    </w:p>
    <w:p w14:paraId="6FFD8BFC" w14:textId="78DDA072" w:rsidR="00EA1CA2" w:rsidRDefault="00A7116A" w:rsidP="00A7116A">
      <w:pPr>
        <w:spacing w:after="0" w:line="240" w:lineRule="auto"/>
        <w:rPr>
          <w:rFonts w:ascii="Arial" w:hAnsi="Arial" w:cs="Arial"/>
          <w:b/>
          <w:bCs/>
          <w:i/>
          <w:iCs/>
          <w:sz w:val="20"/>
          <w:szCs w:val="20"/>
        </w:rPr>
      </w:pPr>
      <w:r w:rsidRPr="000B6AEB">
        <w:rPr>
          <w:rFonts w:ascii="Arial" w:hAnsi="Arial" w:cs="Arial"/>
          <w:b/>
          <w:bCs/>
          <w:i/>
          <w:iCs/>
          <w:sz w:val="20"/>
          <w:szCs w:val="20"/>
        </w:rPr>
        <w:lastRenderedPageBreak/>
        <w:t>*Dates and timelines are subject to change by the Executive</w:t>
      </w:r>
    </w:p>
    <w:p w14:paraId="51955A2D" w14:textId="77777777" w:rsidR="00EC5E47" w:rsidRDefault="00EC5E47" w:rsidP="00A7116A">
      <w:pPr>
        <w:spacing w:after="0" w:line="240" w:lineRule="auto"/>
        <w:rPr>
          <w:rFonts w:ascii="Arial" w:hAnsi="Arial" w:cs="Arial"/>
          <w:b/>
          <w:bCs/>
          <w:i/>
          <w:iCs/>
          <w:sz w:val="20"/>
          <w:szCs w:val="20"/>
        </w:rPr>
      </w:pPr>
    </w:p>
    <w:p w14:paraId="53D0AA14" w14:textId="77777777" w:rsidR="00EC5E47" w:rsidRDefault="00EC5E47" w:rsidP="00A7116A">
      <w:pPr>
        <w:spacing w:after="0" w:line="240" w:lineRule="auto"/>
        <w:rPr>
          <w:rFonts w:eastAsia="Times New Roman" w:cstheme="minorHAnsi"/>
          <w:b/>
          <w:color w:val="000000"/>
          <w:w w:val="101"/>
          <w:sz w:val="24"/>
          <w:szCs w:val="24"/>
          <w:u w:val="single"/>
        </w:rPr>
      </w:pPr>
    </w:p>
    <w:p w14:paraId="6A8B7C64" w14:textId="77777777" w:rsidR="00EC5E47" w:rsidRPr="000B6AEB" w:rsidRDefault="00EC5E47" w:rsidP="00EC5E47">
      <w:pPr>
        <w:spacing w:before="58" w:after="58"/>
        <w:jc w:val="both"/>
        <w:rPr>
          <w:rFonts w:ascii="Arial" w:hAnsi="Arial" w:cs="Arial"/>
          <w:sz w:val="20"/>
          <w:szCs w:val="20"/>
        </w:rPr>
      </w:pPr>
    </w:p>
    <w:p w14:paraId="04300204" w14:textId="58E1D2C6" w:rsidR="00EC5E47" w:rsidRPr="000B6AEB" w:rsidRDefault="00511948" w:rsidP="00EC5E47">
      <w:pPr>
        <w:spacing w:before="58" w:after="58"/>
        <w:jc w:val="both"/>
        <w:rPr>
          <w:rFonts w:ascii="Arial" w:hAnsi="Arial" w:cs="Arial"/>
          <w:b/>
          <w:bCs/>
        </w:rPr>
      </w:pPr>
      <w:r>
        <w:rPr>
          <w:rFonts w:ascii="Arial" w:hAnsi="Arial" w:cs="Arial"/>
          <w:b/>
          <w:bCs/>
        </w:rPr>
        <w:t>4</w:t>
      </w:r>
      <w:r w:rsidR="00EC5E47" w:rsidRPr="000B6AEB">
        <w:rPr>
          <w:rFonts w:ascii="Arial" w:hAnsi="Arial" w:cs="Arial"/>
          <w:b/>
          <w:bCs/>
        </w:rPr>
        <w:t>.</w:t>
      </w:r>
      <w:r w:rsidR="00EC5E47" w:rsidRPr="000B6AEB">
        <w:rPr>
          <w:rFonts w:ascii="Arial" w:hAnsi="Arial" w:cs="Arial"/>
          <w:b/>
          <w:bCs/>
        </w:rPr>
        <w:tab/>
        <w:t xml:space="preserve">PROJECT </w:t>
      </w:r>
      <w:r w:rsidR="00232AC1" w:rsidRPr="000B6AEB">
        <w:rPr>
          <w:rFonts w:ascii="Arial" w:hAnsi="Arial" w:cs="Arial"/>
          <w:b/>
          <w:bCs/>
        </w:rPr>
        <w:t>TIMELINES</w:t>
      </w:r>
    </w:p>
    <w:p w14:paraId="40CA0654" w14:textId="77777777" w:rsidR="00EC5E47" w:rsidRDefault="00EC5E47" w:rsidP="00EC5E47">
      <w:pPr>
        <w:tabs>
          <w:tab w:val="left" w:pos="1800"/>
        </w:tabs>
        <w:spacing w:before="58" w:after="58"/>
        <w:jc w:val="both"/>
        <w:rPr>
          <w:rFonts w:ascii="Arial" w:hAnsi="Arial" w:cs="Arial"/>
          <w:b/>
          <w:bCs/>
          <w:sz w:val="20"/>
          <w:szCs w:val="20"/>
        </w:rPr>
      </w:pPr>
      <w:r w:rsidRPr="000B6AEB">
        <w:rPr>
          <w:rFonts w:ascii="Arial" w:hAnsi="Arial" w:cs="Arial"/>
          <w:b/>
          <w:bCs/>
          <w:sz w:val="20"/>
          <w:szCs w:val="20"/>
        </w:rPr>
        <w:tab/>
      </w:r>
    </w:p>
    <w:tbl>
      <w:tblPr>
        <w:tblStyle w:val="TableGrid"/>
        <w:tblW w:w="0" w:type="auto"/>
        <w:jc w:val="center"/>
        <w:tblLook w:val="04A0" w:firstRow="1" w:lastRow="0" w:firstColumn="1" w:lastColumn="0" w:noHBand="0" w:noVBand="1"/>
      </w:tblPr>
      <w:tblGrid>
        <w:gridCol w:w="4088"/>
        <w:gridCol w:w="2720"/>
      </w:tblGrid>
      <w:tr w:rsidR="00EC5E47" w14:paraId="3350CCA1" w14:textId="77777777" w:rsidTr="00EB3758">
        <w:trPr>
          <w:jc w:val="center"/>
        </w:trPr>
        <w:tc>
          <w:tcPr>
            <w:tcW w:w="4088" w:type="dxa"/>
            <w:vAlign w:val="center"/>
          </w:tcPr>
          <w:p w14:paraId="2161AB2B" w14:textId="77777777" w:rsidR="00EC5E47" w:rsidRDefault="00EC5E47" w:rsidP="00EB3758">
            <w:pPr>
              <w:tabs>
                <w:tab w:val="left" w:pos="1800"/>
              </w:tabs>
              <w:spacing w:before="58" w:after="58"/>
              <w:jc w:val="both"/>
              <w:rPr>
                <w:rFonts w:ascii="Arial" w:hAnsi="Arial" w:cs="Arial"/>
                <w:b/>
                <w:bCs/>
                <w:sz w:val="20"/>
                <w:szCs w:val="20"/>
              </w:rPr>
            </w:pPr>
            <w:r w:rsidRPr="000B6AEB">
              <w:rPr>
                <w:rFonts w:ascii="Arial" w:hAnsi="Arial" w:cs="Arial"/>
                <w:b/>
                <w:bCs/>
              </w:rPr>
              <w:t>Phase</w:t>
            </w:r>
          </w:p>
        </w:tc>
        <w:tc>
          <w:tcPr>
            <w:tcW w:w="2720" w:type="dxa"/>
            <w:vAlign w:val="center"/>
          </w:tcPr>
          <w:p w14:paraId="3AF0649E" w14:textId="77777777" w:rsidR="00EC5E47" w:rsidRDefault="00EC5E47" w:rsidP="00EB3758">
            <w:pPr>
              <w:tabs>
                <w:tab w:val="left" w:pos="1800"/>
              </w:tabs>
              <w:spacing w:before="58" w:after="58"/>
              <w:jc w:val="both"/>
              <w:rPr>
                <w:rFonts w:ascii="Arial" w:hAnsi="Arial" w:cs="Arial"/>
                <w:b/>
                <w:bCs/>
                <w:sz w:val="20"/>
                <w:szCs w:val="20"/>
              </w:rPr>
            </w:pPr>
            <w:r w:rsidRPr="000B6AEB">
              <w:rPr>
                <w:rFonts w:ascii="Arial" w:hAnsi="Arial" w:cs="Arial"/>
                <w:b/>
                <w:bCs/>
              </w:rPr>
              <w:t>Deadline</w:t>
            </w:r>
          </w:p>
        </w:tc>
      </w:tr>
      <w:tr w:rsidR="00EC5E47" w14:paraId="0E2F1441" w14:textId="77777777" w:rsidTr="00EB3758">
        <w:trPr>
          <w:jc w:val="center"/>
        </w:trPr>
        <w:tc>
          <w:tcPr>
            <w:tcW w:w="4088" w:type="dxa"/>
            <w:vAlign w:val="center"/>
          </w:tcPr>
          <w:p w14:paraId="3DC6FE0D" w14:textId="77777777" w:rsidR="00EC5E47" w:rsidRDefault="00EC5E47" w:rsidP="00EB3758">
            <w:pPr>
              <w:tabs>
                <w:tab w:val="left" w:pos="1800"/>
              </w:tabs>
              <w:spacing w:before="58" w:after="58"/>
              <w:jc w:val="both"/>
              <w:rPr>
                <w:rFonts w:ascii="Arial" w:hAnsi="Arial" w:cs="Arial"/>
                <w:b/>
                <w:bCs/>
                <w:sz w:val="20"/>
                <w:szCs w:val="20"/>
              </w:rPr>
            </w:pPr>
            <w:r w:rsidRPr="000B6AEB">
              <w:rPr>
                <w:rFonts w:ascii="Arial" w:hAnsi="Arial" w:cs="Arial"/>
              </w:rPr>
              <w:t>Project Mobilisation</w:t>
            </w:r>
          </w:p>
        </w:tc>
        <w:tc>
          <w:tcPr>
            <w:tcW w:w="2720" w:type="dxa"/>
            <w:vAlign w:val="center"/>
          </w:tcPr>
          <w:p w14:paraId="160D1018" w14:textId="19FA28CD" w:rsidR="00EC5E47" w:rsidRDefault="00EC5E47" w:rsidP="00EB3758">
            <w:pPr>
              <w:tabs>
                <w:tab w:val="left" w:pos="1800"/>
              </w:tabs>
              <w:spacing w:before="58" w:after="58"/>
              <w:jc w:val="both"/>
              <w:rPr>
                <w:rFonts w:ascii="Arial" w:hAnsi="Arial" w:cs="Arial"/>
                <w:b/>
                <w:bCs/>
                <w:sz w:val="20"/>
                <w:szCs w:val="20"/>
              </w:rPr>
            </w:pPr>
            <w:r w:rsidRPr="000B6AEB">
              <w:rPr>
                <w:rFonts w:ascii="Arial" w:hAnsi="Arial" w:cs="Arial"/>
              </w:rPr>
              <w:t xml:space="preserve"> August 2025</w:t>
            </w:r>
          </w:p>
        </w:tc>
      </w:tr>
      <w:tr w:rsidR="00EC5E47" w14:paraId="22BCA316" w14:textId="77777777" w:rsidTr="00EB3758">
        <w:trPr>
          <w:jc w:val="center"/>
        </w:trPr>
        <w:tc>
          <w:tcPr>
            <w:tcW w:w="4088" w:type="dxa"/>
            <w:vAlign w:val="center"/>
          </w:tcPr>
          <w:p w14:paraId="3F28C98B" w14:textId="77777777" w:rsidR="00EC5E47" w:rsidRDefault="00EC5E47" w:rsidP="00EB3758">
            <w:pPr>
              <w:tabs>
                <w:tab w:val="left" w:pos="1800"/>
              </w:tabs>
              <w:spacing w:before="58" w:after="58"/>
              <w:jc w:val="both"/>
              <w:rPr>
                <w:rFonts w:ascii="Arial" w:hAnsi="Arial" w:cs="Arial"/>
                <w:b/>
                <w:bCs/>
                <w:sz w:val="20"/>
                <w:szCs w:val="20"/>
              </w:rPr>
            </w:pPr>
            <w:r w:rsidRPr="000B6AEB">
              <w:rPr>
                <w:rFonts w:ascii="Arial" w:hAnsi="Arial" w:cs="Arial"/>
              </w:rPr>
              <w:t>Strategic Planning Sessions</w:t>
            </w:r>
          </w:p>
        </w:tc>
        <w:tc>
          <w:tcPr>
            <w:tcW w:w="2720" w:type="dxa"/>
            <w:vAlign w:val="center"/>
          </w:tcPr>
          <w:p w14:paraId="1AC8C1B9" w14:textId="77777777" w:rsidR="00EC5E47" w:rsidRDefault="00EC5E47" w:rsidP="00EB3758">
            <w:pPr>
              <w:tabs>
                <w:tab w:val="left" w:pos="1800"/>
              </w:tabs>
              <w:spacing w:before="58" w:after="58"/>
              <w:jc w:val="both"/>
              <w:rPr>
                <w:rFonts w:ascii="Arial" w:hAnsi="Arial" w:cs="Arial"/>
                <w:b/>
                <w:bCs/>
                <w:sz w:val="20"/>
                <w:szCs w:val="20"/>
              </w:rPr>
            </w:pPr>
            <w:r w:rsidRPr="000B6AEB">
              <w:rPr>
                <w:rFonts w:ascii="Arial" w:hAnsi="Arial" w:cs="Arial"/>
              </w:rPr>
              <w:t>October 2025</w:t>
            </w:r>
          </w:p>
        </w:tc>
      </w:tr>
      <w:tr w:rsidR="00EC5E47" w14:paraId="5CB7D8C1" w14:textId="77777777" w:rsidTr="00EB3758">
        <w:trPr>
          <w:jc w:val="center"/>
        </w:trPr>
        <w:tc>
          <w:tcPr>
            <w:tcW w:w="4088" w:type="dxa"/>
            <w:vAlign w:val="center"/>
          </w:tcPr>
          <w:p w14:paraId="39C94468" w14:textId="77777777" w:rsidR="00EC5E47" w:rsidRDefault="00EC5E47" w:rsidP="00EB3758">
            <w:pPr>
              <w:tabs>
                <w:tab w:val="left" w:pos="1800"/>
              </w:tabs>
              <w:spacing w:before="58" w:after="58"/>
              <w:jc w:val="both"/>
              <w:rPr>
                <w:rFonts w:ascii="Arial" w:hAnsi="Arial" w:cs="Arial"/>
                <w:b/>
                <w:bCs/>
                <w:sz w:val="20"/>
                <w:szCs w:val="20"/>
              </w:rPr>
            </w:pPr>
            <w:r w:rsidRPr="000B6AEB">
              <w:rPr>
                <w:rFonts w:ascii="Arial" w:hAnsi="Arial" w:cs="Arial"/>
              </w:rPr>
              <w:t>Draft Strategic and Corporate Plans</w:t>
            </w:r>
          </w:p>
        </w:tc>
        <w:tc>
          <w:tcPr>
            <w:tcW w:w="2720" w:type="dxa"/>
            <w:vAlign w:val="center"/>
          </w:tcPr>
          <w:p w14:paraId="79521335" w14:textId="77777777" w:rsidR="00EC5E47" w:rsidRDefault="00EC5E47" w:rsidP="00EB3758">
            <w:pPr>
              <w:tabs>
                <w:tab w:val="left" w:pos="1800"/>
              </w:tabs>
              <w:spacing w:before="58" w:after="58"/>
              <w:jc w:val="both"/>
              <w:rPr>
                <w:rFonts w:ascii="Arial" w:hAnsi="Arial" w:cs="Arial"/>
                <w:b/>
                <w:bCs/>
                <w:sz w:val="20"/>
                <w:szCs w:val="20"/>
              </w:rPr>
            </w:pPr>
            <w:r w:rsidRPr="000B6AEB">
              <w:rPr>
                <w:rFonts w:ascii="Arial" w:hAnsi="Arial" w:cs="Arial"/>
              </w:rPr>
              <w:t>15-30 November 2025</w:t>
            </w:r>
          </w:p>
        </w:tc>
      </w:tr>
      <w:tr w:rsidR="00EC5E47" w14:paraId="26C68897" w14:textId="77777777" w:rsidTr="00EB3758">
        <w:trPr>
          <w:jc w:val="center"/>
        </w:trPr>
        <w:tc>
          <w:tcPr>
            <w:tcW w:w="4088" w:type="dxa"/>
            <w:vAlign w:val="center"/>
          </w:tcPr>
          <w:p w14:paraId="140351BD" w14:textId="77777777" w:rsidR="00EC5E47" w:rsidRDefault="00EC5E47" w:rsidP="00EB3758">
            <w:pPr>
              <w:tabs>
                <w:tab w:val="left" w:pos="1800"/>
              </w:tabs>
              <w:spacing w:before="58" w:after="58"/>
              <w:jc w:val="both"/>
              <w:rPr>
                <w:rFonts w:ascii="Arial" w:hAnsi="Arial" w:cs="Arial"/>
                <w:b/>
                <w:bCs/>
                <w:sz w:val="20"/>
                <w:szCs w:val="20"/>
              </w:rPr>
            </w:pPr>
            <w:r w:rsidRPr="000B6AEB">
              <w:rPr>
                <w:rFonts w:ascii="Arial" w:hAnsi="Arial" w:cs="Arial"/>
              </w:rPr>
              <w:t>Final Board Approval</w:t>
            </w:r>
          </w:p>
        </w:tc>
        <w:tc>
          <w:tcPr>
            <w:tcW w:w="2720" w:type="dxa"/>
            <w:vAlign w:val="center"/>
          </w:tcPr>
          <w:p w14:paraId="5E63692B" w14:textId="77777777" w:rsidR="00EC5E47" w:rsidRDefault="00EC5E47" w:rsidP="00EB3758">
            <w:pPr>
              <w:tabs>
                <w:tab w:val="left" w:pos="1800"/>
              </w:tabs>
              <w:spacing w:before="58" w:after="58"/>
              <w:jc w:val="both"/>
              <w:rPr>
                <w:rFonts w:ascii="Arial" w:hAnsi="Arial" w:cs="Arial"/>
                <w:b/>
                <w:bCs/>
                <w:sz w:val="20"/>
                <w:szCs w:val="20"/>
              </w:rPr>
            </w:pPr>
            <w:r w:rsidRPr="000B6AEB">
              <w:rPr>
                <w:rFonts w:ascii="Arial" w:hAnsi="Arial" w:cs="Arial"/>
              </w:rPr>
              <w:t>January 2026</w:t>
            </w:r>
          </w:p>
        </w:tc>
      </w:tr>
      <w:tr w:rsidR="00EC5E47" w14:paraId="7F287F31" w14:textId="77777777" w:rsidTr="00EB3758">
        <w:trPr>
          <w:jc w:val="center"/>
        </w:trPr>
        <w:tc>
          <w:tcPr>
            <w:tcW w:w="4088" w:type="dxa"/>
            <w:vAlign w:val="center"/>
          </w:tcPr>
          <w:p w14:paraId="2972C6E6" w14:textId="77777777" w:rsidR="00EC5E47" w:rsidRDefault="00EC5E47" w:rsidP="00EB3758">
            <w:pPr>
              <w:tabs>
                <w:tab w:val="left" w:pos="1800"/>
              </w:tabs>
              <w:spacing w:before="58" w:after="58"/>
              <w:jc w:val="both"/>
              <w:rPr>
                <w:rFonts w:ascii="Arial" w:hAnsi="Arial" w:cs="Arial"/>
                <w:b/>
                <w:bCs/>
                <w:sz w:val="20"/>
                <w:szCs w:val="20"/>
              </w:rPr>
            </w:pPr>
            <w:r w:rsidRPr="000B6AEB">
              <w:rPr>
                <w:rFonts w:ascii="Arial" w:hAnsi="Arial" w:cs="Arial"/>
              </w:rPr>
              <w:t>Submission to DEE</w:t>
            </w:r>
          </w:p>
        </w:tc>
        <w:tc>
          <w:tcPr>
            <w:tcW w:w="2720" w:type="dxa"/>
            <w:vAlign w:val="center"/>
          </w:tcPr>
          <w:p w14:paraId="33452851" w14:textId="77777777" w:rsidR="00EC5E47" w:rsidRDefault="00EC5E47" w:rsidP="00EB3758">
            <w:pPr>
              <w:tabs>
                <w:tab w:val="left" w:pos="1800"/>
              </w:tabs>
              <w:spacing w:before="58" w:after="58"/>
              <w:jc w:val="both"/>
              <w:rPr>
                <w:rFonts w:ascii="Arial" w:hAnsi="Arial" w:cs="Arial"/>
                <w:b/>
                <w:bCs/>
                <w:sz w:val="20"/>
                <w:szCs w:val="20"/>
              </w:rPr>
            </w:pPr>
            <w:r w:rsidRPr="000B6AEB">
              <w:rPr>
                <w:rFonts w:ascii="Arial" w:hAnsi="Arial" w:cs="Arial"/>
              </w:rPr>
              <w:t>February 2026</w:t>
            </w:r>
          </w:p>
        </w:tc>
      </w:tr>
    </w:tbl>
    <w:p w14:paraId="4FA47DDA" w14:textId="77777777" w:rsidR="00EC5E47" w:rsidRDefault="00EC5E47" w:rsidP="00EC5E47">
      <w:pPr>
        <w:tabs>
          <w:tab w:val="left" w:pos="1800"/>
        </w:tabs>
        <w:spacing w:before="58" w:after="58"/>
        <w:jc w:val="both"/>
        <w:rPr>
          <w:rFonts w:ascii="Arial" w:hAnsi="Arial" w:cs="Arial"/>
          <w:b/>
          <w:bCs/>
          <w:sz w:val="20"/>
          <w:szCs w:val="20"/>
        </w:rPr>
      </w:pPr>
    </w:p>
    <w:p w14:paraId="747CE231" w14:textId="596867CD" w:rsidR="00EC5E47" w:rsidRPr="000B6AEB" w:rsidRDefault="00511948" w:rsidP="00EC5E47">
      <w:pPr>
        <w:spacing w:before="58" w:after="58"/>
        <w:ind w:left="709" w:hanging="709"/>
        <w:jc w:val="both"/>
        <w:rPr>
          <w:rFonts w:ascii="Arial" w:hAnsi="Arial" w:cs="Arial"/>
          <w:b/>
          <w:bCs/>
        </w:rPr>
      </w:pPr>
      <w:r>
        <w:rPr>
          <w:rFonts w:ascii="Arial" w:hAnsi="Arial" w:cs="Arial"/>
          <w:b/>
          <w:bCs/>
        </w:rPr>
        <w:t>5</w:t>
      </w:r>
      <w:r w:rsidR="00EC5E47" w:rsidRPr="000B6AEB">
        <w:rPr>
          <w:rFonts w:ascii="Arial" w:hAnsi="Arial" w:cs="Arial"/>
          <w:b/>
          <w:bCs/>
        </w:rPr>
        <w:t xml:space="preserve">. </w:t>
      </w:r>
      <w:r w:rsidR="00EC5E47">
        <w:rPr>
          <w:rFonts w:ascii="Arial" w:hAnsi="Arial" w:cs="Arial"/>
          <w:b/>
          <w:bCs/>
        </w:rPr>
        <w:tab/>
      </w:r>
      <w:r w:rsidR="00EC5E47" w:rsidRPr="000B6AEB">
        <w:rPr>
          <w:rFonts w:ascii="Arial" w:hAnsi="Arial" w:cs="Arial"/>
          <w:b/>
          <w:bCs/>
        </w:rPr>
        <w:t>LEGISLATIVE AND POLICY FRAMEWORKS</w:t>
      </w:r>
    </w:p>
    <w:p w14:paraId="75FE755F" w14:textId="77777777" w:rsidR="00EC5E47" w:rsidRPr="000B6AEB" w:rsidRDefault="00EC5E47" w:rsidP="00EC5E47">
      <w:pPr>
        <w:spacing w:before="58" w:after="58"/>
        <w:rPr>
          <w:rFonts w:ascii="Arial" w:hAnsi="Arial" w:cs="Arial"/>
        </w:rPr>
      </w:pPr>
    </w:p>
    <w:p w14:paraId="3DE9BC37" w14:textId="77777777" w:rsidR="00EC5E47" w:rsidRDefault="00EC5E47" w:rsidP="00EC5E47">
      <w:pPr>
        <w:spacing w:before="58" w:after="58"/>
        <w:ind w:left="709"/>
        <w:rPr>
          <w:rFonts w:ascii="Arial" w:hAnsi="Arial" w:cs="Arial"/>
        </w:rPr>
      </w:pPr>
      <w:r w:rsidRPr="000B6AEB">
        <w:rPr>
          <w:rFonts w:ascii="Arial" w:hAnsi="Arial" w:cs="Arial"/>
        </w:rPr>
        <w:t>The proposal and resulting deliverables must align with:</w:t>
      </w:r>
    </w:p>
    <w:p w14:paraId="4AE669D0" w14:textId="77777777" w:rsidR="00EC5E47" w:rsidRPr="000B6AEB" w:rsidRDefault="00EC5E47" w:rsidP="00EC5E47">
      <w:pPr>
        <w:spacing w:before="58" w:after="58"/>
        <w:ind w:firstLine="360"/>
        <w:rPr>
          <w:rFonts w:ascii="Arial" w:hAnsi="Arial" w:cs="Arial"/>
        </w:rPr>
      </w:pPr>
    </w:p>
    <w:p w14:paraId="0476369E" w14:textId="77777777" w:rsidR="00EC5E47" w:rsidRPr="000B6AEB" w:rsidRDefault="00EC5E47" w:rsidP="00EC5E47">
      <w:pPr>
        <w:numPr>
          <w:ilvl w:val="0"/>
          <w:numId w:val="34"/>
        </w:numPr>
        <w:tabs>
          <w:tab w:val="clear" w:pos="720"/>
        </w:tabs>
        <w:spacing w:before="58" w:after="58"/>
        <w:ind w:left="1418" w:hanging="709"/>
        <w:rPr>
          <w:rFonts w:ascii="Arial" w:hAnsi="Arial" w:cs="Arial"/>
        </w:rPr>
      </w:pPr>
      <w:r w:rsidRPr="000B6AEB">
        <w:rPr>
          <w:rFonts w:ascii="Arial" w:hAnsi="Arial" w:cs="Arial"/>
        </w:rPr>
        <w:t>Public Finance Management Act (PFMA), Act 1 of 1999 (Sections 52, 53 &amp; 55)</w:t>
      </w:r>
    </w:p>
    <w:p w14:paraId="461A0E02" w14:textId="77777777" w:rsidR="00EC5E47" w:rsidRPr="000B6AEB" w:rsidRDefault="00EC5E47" w:rsidP="00EC5E47">
      <w:pPr>
        <w:numPr>
          <w:ilvl w:val="0"/>
          <w:numId w:val="34"/>
        </w:numPr>
        <w:tabs>
          <w:tab w:val="clear" w:pos="720"/>
        </w:tabs>
        <w:spacing w:before="58" w:after="58"/>
        <w:ind w:left="1418" w:hanging="709"/>
        <w:rPr>
          <w:rFonts w:ascii="Arial" w:hAnsi="Arial" w:cs="Arial"/>
        </w:rPr>
      </w:pPr>
      <w:r w:rsidRPr="000B6AEB">
        <w:rPr>
          <w:rFonts w:ascii="Arial" w:hAnsi="Arial" w:cs="Arial"/>
        </w:rPr>
        <w:t>National Treasury Regulations (Chapter 5 &amp; 30)</w:t>
      </w:r>
    </w:p>
    <w:p w14:paraId="70984EEC" w14:textId="77777777" w:rsidR="00EC5E47" w:rsidRPr="000B6AEB" w:rsidRDefault="00EC5E47" w:rsidP="00EC5E47">
      <w:pPr>
        <w:numPr>
          <w:ilvl w:val="0"/>
          <w:numId w:val="34"/>
        </w:numPr>
        <w:tabs>
          <w:tab w:val="clear" w:pos="720"/>
        </w:tabs>
        <w:spacing w:before="58" w:after="58"/>
        <w:ind w:left="1418" w:hanging="709"/>
        <w:rPr>
          <w:rFonts w:ascii="Arial" w:hAnsi="Arial" w:cs="Arial"/>
        </w:rPr>
      </w:pPr>
      <w:r w:rsidRPr="000B6AEB">
        <w:rPr>
          <w:rFonts w:ascii="Arial" w:hAnsi="Arial" w:cs="Arial"/>
        </w:rPr>
        <w:t>Department of Planning, Monitoring and Evaluation (DPME) Revised Framework for Strategic Plans and APPs</w:t>
      </w:r>
    </w:p>
    <w:p w14:paraId="1E1898AA" w14:textId="77777777" w:rsidR="00EC5E47" w:rsidRPr="000B6AEB" w:rsidRDefault="00EC5E47" w:rsidP="00EC5E47">
      <w:pPr>
        <w:numPr>
          <w:ilvl w:val="0"/>
          <w:numId w:val="34"/>
        </w:numPr>
        <w:tabs>
          <w:tab w:val="clear" w:pos="720"/>
        </w:tabs>
        <w:spacing w:before="58" w:after="58"/>
        <w:ind w:left="1418" w:hanging="709"/>
        <w:rPr>
          <w:rFonts w:ascii="Arial" w:hAnsi="Arial" w:cs="Arial"/>
        </w:rPr>
      </w:pPr>
      <w:r w:rsidRPr="000B6AEB">
        <w:rPr>
          <w:rFonts w:ascii="Arial" w:hAnsi="Arial" w:cs="Arial"/>
        </w:rPr>
        <w:t>National Development Plan (NDP) and MTSF priorities</w:t>
      </w:r>
    </w:p>
    <w:p w14:paraId="30A57F03" w14:textId="77777777" w:rsidR="00EC5E47" w:rsidRPr="000B6AEB" w:rsidRDefault="00EC5E47" w:rsidP="00EC5E47">
      <w:pPr>
        <w:numPr>
          <w:ilvl w:val="0"/>
          <w:numId w:val="34"/>
        </w:numPr>
        <w:tabs>
          <w:tab w:val="clear" w:pos="720"/>
        </w:tabs>
        <w:spacing w:before="58" w:after="58"/>
        <w:ind w:left="1418" w:hanging="709"/>
        <w:rPr>
          <w:rFonts w:ascii="Arial" w:hAnsi="Arial" w:cs="Arial"/>
        </w:rPr>
      </w:pPr>
      <w:r w:rsidRPr="000B6AEB">
        <w:rPr>
          <w:rFonts w:ascii="Arial" w:hAnsi="Arial" w:cs="Arial"/>
        </w:rPr>
        <w:t>King IV Corporate Governance for SOEs</w:t>
      </w:r>
    </w:p>
    <w:p w14:paraId="580653FB" w14:textId="77777777" w:rsidR="00EC5E47" w:rsidRDefault="00EC5E47" w:rsidP="00EC5E47">
      <w:pPr>
        <w:numPr>
          <w:ilvl w:val="0"/>
          <w:numId w:val="34"/>
        </w:numPr>
        <w:tabs>
          <w:tab w:val="clear" w:pos="720"/>
        </w:tabs>
        <w:spacing w:before="58" w:after="58"/>
        <w:ind w:left="1418" w:hanging="709"/>
        <w:rPr>
          <w:rFonts w:ascii="Arial" w:hAnsi="Arial" w:cs="Arial"/>
        </w:rPr>
      </w:pPr>
      <w:r w:rsidRPr="000B6AEB">
        <w:rPr>
          <w:rFonts w:ascii="Arial" w:hAnsi="Arial" w:cs="Arial"/>
        </w:rPr>
        <w:t>Nuclear Energy Act, No. 46 of 1999 (Necsa mandate)</w:t>
      </w:r>
    </w:p>
    <w:p w14:paraId="05D09F60" w14:textId="77777777" w:rsidR="00EC5E47" w:rsidRPr="000B6AEB" w:rsidRDefault="00EC5E47" w:rsidP="00EC5E47">
      <w:pPr>
        <w:spacing w:before="58" w:after="58"/>
        <w:ind w:left="1418"/>
        <w:rPr>
          <w:rFonts w:ascii="Arial" w:hAnsi="Arial" w:cs="Arial"/>
        </w:rPr>
      </w:pPr>
    </w:p>
    <w:p w14:paraId="2F7EDB86" w14:textId="77777777" w:rsidR="00EC5E47" w:rsidRPr="000B6AEB" w:rsidRDefault="00EC5E47" w:rsidP="00EC5E47">
      <w:pPr>
        <w:spacing w:before="58" w:after="58"/>
        <w:rPr>
          <w:rFonts w:ascii="Arial" w:hAnsi="Arial" w:cs="Arial"/>
        </w:rPr>
      </w:pPr>
    </w:p>
    <w:p w14:paraId="30B87F9E" w14:textId="13742287" w:rsidR="00EC5E47" w:rsidRPr="000B6AEB" w:rsidRDefault="00511948" w:rsidP="00EC5E47">
      <w:pPr>
        <w:spacing w:before="58" w:after="58"/>
        <w:ind w:left="709" w:hanging="709"/>
        <w:jc w:val="both"/>
        <w:rPr>
          <w:rFonts w:ascii="Arial" w:hAnsi="Arial" w:cs="Arial"/>
          <w:b/>
          <w:bCs/>
        </w:rPr>
      </w:pPr>
      <w:r>
        <w:rPr>
          <w:rFonts w:ascii="Arial" w:hAnsi="Arial" w:cs="Arial"/>
          <w:b/>
          <w:bCs/>
        </w:rPr>
        <w:t>6</w:t>
      </w:r>
      <w:r w:rsidR="00EC5E47" w:rsidRPr="000B6AEB">
        <w:rPr>
          <w:rFonts w:ascii="Arial" w:hAnsi="Arial" w:cs="Arial"/>
          <w:b/>
          <w:bCs/>
        </w:rPr>
        <w:t xml:space="preserve">. </w:t>
      </w:r>
      <w:r w:rsidR="00EC5E47">
        <w:rPr>
          <w:rFonts w:ascii="Arial" w:hAnsi="Arial" w:cs="Arial"/>
          <w:b/>
          <w:bCs/>
        </w:rPr>
        <w:tab/>
      </w:r>
      <w:r w:rsidR="00EC5E47" w:rsidRPr="000B6AEB">
        <w:rPr>
          <w:rFonts w:ascii="Arial" w:hAnsi="Arial" w:cs="Arial"/>
          <w:b/>
          <w:bCs/>
        </w:rPr>
        <w:t>EVALUATION CRITERIA</w:t>
      </w:r>
    </w:p>
    <w:p w14:paraId="1C9BBE4B" w14:textId="15758767" w:rsidR="008260B3" w:rsidRPr="000B6AEB" w:rsidRDefault="008260B3" w:rsidP="008260B3">
      <w:pPr>
        <w:spacing w:before="58" w:after="58"/>
        <w:ind w:firstLine="709"/>
        <w:rPr>
          <w:rFonts w:ascii="Arial" w:hAnsi="Arial" w:cs="Arial"/>
        </w:rPr>
      </w:pPr>
      <w:r w:rsidRPr="000B6AEB">
        <w:rPr>
          <w:rFonts w:ascii="Arial" w:hAnsi="Arial" w:cs="Arial"/>
          <w:b/>
          <w:bCs/>
        </w:rPr>
        <w:t xml:space="preserve">Functionality </w:t>
      </w:r>
    </w:p>
    <w:p w14:paraId="1DDFF9B9" w14:textId="77777777" w:rsidR="008260B3" w:rsidRPr="000B6AEB" w:rsidRDefault="008260B3" w:rsidP="008260B3">
      <w:pPr>
        <w:numPr>
          <w:ilvl w:val="0"/>
          <w:numId w:val="35"/>
        </w:numPr>
        <w:tabs>
          <w:tab w:val="clear" w:pos="720"/>
        </w:tabs>
        <w:spacing w:before="58" w:after="58"/>
        <w:ind w:left="1418" w:hanging="709"/>
        <w:rPr>
          <w:rFonts w:ascii="Arial" w:hAnsi="Arial" w:cs="Arial"/>
        </w:rPr>
      </w:pPr>
      <w:r w:rsidRPr="000B6AEB">
        <w:rPr>
          <w:rFonts w:ascii="Arial" w:hAnsi="Arial" w:cs="Arial"/>
        </w:rPr>
        <w:t>Understanding of PFMA, DPME, and Treasury frameworks</w:t>
      </w:r>
    </w:p>
    <w:p w14:paraId="347BE3B5" w14:textId="77777777" w:rsidR="008260B3" w:rsidRPr="000B6AEB" w:rsidRDefault="008260B3" w:rsidP="008260B3">
      <w:pPr>
        <w:numPr>
          <w:ilvl w:val="0"/>
          <w:numId w:val="35"/>
        </w:numPr>
        <w:tabs>
          <w:tab w:val="clear" w:pos="720"/>
        </w:tabs>
        <w:spacing w:before="58" w:after="58"/>
        <w:ind w:left="1418" w:hanging="709"/>
        <w:rPr>
          <w:rFonts w:ascii="Arial" w:hAnsi="Arial" w:cs="Arial"/>
        </w:rPr>
      </w:pPr>
      <w:r w:rsidRPr="000B6AEB">
        <w:rPr>
          <w:rFonts w:ascii="Arial" w:hAnsi="Arial" w:cs="Arial"/>
        </w:rPr>
        <w:t>Methodology and project plan</w:t>
      </w:r>
    </w:p>
    <w:p w14:paraId="0FDB64C2" w14:textId="77777777" w:rsidR="008260B3" w:rsidRPr="000B6AEB" w:rsidRDefault="008260B3" w:rsidP="008260B3">
      <w:pPr>
        <w:numPr>
          <w:ilvl w:val="0"/>
          <w:numId w:val="35"/>
        </w:numPr>
        <w:tabs>
          <w:tab w:val="clear" w:pos="720"/>
        </w:tabs>
        <w:spacing w:before="58" w:after="58"/>
        <w:ind w:left="1418" w:hanging="709"/>
        <w:rPr>
          <w:rFonts w:ascii="Arial" w:hAnsi="Arial" w:cs="Arial"/>
        </w:rPr>
      </w:pPr>
      <w:r w:rsidRPr="000B6AEB">
        <w:rPr>
          <w:rFonts w:ascii="Arial" w:hAnsi="Arial" w:cs="Arial"/>
        </w:rPr>
        <w:t>Relevant experience in SOE strategic planning</w:t>
      </w:r>
    </w:p>
    <w:p w14:paraId="6EB51D52" w14:textId="77777777" w:rsidR="008260B3" w:rsidRPr="000B6AEB" w:rsidRDefault="008260B3" w:rsidP="008260B3">
      <w:pPr>
        <w:numPr>
          <w:ilvl w:val="0"/>
          <w:numId w:val="35"/>
        </w:numPr>
        <w:tabs>
          <w:tab w:val="clear" w:pos="720"/>
        </w:tabs>
        <w:spacing w:before="58" w:after="58"/>
        <w:ind w:left="1418" w:hanging="709"/>
        <w:rPr>
          <w:rFonts w:ascii="Arial" w:hAnsi="Arial" w:cs="Arial"/>
        </w:rPr>
      </w:pPr>
      <w:r w:rsidRPr="000B6AEB">
        <w:rPr>
          <w:rFonts w:ascii="Arial" w:hAnsi="Arial" w:cs="Arial"/>
        </w:rPr>
        <w:t>Qualifications of proposed team</w:t>
      </w:r>
    </w:p>
    <w:p w14:paraId="3532D17E" w14:textId="77777777" w:rsidR="008260B3" w:rsidRDefault="008260B3" w:rsidP="008260B3">
      <w:pPr>
        <w:spacing w:before="58" w:after="58"/>
        <w:rPr>
          <w:rFonts w:ascii="Arial" w:hAnsi="Arial" w:cs="Arial"/>
          <w:b/>
          <w:bCs/>
        </w:rPr>
      </w:pPr>
    </w:p>
    <w:p w14:paraId="5BB4F746" w14:textId="3FFE6F10" w:rsidR="008260B3" w:rsidRPr="000B6AEB" w:rsidRDefault="008260B3" w:rsidP="008260B3">
      <w:pPr>
        <w:spacing w:before="58" w:after="58"/>
        <w:ind w:left="709" w:hanging="709"/>
        <w:jc w:val="both"/>
        <w:rPr>
          <w:rFonts w:ascii="Arial" w:hAnsi="Arial" w:cs="Arial"/>
          <w:b/>
          <w:bCs/>
        </w:rPr>
      </w:pPr>
      <w:r>
        <w:rPr>
          <w:rFonts w:ascii="Arial" w:hAnsi="Arial" w:cs="Arial"/>
          <w:b/>
          <w:bCs/>
        </w:rPr>
        <w:t xml:space="preserve">7. </w:t>
      </w:r>
      <w:r>
        <w:rPr>
          <w:rFonts w:ascii="Arial" w:hAnsi="Arial" w:cs="Arial"/>
          <w:b/>
          <w:bCs/>
        </w:rPr>
        <w:tab/>
      </w:r>
      <w:r w:rsidRPr="000B6AEB">
        <w:rPr>
          <w:rFonts w:ascii="Arial" w:hAnsi="Arial" w:cs="Arial"/>
          <w:b/>
          <w:bCs/>
        </w:rPr>
        <w:t>SUBMISSION REQUIREMENTS</w:t>
      </w:r>
    </w:p>
    <w:p w14:paraId="487F11E5" w14:textId="77777777" w:rsidR="008260B3" w:rsidRPr="000B6AEB" w:rsidRDefault="008260B3" w:rsidP="008260B3">
      <w:pPr>
        <w:spacing w:before="58" w:after="58"/>
        <w:rPr>
          <w:rFonts w:ascii="Arial" w:hAnsi="Arial" w:cs="Arial"/>
        </w:rPr>
      </w:pPr>
    </w:p>
    <w:p w14:paraId="4DDE5362" w14:textId="77777777" w:rsidR="008260B3" w:rsidRDefault="008260B3" w:rsidP="008260B3">
      <w:pPr>
        <w:spacing w:before="58" w:after="58"/>
        <w:ind w:firstLine="709"/>
        <w:rPr>
          <w:rFonts w:ascii="Arial" w:hAnsi="Arial" w:cs="Arial"/>
        </w:rPr>
      </w:pPr>
      <w:r w:rsidRPr="000B6AEB">
        <w:rPr>
          <w:rFonts w:ascii="Arial" w:hAnsi="Arial" w:cs="Arial"/>
        </w:rPr>
        <w:t>Interested service providers must submit:</w:t>
      </w:r>
    </w:p>
    <w:p w14:paraId="6531C498" w14:textId="77777777" w:rsidR="008260B3" w:rsidRPr="000B6AEB" w:rsidRDefault="008260B3" w:rsidP="008260B3">
      <w:pPr>
        <w:spacing w:before="58" w:after="58"/>
        <w:rPr>
          <w:rFonts w:ascii="Arial" w:hAnsi="Arial" w:cs="Arial"/>
        </w:rPr>
      </w:pPr>
    </w:p>
    <w:p w14:paraId="414FEDEF" w14:textId="77777777" w:rsidR="008260B3" w:rsidRPr="000B6AEB" w:rsidRDefault="008260B3" w:rsidP="008260B3">
      <w:pPr>
        <w:numPr>
          <w:ilvl w:val="0"/>
          <w:numId w:val="37"/>
        </w:numPr>
        <w:tabs>
          <w:tab w:val="clear" w:pos="720"/>
        </w:tabs>
        <w:spacing w:before="58" w:after="58"/>
        <w:ind w:left="1418" w:hanging="709"/>
        <w:rPr>
          <w:rFonts w:ascii="Arial" w:hAnsi="Arial" w:cs="Arial"/>
        </w:rPr>
      </w:pPr>
      <w:r w:rsidRPr="000B6AEB">
        <w:rPr>
          <w:rFonts w:ascii="Arial" w:hAnsi="Arial" w:cs="Arial"/>
        </w:rPr>
        <w:t>Detailed proposal and methodology</w:t>
      </w:r>
    </w:p>
    <w:p w14:paraId="3267C730" w14:textId="77777777" w:rsidR="008260B3" w:rsidRPr="000B6AEB" w:rsidRDefault="008260B3" w:rsidP="008260B3">
      <w:pPr>
        <w:numPr>
          <w:ilvl w:val="0"/>
          <w:numId w:val="37"/>
        </w:numPr>
        <w:tabs>
          <w:tab w:val="clear" w:pos="720"/>
        </w:tabs>
        <w:spacing w:before="58" w:after="58"/>
        <w:ind w:left="1418" w:hanging="709"/>
        <w:rPr>
          <w:rFonts w:ascii="Arial" w:hAnsi="Arial" w:cs="Arial"/>
        </w:rPr>
      </w:pPr>
      <w:r w:rsidRPr="000B6AEB">
        <w:rPr>
          <w:rFonts w:ascii="Arial" w:hAnsi="Arial" w:cs="Arial"/>
        </w:rPr>
        <w:t>Proposed project plan with deliverables and timeline</w:t>
      </w:r>
    </w:p>
    <w:p w14:paraId="52513C5A" w14:textId="77777777" w:rsidR="008260B3" w:rsidRPr="000B6AEB" w:rsidRDefault="008260B3" w:rsidP="008260B3">
      <w:pPr>
        <w:numPr>
          <w:ilvl w:val="0"/>
          <w:numId w:val="37"/>
        </w:numPr>
        <w:tabs>
          <w:tab w:val="clear" w:pos="720"/>
        </w:tabs>
        <w:spacing w:before="58" w:after="58"/>
        <w:ind w:left="1418" w:hanging="709"/>
        <w:rPr>
          <w:rFonts w:ascii="Arial" w:hAnsi="Arial" w:cs="Arial"/>
        </w:rPr>
      </w:pPr>
      <w:r w:rsidRPr="000B6AEB">
        <w:rPr>
          <w:rFonts w:ascii="Arial" w:hAnsi="Arial" w:cs="Arial"/>
        </w:rPr>
        <w:t>Team CVs and roles</w:t>
      </w:r>
    </w:p>
    <w:p w14:paraId="3B319773" w14:textId="39AC82FC" w:rsidR="008260B3" w:rsidRDefault="008260B3" w:rsidP="003D6A7D">
      <w:pPr>
        <w:numPr>
          <w:ilvl w:val="0"/>
          <w:numId w:val="37"/>
        </w:numPr>
        <w:tabs>
          <w:tab w:val="clear" w:pos="720"/>
        </w:tabs>
        <w:spacing w:before="58" w:after="58"/>
        <w:ind w:left="1418" w:hanging="709"/>
        <w:rPr>
          <w:rFonts w:ascii="Arial" w:hAnsi="Arial" w:cs="Arial"/>
        </w:rPr>
      </w:pPr>
      <w:r w:rsidRPr="000B6AEB">
        <w:rPr>
          <w:rFonts w:ascii="Arial" w:hAnsi="Arial" w:cs="Arial"/>
        </w:rPr>
        <w:t>Company profile and track record with similar clients</w:t>
      </w:r>
    </w:p>
    <w:p w14:paraId="10AEE6B1" w14:textId="27B57F6C" w:rsidR="003D6A7D" w:rsidRPr="003D6A7D" w:rsidRDefault="003D6A7D" w:rsidP="003D6A7D">
      <w:pPr>
        <w:numPr>
          <w:ilvl w:val="0"/>
          <w:numId w:val="37"/>
        </w:numPr>
        <w:tabs>
          <w:tab w:val="clear" w:pos="720"/>
        </w:tabs>
        <w:spacing w:before="58" w:after="58"/>
        <w:ind w:left="1418" w:hanging="709"/>
        <w:rPr>
          <w:rFonts w:ascii="Arial" w:hAnsi="Arial" w:cs="Arial"/>
        </w:rPr>
      </w:pPr>
      <w:r>
        <w:rPr>
          <w:rFonts w:ascii="Arial" w:hAnsi="Arial" w:cs="Arial"/>
        </w:rPr>
        <w:t>References /list</w:t>
      </w:r>
    </w:p>
    <w:p w14:paraId="788BFCD4" w14:textId="77777777" w:rsidR="008260B3" w:rsidRPr="000B6AEB" w:rsidRDefault="008260B3" w:rsidP="008260B3">
      <w:pPr>
        <w:numPr>
          <w:ilvl w:val="0"/>
          <w:numId w:val="37"/>
        </w:numPr>
        <w:tabs>
          <w:tab w:val="clear" w:pos="720"/>
        </w:tabs>
        <w:spacing w:before="58" w:after="58"/>
        <w:ind w:left="1418" w:hanging="709"/>
        <w:rPr>
          <w:rFonts w:ascii="Arial" w:hAnsi="Arial" w:cs="Arial"/>
        </w:rPr>
      </w:pPr>
      <w:r w:rsidRPr="000B6AEB">
        <w:rPr>
          <w:rFonts w:ascii="Arial" w:hAnsi="Arial" w:cs="Arial"/>
        </w:rPr>
        <w:t>B-BBEE certificate</w:t>
      </w:r>
    </w:p>
    <w:p w14:paraId="2D6F39FE" w14:textId="77777777" w:rsidR="008260B3" w:rsidRPr="000B6AEB" w:rsidRDefault="008260B3" w:rsidP="008260B3">
      <w:pPr>
        <w:numPr>
          <w:ilvl w:val="0"/>
          <w:numId w:val="37"/>
        </w:numPr>
        <w:tabs>
          <w:tab w:val="clear" w:pos="720"/>
        </w:tabs>
        <w:spacing w:before="58" w:after="58"/>
        <w:ind w:left="1418" w:hanging="709"/>
        <w:rPr>
          <w:rFonts w:ascii="Arial" w:hAnsi="Arial" w:cs="Arial"/>
        </w:rPr>
      </w:pPr>
      <w:r w:rsidRPr="000B6AEB">
        <w:rPr>
          <w:rFonts w:ascii="Arial" w:hAnsi="Arial" w:cs="Arial"/>
        </w:rPr>
        <w:t>Valid CSD registration</w:t>
      </w:r>
    </w:p>
    <w:p w14:paraId="1F108B2F" w14:textId="77777777" w:rsidR="008260B3" w:rsidRPr="000B6AEB" w:rsidRDefault="008260B3" w:rsidP="008260B3">
      <w:pPr>
        <w:numPr>
          <w:ilvl w:val="0"/>
          <w:numId w:val="37"/>
        </w:numPr>
        <w:tabs>
          <w:tab w:val="clear" w:pos="720"/>
        </w:tabs>
        <w:spacing w:before="58" w:after="58"/>
        <w:ind w:left="1418" w:hanging="709"/>
        <w:rPr>
          <w:rFonts w:ascii="Arial" w:hAnsi="Arial" w:cs="Arial"/>
        </w:rPr>
      </w:pPr>
      <w:r w:rsidRPr="000B6AEB">
        <w:rPr>
          <w:rFonts w:ascii="Arial" w:hAnsi="Arial" w:cs="Arial"/>
        </w:rPr>
        <w:t>SARS Tax Compliance PIN</w:t>
      </w:r>
    </w:p>
    <w:p w14:paraId="23EE9A56" w14:textId="4A4977D9" w:rsidR="00866426" w:rsidRPr="007501C3" w:rsidRDefault="008260B3" w:rsidP="007501C3">
      <w:pPr>
        <w:numPr>
          <w:ilvl w:val="0"/>
          <w:numId w:val="37"/>
        </w:numPr>
        <w:tabs>
          <w:tab w:val="clear" w:pos="720"/>
        </w:tabs>
        <w:spacing w:before="58" w:after="58"/>
        <w:ind w:left="1418" w:hanging="709"/>
        <w:rPr>
          <w:rFonts w:ascii="Arial" w:hAnsi="Arial" w:cs="Arial"/>
        </w:rPr>
      </w:pPr>
      <w:r w:rsidRPr="000B6AEB">
        <w:rPr>
          <w:rFonts w:ascii="Arial" w:hAnsi="Arial" w:cs="Arial"/>
        </w:rPr>
        <w:t>Pricing schedule (inclusive of</w:t>
      </w:r>
      <w:r w:rsidR="003D6A7D">
        <w:rPr>
          <w:rFonts w:ascii="Arial" w:hAnsi="Arial" w:cs="Arial"/>
        </w:rPr>
        <w:t xml:space="preserve"> all applicable taxes</w:t>
      </w:r>
      <w:r w:rsidRPr="000B6AEB">
        <w:rPr>
          <w:rFonts w:ascii="Arial" w:hAnsi="Arial" w:cs="Arial"/>
        </w:rPr>
        <w:t>)</w:t>
      </w:r>
    </w:p>
    <w:p w14:paraId="5A4F51B2" w14:textId="77777777" w:rsidR="00866426" w:rsidRPr="000B6AEB" w:rsidRDefault="00866426" w:rsidP="00866426">
      <w:pPr>
        <w:spacing w:before="58" w:after="58"/>
        <w:rPr>
          <w:rFonts w:ascii="Arial" w:hAnsi="Arial" w:cs="Arial"/>
        </w:rPr>
      </w:pPr>
    </w:p>
    <w:p w14:paraId="10DBDF22" w14:textId="77777777" w:rsidR="003B5BB2" w:rsidRPr="00644904" w:rsidRDefault="003B5BB2" w:rsidP="00644904">
      <w:pPr>
        <w:widowControl w:val="0"/>
        <w:tabs>
          <w:tab w:val="left" w:pos="2268"/>
        </w:tabs>
        <w:autoSpaceDE w:val="0"/>
        <w:autoSpaceDN w:val="0"/>
        <w:adjustRightInd w:val="0"/>
        <w:spacing w:after="0"/>
        <w:jc w:val="both"/>
        <w:rPr>
          <w:rFonts w:eastAsia="Times New Roman" w:cstheme="minorHAnsi"/>
          <w:b/>
          <w:color w:val="000000"/>
          <w:w w:val="101"/>
          <w:sz w:val="24"/>
          <w:szCs w:val="24"/>
          <w:u w:val="single"/>
        </w:rPr>
      </w:pPr>
    </w:p>
    <w:p w14:paraId="5E0BDFD6" w14:textId="1B2C3D8F" w:rsidR="00155894" w:rsidRPr="00C77E55" w:rsidRDefault="008260B3" w:rsidP="00C77E55">
      <w:pPr>
        <w:shd w:val="clear" w:color="auto" w:fill="FFFFFF"/>
        <w:spacing w:after="0" w:line="240" w:lineRule="auto"/>
        <w:rPr>
          <w:rFonts w:eastAsia="Times New Roman" w:cstheme="minorHAnsi"/>
          <w:color w:val="000000"/>
          <w:sz w:val="20"/>
        </w:rPr>
      </w:pPr>
      <w:r>
        <w:rPr>
          <w:rFonts w:eastAsia="Times New Roman" w:cstheme="minorHAnsi"/>
          <w:color w:val="000000"/>
        </w:rPr>
        <w:t>8</w:t>
      </w:r>
      <w:r w:rsidR="00C77E55" w:rsidRPr="00C77E55">
        <w:rPr>
          <w:rFonts w:eastAsia="Times New Roman" w:cstheme="minorHAnsi"/>
          <w:color w:val="000000"/>
          <w:sz w:val="20"/>
        </w:rPr>
        <w:t>.</w:t>
      </w:r>
      <w:r w:rsidR="00C77E55">
        <w:rPr>
          <w:rFonts w:eastAsia="Times New Roman" w:cstheme="minorHAnsi"/>
          <w:color w:val="000000"/>
          <w:sz w:val="20"/>
        </w:rPr>
        <w:t xml:space="preserve"> </w:t>
      </w:r>
      <w:r w:rsidR="00F9542C" w:rsidRPr="00C77E55">
        <w:rPr>
          <w:rFonts w:eastAsia="Times New Roman" w:cstheme="minorHAnsi"/>
          <w:color w:val="000000"/>
          <w:sz w:val="20"/>
        </w:rPr>
        <w:t> </w:t>
      </w:r>
      <w:r w:rsidR="005E29D2">
        <w:rPr>
          <w:rFonts w:eastAsia="Times New Roman" w:cstheme="minorHAnsi"/>
          <w:color w:val="000000"/>
          <w:sz w:val="20"/>
        </w:rPr>
        <w:t xml:space="preserve">         </w:t>
      </w:r>
      <w:r w:rsidR="00155894" w:rsidRPr="00C77E55">
        <w:rPr>
          <w:rFonts w:eastAsia="Times New Roman" w:cstheme="minorHAnsi"/>
          <w:b/>
          <w:color w:val="000000"/>
          <w:w w:val="101"/>
          <w:sz w:val="24"/>
          <w:szCs w:val="24"/>
          <w:u w:val="single"/>
        </w:rPr>
        <w:t>Pricing</w:t>
      </w:r>
    </w:p>
    <w:p w14:paraId="0896EF56" w14:textId="77777777" w:rsidR="00155894" w:rsidRPr="00A44540" w:rsidRDefault="00155894" w:rsidP="001A799E">
      <w:pPr>
        <w:widowControl w:val="0"/>
        <w:tabs>
          <w:tab w:val="left" w:pos="2552"/>
        </w:tabs>
        <w:autoSpaceDE w:val="0"/>
        <w:autoSpaceDN w:val="0"/>
        <w:adjustRightInd w:val="0"/>
        <w:spacing w:after="0"/>
        <w:jc w:val="both"/>
        <w:rPr>
          <w:rFonts w:eastAsia="Times New Roman" w:cstheme="minorHAnsi"/>
          <w:b/>
          <w:color w:val="000000"/>
          <w:w w:val="101"/>
        </w:rPr>
      </w:pPr>
    </w:p>
    <w:p w14:paraId="21685A82" w14:textId="77777777" w:rsidR="00514AE5" w:rsidRPr="00A44540" w:rsidRDefault="003B5BB2"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rPr>
      </w:pPr>
      <w:r>
        <w:rPr>
          <w:rFonts w:eastAsia="Times New Roman" w:cstheme="minorHAnsi"/>
          <w:color w:val="000000"/>
          <w:w w:val="105"/>
        </w:rPr>
        <w:t>All price quoted</w:t>
      </w:r>
      <w:r w:rsidR="006346AD">
        <w:rPr>
          <w:rFonts w:eastAsia="Times New Roman" w:cstheme="minorHAnsi"/>
          <w:color w:val="000000"/>
          <w:w w:val="105"/>
        </w:rPr>
        <w:t xml:space="preserve"> </w:t>
      </w:r>
      <w:r>
        <w:rPr>
          <w:rFonts w:eastAsia="Times New Roman" w:cstheme="minorHAnsi"/>
          <w:color w:val="000000"/>
          <w:w w:val="105"/>
        </w:rPr>
        <w:t>to include all applicable taxes.</w:t>
      </w:r>
      <w:r w:rsidR="00514AE5" w:rsidRPr="00A44540">
        <w:rPr>
          <w:rFonts w:eastAsia="Times New Roman" w:cstheme="minorHAnsi"/>
          <w:color w:val="000000"/>
          <w:w w:val="105"/>
        </w:rPr>
        <w:t xml:space="preserve"> </w:t>
      </w:r>
    </w:p>
    <w:p w14:paraId="3B6503C5" w14:textId="77777777" w:rsidR="00514AE5" w:rsidRPr="00A44540" w:rsidRDefault="00514AE5"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rPr>
      </w:pPr>
      <w:r w:rsidRPr="00A44540">
        <w:rPr>
          <w:rFonts w:eastAsia="Times New Roman" w:cstheme="minorHAnsi"/>
          <w:color w:val="000000"/>
          <w:w w:val="105"/>
        </w:rPr>
        <w:t>Price must be fixed and firm</w:t>
      </w:r>
    </w:p>
    <w:p w14:paraId="2D4E6E8A" w14:textId="77777777" w:rsidR="00514AE5" w:rsidRDefault="00514AE5"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rPr>
      </w:pPr>
      <w:r w:rsidRPr="00A44540">
        <w:rPr>
          <w:rFonts w:eastAsia="Times New Roman" w:cstheme="minorHAnsi"/>
          <w:color w:val="000000"/>
          <w:w w:val="105"/>
        </w:rPr>
        <w:t>Price should include additional cost elements such as freight, insurance until acceptance, duty where applicable</w:t>
      </w:r>
      <w:r w:rsidR="001F169B" w:rsidRPr="00A44540">
        <w:rPr>
          <w:rFonts w:eastAsia="Times New Roman" w:cstheme="minorHAnsi"/>
          <w:color w:val="000000"/>
          <w:w w:val="105"/>
        </w:rPr>
        <w:t>, disbursements</w:t>
      </w:r>
      <w:r w:rsidRPr="00A44540">
        <w:rPr>
          <w:rFonts w:eastAsia="Times New Roman" w:cstheme="minorHAnsi"/>
          <w:color w:val="000000"/>
          <w:w w:val="105"/>
        </w:rPr>
        <w:t xml:space="preserve"> etc.</w:t>
      </w:r>
    </w:p>
    <w:p w14:paraId="34F37309" w14:textId="77777777" w:rsidR="00BA4051" w:rsidRPr="00A44540" w:rsidRDefault="0066139F"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rPr>
      </w:pPr>
      <w:r>
        <w:rPr>
          <w:rFonts w:eastAsia="Times New Roman" w:cstheme="minorHAnsi"/>
          <w:color w:val="000000"/>
          <w:w w:val="105"/>
        </w:rPr>
        <w:t>Quotation must be completed in full, incomplete quote could result in a quote being disqualified.</w:t>
      </w:r>
    </w:p>
    <w:p w14:paraId="7A90DE02" w14:textId="77777777" w:rsidR="00514AE5" w:rsidRPr="00A44540" w:rsidRDefault="00514AE5"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rPr>
      </w:pPr>
      <w:r w:rsidRPr="00A44540">
        <w:rPr>
          <w:rFonts w:eastAsia="Times New Roman" w:cstheme="minorHAnsi"/>
          <w:color w:val="000000"/>
          <w:w w:val="105"/>
        </w:rPr>
        <w:t xml:space="preserve">Payment will be according to </w:t>
      </w:r>
      <w:r w:rsidR="00D4101C" w:rsidRPr="00A44540">
        <w:rPr>
          <w:rFonts w:eastAsia="Times New Roman" w:cstheme="minorHAnsi"/>
          <w:color w:val="000000"/>
          <w:w w:val="105"/>
        </w:rPr>
        <w:t>Neasa’s</w:t>
      </w:r>
      <w:r w:rsidRPr="00A44540">
        <w:rPr>
          <w:rFonts w:eastAsia="Times New Roman" w:cstheme="minorHAnsi"/>
          <w:color w:val="000000"/>
          <w:w w:val="105"/>
        </w:rPr>
        <w:t xml:space="preserve"> General Conditions of Purchase</w:t>
      </w:r>
      <w:r w:rsidR="00AD2401">
        <w:rPr>
          <w:rFonts w:eastAsia="Times New Roman" w:cstheme="minorHAnsi"/>
          <w:color w:val="000000"/>
          <w:w w:val="105"/>
        </w:rPr>
        <w:t>.</w:t>
      </w:r>
    </w:p>
    <w:p w14:paraId="1913CEE7" w14:textId="77777777" w:rsidR="005E29D2" w:rsidRDefault="005E29D2" w:rsidP="005E29D2">
      <w:pPr>
        <w:widowControl w:val="0"/>
        <w:tabs>
          <w:tab w:val="left" w:pos="2552"/>
        </w:tabs>
        <w:autoSpaceDE w:val="0"/>
        <w:autoSpaceDN w:val="0"/>
        <w:adjustRightInd w:val="0"/>
        <w:spacing w:after="0"/>
        <w:jc w:val="both"/>
        <w:rPr>
          <w:rFonts w:eastAsia="Times New Roman" w:cstheme="minorHAnsi"/>
          <w:color w:val="000000"/>
          <w:w w:val="105"/>
        </w:rPr>
      </w:pPr>
    </w:p>
    <w:p w14:paraId="0778AB61" w14:textId="77777777" w:rsidR="005E29D2" w:rsidRDefault="005E29D2" w:rsidP="005E29D2">
      <w:pPr>
        <w:widowControl w:val="0"/>
        <w:tabs>
          <w:tab w:val="left" w:pos="2552"/>
        </w:tabs>
        <w:autoSpaceDE w:val="0"/>
        <w:autoSpaceDN w:val="0"/>
        <w:adjustRightInd w:val="0"/>
        <w:spacing w:after="0"/>
        <w:jc w:val="both"/>
        <w:rPr>
          <w:rFonts w:eastAsia="Times New Roman" w:cstheme="minorHAnsi"/>
          <w:color w:val="000000"/>
          <w:w w:val="105"/>
        </w:rPr>
      </w:pPr>
    </w:p>
    <w:p w14:paraId="380E7BEF" w14:textId="0942285E" w:rsidR="000D69F9" w:rsidRPr="005E29D2" w:rsidRDefault="005E29D2" w:rsidP="005E29D2">
      <w:pPr>
        <w:widowControl w:val="0"/>
        <w:tabs>
          <w:tab w:val="left" w:pos="2552"/>
        </w:tabs>
        <w:autoSpaceDE w:val="0"/>
        <w:autoSpaceDN w:val="0"/>
        <w:adjustRightInd w:val="0"/>
        <w:spacing w:after="0"/>
        <w:jc w:val="both"/>
        <w:rPr>
          <w:rFonts w:eastAsia="Times New Roman" w:cstheme="minorHAnsi"/>
          <w:b/>
          <w:color w:val="000000"/>
          <w:w w:val="105"/>
          <w:sz w:val="24"/>
          <w:szCs w:val="24"/>
          <w:u w:val="single"/>
        </w:rPr>
      </w:pPr>
      <w:r w:rsidRPr="005E29D2">
        <w:rPr>
          <w:rFonts w:eastAsia="Times New Roman" w:cstheme="minorHAnsi"/>
          <w:color w:val="000000"/>
          <w:w w:val="105"/>
        </w:rPr>
        <w:t xml:space="preserve">   </w:t>
      </w:r>
      <w:r w:rsidR="008260B3">
        <w:rPr>
          <w:rFonts w:eastAsia="Times New Roman" w:cstheme="minorHAnsi"/>
          <w:color w:val="000000"/>
          <w:w w:val="105"/>
        </w:rPr>
        <w:t>9</w:t>
      </w:r>
      <w:r>
        <w:rPr>
          <w:rFonts w:eastAsia="Times New Roman" w:cstheme="minorHAnsi"/>
          <w:color w:val="000000"/>
          <w:w w:val="105"/>
        </w:rPr>
        <w:t xml:space="preserve">. </w:t>
      </w:r>
      <w:r w:rsidRPr="005E29D2">
        <w:rPr>
          <w:rFonts w:eastAsia="Times New Roman" w:cstheme="minorHAnsi"/>
          <w:color w:val="000000"/>
          <w:w w:val="105"/>
        </w:rPr>
        <w:t xml:space="preserve">      </w:t>
      </w:r>
      <w:r w:rsidR="000D69F9" w:rsidRPr="005E29D2">
        <w:rPr>
          <w:rFonts w:eastAsia="Times New Roman" w:cstheme="minorHAnsi"/>
          <w:b/>
          <w:color w:val="000000"/>
          <w:w w:val="105"/>
          <w:sz w:val="24"/>
          <w:szCs w:val="24"/>
          <w:u w:val="single"/>
        </w:rPr>
        <w:t>Evaluation</w:t>
      </w:r>
    </w:p>
    <w:p w14:paraId="1EB561FC" w14:textId="77777777" w:rsidR="00514AE5" w:rsidRPr="00A44540" w:rsidRDefault="00514AE5" w:rsidP="001A799E">
      <w:pPr>
        <w:pStyle w:val="ListParagraph"/>
        <w:widowControl w:val="0"/>
        <w:tabs>
          <w:tab w:val="left" w:pos="2552"/>
        </w:tabs>
        <w:autoSpaceDE w:val="0"/>
        <w:autoSpaceDN w:val="0"/>
        <w:adjustRightInd w:val="0"/>
        <w:spacing w:after="0"/>
        <w:jc w:val="both"/>
        <w:rPr>
          <w:rFonts w:eastAsia="Times New Roman" w:cstheme="minorHAnsi"/>
          <w:b/>
          <w:color w:val="000000"/>
          <w:w w:val="105"/>
        </w:rPr>
      </w:pPr>
    </w:p>
    <w:p w14:paraId="2F7CB213" w14:textId="13B27366" w:rsidR="00DC12C6" w:rsidRPr="00232AC1" w:rsidRDefault="00232AC1" w:rsidP="00232AC1">
      <w:pPr>
        <w:spacing w:after="0"/>
        <w:jc w:val="both"/>
        <w:rPr>
          <w:rFonts w:cstheme="minorHAnsi"/>
          <w:b/>
          <w:color w:val="000000"/>
          <w:u w:val="single"/>
        </w:rPr>
      </w:pPr>
      <w:r w:rsidRPr="00232AC1">
        <w:rPr>
          <w:rFonts w:cstheme="minorHAnsi"/>
          <w:b/>
          <w:color w:val="000000"/>
        </w:rPr>
        <w:t>1.</w:t>
      </w:r>
      <w:r>
        <w:rPr>
          <w:rFonts w:cstheme="minorHAnsi"/>
          <w:b/>
          <w:color w:val="000000"/>
          <w:u w:val="single"/>
        </w:rPr>
        <w:t xml:space="preserve"> </w:t>
      </w:r>
      <w:r w:rsidR="000D69F9" w:rsidRPr="00232AC1">
        <w:rPr>
          <w:rFonts w:cstheme="minorHAnsi"/>
          <w:b/>
          <w:color w:val="000000"/>
          <w:u w:val="single"/>
        </w:rPr>
        <w:t xml:space="preserve">Phase 1- </w:t>
      </w:r>
      <w:r w:rsidR="00DC12C6" w:rsidRPr="00232AC1">
        <w:rPr>
          <w:rFonts w:cstheme="minorHAnsi"/>
          <w:b/>
          <w:color w:val="000000"/>
          <w:u w:val="single"/>
        </w:rPr>
        <w:t>Functionality Evaluation / Technical Evaluation</w:t>
      </w:r>
    </w:p>
    <w:p w14:paraId="5DC85F36" w14:textId="77777777" w:rsidR="000308D0" w:rsidRDefault="000D69F9" w:rsidP="001A799E">
      <w:pPr>
        <w:spacing w:after="0"/>
        <w:jc w:val="both"/>
        <w:rPr>
          <w:rFonts w:cstheme="minorHAnsi"/>
          <w:color w:val="000000"/>
        </w:rPr>
      </w:pPr>
      <w:r w:rsidRPr="00A44540">
        <w:rPr>
          <w:rFonts w:cstheme="minorHAnsi"/>
          <w:color w:val="000000"/>
        </w:rPr>
        <w:t xml:space="preserve">Where functional or technical evaluation criterion is applicable, </w:t>
      </w:r>
      <w:r w:rsidRPr="00A44540">
        <w:rPr>
          <w:rFonts w:eastAsiaTheme="minorEastAsia" w:cstheme="minorHAnsi"/>
        </w:rPr>
        <w:t xml:space="preserve">assessment </w:t>
      </w:r>
      <w:r w:rsidR="002F70F7" w:rsidRPr="00A44540">
        <w:rPr>
          <w:rFonts w:eastAsiaTheme="minorEastAsia" w:cstheme="minorHAnsi"/>
        </w:rPr>
        <w:t xml:space="preserve">will be performed in terms of the </w:t>
      </w:r>
      <w:r w:rsidRPr="00A44540">
        <w:rPr>
          <w:rFonts w:eastAsiaTheme="minorEastAsia" w:cstheme="minorHAnsi"/>
        </w:rPr>
        <w:t>criterion listed below and the criterion may include Technical, Performance, Quality and Risk</w:t>
      </w:r>
      <w:r w:rsidRPr="00A44540">
        <w:rPr>
          <w:rFonts w:cstheme="minorHAnsi"/>
          <w:color w:val="000000"/>
        </w:rPr>
        <w:t>.</w:t>
      </w:r>
    </w:p>
    <w:p w14:paraId="6FB6262D" w14:textId="67CDA367" w:rsidR="008860DC" w:rsidRDefault="008860DC" w:rsidP="001A799E">
      <w:pPr>
        <w:spacing w:after="0"/>
        <w:jc w:val="both"/>
        <w:rPr>
          <w:rFonts w:cstheme="minorHAnsi"/>
          <w:color w:val="000000"/>
        </w:rPr>
      </w:pPr>
    </w:p>
    <w:p w14:paraId="6DC576F4" w14:textId="77777777" w:rsidR="008860DC" w:rsidRPr="00A44540" w:rsidRDefault="008860DC" w:rsidP="008860DC">
      <w:pPr>
        <w:jc w:val="both"/>
        <w:rPr>
          <w:rFonts w:cstheme="minorHAnsi"/>
        </w:rPr>
      </w:pPr>
      <w:r w:rsidRPr="00A44540">
        <w:rPr>
          <w:rFonts w:cstheme="minorHAnsi"/>
        </w:rPr>
        <w:t xml:space="preserve">If the Bidder’s response to the </w:t>
      </w:r>
      <w:proofErr w:type="gramStart"/>
      <w:r w:rsidRPr="00A44540">
        <w:rPr>
          <w:rFonts w:cstheme="minorHAnsi"/>
        </w:rPr>
        <w:t>Technical</w:t>
      </w:r>
      <w:proofErr w:type="gramEnd"/>
      <w:r w:rsidRPr="00A44540">
        <w:rPr>
          <w:rFonts w:cstheme="minorHAnsi"/>
        </w:rPr>
        <w:t xml:space="preserve"> templates does not indicate that the Bidder can support an acceptable technical solution, the Bidder’s response will be rejected and not evaluated further.</w:t>
      </w:r>
    </w:p>
    <w:p w14:paraId="4B714F99" w14:textId="77777777" w:rsidR="008860DC" w:rsidRDefault="008860DC" w:rsidP="008860DC">
      <w:pPr>
        <w:spacing w:before="240"/>
        <w:jc w:val="both"/>
        <w:rPr>
          <w:rFonts w:cstheme="minorHAnsi"/>
        </w:rPr>
      </w:pPr>
      <w:r w:rsidRPr="00A44540">
        <w:rPr>
          <w:rFonts w:cstheme="minorHAnsi"/>
        </w:rPr>
        <w:t xml:space="preserve">Together the Technical, Performance &amp; Quality and Risk criteria make up the functionality criterion and a Bidder’s Proposal will be evaluated for </w:t>
      </w:r>
      <w:r w:rsidRPr="00B84D00">
        <w:rPr>
          <w:rFonts w:cstheme="minorHAnsi"/>
        </w:rPr>
        <w:t>functionality out</w:t>
      </w:r>
      <w:r w:rsidRPr="00A44540">
        <w:rPr>
          <w:rFonts w:cstheme="minorHAnsi"/>
        </w:rPr>
        <w:t xml:space="preserve"> of a possible 100 points.  Only RFQ responses achieving an evaluation score of greater than the set threshold points out of the possible 100 points and which score </w:t>
      </w:r>
      <w:proofErr w:type="gramStart"/>
      <w:r w:rsidRPr="00A44540">
        <w:rPr>
          <w:rFonts w:cstheme="minorHAnsi"/>
        </w:rPr>
        <w:t>a number of</w:t>
      </w:r>
      <w:proofErr w:type="gramEnd"/>
      <w:r w:rsidRPr="00A44540">
        <w:rPr>
          <w:rFonts w:cstheme="minorHAnsi"/>
        </w:rPr>
        <w:t xml:space="preserve"> points for functionality that is greater than or equal to the set threshold points of the number of points achieved by the highest scoring Bid for functionality will be selected to progress to the second stage.</w:t>
      </w:r>
    </w:p>
    <w:p w14:paraId="16D10C36" w14:textId="01BC256F" w:rsidR="008860DC" w:rsidRPr="008860DC" w:rsidRDefault="008860DC" w:rsidP="008860DC">
      <w:pPr>
        <w:spacing w:before="240"/>
        <w:jc w:val="both"/>
        <w:rPr>
          <w:rFonts w:ascii="Calibri" w:hAnsi="Calibri" w:cs="Calibri"/>
        </w:rPr>
      </w:pPr>
      <w:r w:rsidRPr="008860DC">
        <w:rPr>
          <w:rFonts w:ascii="Calibri" w:hAnsi="Calibri" w:cs="Calibri"/>
        </w:rPr>
        <w:lastRenderedPageBreak/>
        <w:t xml:space="preserve">The </w:t>
      </w:r>
      <w:r w:rsidR="00BD1B78">
        <w:rPr>
          <w:rFonts w:ascii="Calibri" w:hAnsi="Calibri" w:cs="Calibri"/>
        </w:rPr>
        <w:t>submissions</w:t>
      </w:r>
      <w:r w:rsidRPr="008860DC">
        <w:rPr>
          <w:rFonts w:ascii="Calibri" w:hAnsi="Calibri" w:cs="Calibri"/>
        </w:rPr>
        <w:t xml:space="preserve"> will be evaluated according to the following selection criteria (based on information requested above) </w:t>
      </w:r>
    </w:p>
    <w:p w14:paraId="52E22311" w14:textId="77777777" w:rsidR="004A6DBD" w:rsidRDefault="004A6DBD" w:rsidP="00232AC1">
      <w:pPr>
        <w:spacing w:after="0"/>
        <w:jc w:val="both"/>
        <w:rPr>
          <w:rFonts w:cstheme="minorHAnsi"/>
        </w:rPr>
      </w:pPr>
    </w:p>
    <w:tbl>
      <w:tblPr>
        <w:tblStyle w:val="TableGrid"/>
        <w:tblpPr w:leftFromText="180" w:rightFromText="180" w:vertAnchor="text" w:horzAnchor="margin" w:tblpXSpec="right" w:tblpY="-36"/>
        <w:tblW w:w="9918" w:type="dxa"/>
        <w:tblLayout w:type="fixed"/>
        <w:tblLook w:val="04A0" w:firstRow="1" w:lastRow="0" w:firstColumn="1" w:lastColumn="0" w:noHBand="0" w:noVBand="1"/>
      </w:tblPr>
      <w:tblGrid>
        <w:gridCol w:w="2972"/>
        <w:gridCol w:w="2552"/>
        <w:gridCol w:w="992"/>
        <w:gridCol w:w="992"/>
        <w:gridCol w:w="2410"/>
      </w:tblGrid>
      <w:tr w:rsidR="00DC6A4C" w14:paraId="0C71FEA7" w14:textId="77777777" w:rsidTr="00DC6A4C">
        <w:tc>
          <w:tcPr>
            <w:tcW w:w="2972" w:type="dxa"/>
          </w:tcPr>
          <w:p w14:paraId="280E6033" w14:textId="77777777" w:rsidR="00DC6A4C" w:rsidRDefault="00DC6A4C" w:rsidP="00DC6A4C">
            <w:pPr>
              <w:spacing w:before="240"/>
              <w:jc w:val="both"/>
              <w:rPr>
                <w:rFonts w:cstheme="minorHAnsi"/>
              </w:rPr>
            </w:pPr>
            <w:r w:rsidRPr="00EA6C23">
              <w:rPr>
                <w:rFonts w:ascii="Arial" w:hAnsi="Arial" w:cs="Arial"/>
                <w:b/>
                <w:bCs/>
                <w:sz w:val="20"/>
                <w:szCs w:val="20"/>
              </w:rPr>
              <w:t>Criteria</w:t>
            </w:r>
          </w:p>
        </w:tc>
        <w:tc>
          <w:tcPr>
            <w:tcW w:w="2552" w:type="dxa"/>
          </w:tcPr>
          <w:p w14:paraId="4A8D5B25" w14:textId="77777777" w:rsidR="00DC6A4C" w:rsidRDefault="00DC6A4C" w:rsidP="00DC6A4C">
            <w:pPr>
              <w:spacing w:before="240"/>
              <w:jc w:val="both"/>
              <w:rPr>
                <w:rFonts w:cstheme="minorHAnsi"/>
              </w:rPr>
            </w:pPr>
            <w:r w:rsidRPr="00EA6C23">
              <w:rPr>
                <w:rFonts w:ascii="Arial" w:hAnsi="Arial" w:cs="Arial"/>
                <w:b/>
                <w:bCs/>
                <w:sz w:val="20"/>
                <w:szCs w:val="20"/>
              </w:rPr>
              <w:t>Sub-Criteria</w:t>
            </w:r>
          </w:p>
        </w:tc>
        <w:tc>
          <w:tcPr>
            <w:tcW w:w="992" w:type="dxa"/>
          </w:tcPr>
          <w:p w14:paraId="2BEE7362" w14:textId="77777777" w:rsidR="00DC6A4C" w:rsidRDefault="00DC6A4C" w:rsidP="00DC6A4C">
            <w:pPr>
              <w:spacing w:before="240"/>
              <w:jc w:val="both"/>
              <w:rPr>
                <w:rFonts w:cstheme="minorHAnsi"/>
              </w:rPr>
            </w:pPr>
            <w:r w:rsidRPr="00EA6C23">
              <w:rPr>
                <w:rFonts w:ascii="Arial" w:hAnsi="Arial" w:cs="Arial"/>
                <w:b/>
                <w:bCs/>
                <w:sz w:val="20"/>
                <w:szCs w:val="20"/>
              </w:rPr>
              <w:t>Weight</w:t>
            </w:r>
          </w:p>
        </w:tc>
        <w:tc>
          <w:tcPr>
            <w:tcW w:w="992" w:type="dxa"/>
          </w:tcPr>
          <w:p w14:paraId="75CD4161" w14:textId="77777777" w:rsidR="00DC6A4C" w:rsidRDefault="00DC6A4C" w:rsidP="00DC6A4C">
            <w:pPr>
              <w:spacing w:before="240"/>
              <w:jc w:val="both"/>
              <w:rPr>
                <w:rFonts w:cstheme="minorHAnsi"/>
              </w:rPr>
            </w:pPr>
            <w:r w:rsidRPr="00EA6C23">
              <w:rPr>
                <w:rFonts w:ascii="Arial" w:hAnsi="Arial" w:cs="Arial"/>
                <w:b/>
                <w:bCs/>
                <w:sz w:val="20"/>
                <w:szCs w:val="20"/>
              </w:rPr>
              <w:t>Score Range</w:t>
            </w:r>
          </w:p>
        </w:tc>
        <w:tc>
          <w:tcPr>
            <w:tcW w:w="2410" w:type="dxa"/>
          </w:tcPr>
          <w:p w14:paraId="5E520AB7" w14:textId="77777777" w:rsidR="00DC6A4C" w:rsidRDefault="00DC6A4C" w:rsidP="00DC6A4C">
            <w:pPr>
              <w:spacing w:before="240"/>
              <w:jc w:val="center"/>
              <w:rPr>
                <w:rFonts w:cstheme="minorHAnsi"/>
              </w:rPr>
            </w:pPr>
            <w:r w:rsidRPr="00EA6C23">
              <w:rPr>
                <w:rFonts w:ascii="Arial" w:hAnsi="Arial" w:cs="Arial"/>
                <w:b/>
                <w:bCs/>
                <w:sz w:val="20"/>
                <w:szCs w:val="20"/>
              </w:rPr>
              <w:t>Guidelines</w:t>
            </w:r>
            <w:r>
              <w:rPr>
                <w:rFonts w:ascii="Arial" w:hAnsi="Arial" w:cs="Arial"/>
                <w:b/>
                <w:bCs/>
                <w:sz w:val="20"/>
                <w:szCs w:val="20"/>
              </w:rPr>
              <w:t xml:space="preserve"> </w:t>
            </w:r>
            <w:r w:rsidRPr="00EA6C23">
              <w:rPr>
                <w:rFonts w:ascii="Arial" w:hAnsi="Arial" w:cs="Arial"/>
                <w:b/>
                <w:bCs/>
                <w:sz w:val="20"/>
                <w:szCs w:val="20"/>
              </w:rPr>
              <w:t>for Evaluation</w:t>
            </w:r>
          </w:p>
        </w:tc>
      </w:tr>
      <w:tr w:rsidR="00CD312D" w14:paraId="67A3DEB6" w14:textId="77777777" w:rsidTr="00DC6A4C">
        <w:tc>
          <w:tcPr>
            <w:tcW w:w="2972" w:type="dxa"/>
            <w:vAlign w:val="center"/>
          </w:tcPr>
          <w:p w14:paraId="5DE1F327" w14:textId="3BC02EEE" w:rsidR="00CD312D" w:rsidRPr="00433EB5" w:rsidRDefault="00433EB5" w:rsidP="00DC6A4C">
            <w:pPr>
              <w:spacing w:before="240"/>
              <w:rPr>
                <w:rFonts w:ascii="Arial" w:hAnsi="Arial" w:cs="Arial"/>
                <w:b/>
                <w:bCs/>
                <w:sz w:val="20"/>
                <w:szCs w:val="20"/>
              </w:rPr>
            </w:pPr>
            <w:r w:rsidRPr="00433EB5">
              <w:rPr>
                <w:rFonts w:ascii="Arial" w:hAnsi="Arial" w:cs="Arial"/>
                <w:b/>
                <w:bCs/>
                <w:sz w:val="20"/>
                <w:szCs w:val="20"/>
              </w:rPr>
              <w:t xml:space="preserve">Functionality </w:t>
            </w:r>
          </w:p>
        </w:tc>
        <w:tc>
          <w:tcPr>
            <w:tcW w:w="2552" w:type="dxa"/>
            <w:vAlign w:val="center"/>
          </w:tcPr>
          <w:p w14:paraId="403A1687" w14:textId="77777777" w:rsidR="00CD312D" w:rsidRPr="00EA6C23" w:rsidRDefault="00CD312D" w:rsidP="00DC6A4C">
            <w:pPr>
              <w:spacing w:before="240"/>
              <w:rPr>
                <w:rFonts w:ascii="Arial" w:hAnsi="Arial" w:cs="Arial"/>
                <w:sz w:val="20"/>
                <w:szCs w:val="20"/>
              </w:rPr>
            </w:pPr>
          </w:p>
        </w:tc>
        <w:tc>
          <w:tcPr>
            <w:tcW w:w="992" w:type="dxa"/>
            <w:vAlign w:val="center"/>
          </w:tcPr>
          <w:p w14:paraId="0F7F2073" w14:textId="77777777" w:rsidR="00CD312D" w:rsidRDefault="00CD312D" w:rsidP="00DC6A4C">
            <w:pPr>
              <w:spacing w:before="240"/>
              <w:rPr>
                <w:rFonts w:ascii="Arial" w:hAnsi="Arial" w:cs="Arial"/>
                <w:sz w:val="20"/>
                <w:szCs w:val="20"/>
              </w:rPr>
            </w:pPr>
          </w:p>
        </w:tc>
        <w:tc>
          <w:tcPr>
            <w:tcW w:w="992" w:type="dxa"/>
            <w:vAlign w:val="center"/>
          </w:tcPr>
          <w:p w14:paraId="1B0C825E" w14:textId="77777777" w:rsidR="00CD312D" w:rsidRPr="00EA6C23" w:rsidRDefault="00CD312D" w:rsidP="00DC6A4C">
            <w:pPr>
              <w:spacing w:before="240"/>
              <w:rPr>
                <w:rFonts w:ascii="Arial" w:hAnsi="Arial" w:cs="Arial"/>
                <w:sz w:val="20"/>
                <w:szCs w:val="20"/>
              </w:rPr>
            </w:pPr>
          </w:p>
        </w:tc>
        <w:tc>
          <w:tcPr>
            <w:tcW w:w="2410" w:type="dxa"/>
            <w:vAlign w:val="center"/>
          </w:tcPr>
          <w:p w14:paraId="49F21887" w14:textId="77777777" w:rsidR="00CD312D" w:rsidRPr="00EA6C23" w:rsidRDefault="00CD312D" w:rsidP="00DC6A4C">
            <w:pPr>
              <w:spacing w:before="240"/>
              <w:rPr>
                <w:rFonts w:ascii="Arial" w:hAnsi="Arial" w:cs="Arial"/>
                <w:sz w:val="20"/>
                <w:szCs w:val="20"/>
              </w:rPr>
            </w:pPr>
          </w:p>
        </w:tc>
      </w:tr>
      <w:tr w:rsidR="00DC6A4C" w14:paraId="422ED27F" w14:textId="77777777" w:rsidTr="00DC6A4C">
        <w:tc>
          <w:tcPr>
            <w:tcW w:w="2972" w:type="dxa"/>
            <w:vAlign w:val="center"/>
          </w:tcPr>
          <w:p w14:paraId="6CED4CED" w14:textId="15F53EF5" w:rsidR="00DC6A4C" w:rsidRPr="003D6A7D" w:rsidRDefault="00DC6A4C" w:rsidP="003D6A7D">
            <w:pPr>
              <w:pStyle w:val="ListParagraph"/>
              <w:numPr>
                <w:ilvl w:val="1"/>
                <w:numId w:val="33"/>
              </w:numPr>
              <w:spacing w:before="240"/>
              <w:rPr>
                <w:rFonts w:ascii="Arial" w:hAnsi="Arial" w:cs="Arial"/>
                <w:sz w:val="20"/>
                <w:szCs w:val="20"/>
              </w:rPr>
            </w:pPr>
            <w:r w:rsidRPr="003D6A7D">
              <w:rPr>
                <w:rFonts w:ascii="Arial" w:hAnsi="Arial" w:cs="Arial"/>
                <w:sz w:val="20"/>
                <w:szCs w:val="20"/>
              </w:rPr>
              <w:t>Understanding of the Assignment</w:t>
            </w:r>
          </w:p>
          <w:p w14:paraId="067ED948" w14:textId="386710E1" w:rsidR="003D6A7D" w:rsidRPr="003D6A7D" w:rsidRDefault="003D6A7D" w:rsidP="003D6A7D">
            <w:pPr>
              <w:spacing w:before="240"/>
              <w:rPr>
                <w:rFonts w:ascii="Arial" w:hAnsi="Arial" w:cs="Arial"/>
                <w:sz w:val="20"/>
                <w:szCs w:val="20"/>
              </w:rPr>
            </w:pPr>
            <w:r>
              <w:rPr>
                <w:rFonts w:ascii="Arial" w:hAnsi="Arial" w:cs="Arial"/>
                <w:sz w:val="20"/>
                <w:szCs w:val="20"/>
              </w:rPr>
              <w:t>(bidder to submit clear methodology demonstrating understanding of the PFMA, DPME framework, National treasury guidelines and king IV)</w:t>
            </w:r>
          </w:p>
          <w:p w14:paraId="0C42FCED" w14:textId="77777777" w:rsidR="003D6A7D" w:rsidRPr="003D6A7D" w:rsidRDefault="003D6A7D" w:rsidP="003D6A7D">
            <w:pPr>
              <w:pStyle w:val="ListParagraph"/>
              <w:spacing w:before="240"/>
              <w:ind w:left="1440"/>
              <w:rPr>
                <w:rFonts w:ascii="Arial" w:hAnsi="Arial" w:cs="Arial"/>
                <w:b/>
                <w:bCs/>
                <w:sz w:val="20"/>
                <w:szCs w:val="20"/>
              </w:rPr>
            </w:pPr>
          </w:p>
        </w:tc>
        <w:tc>
          <w:tcPr>
            <w:tcW w:w="2552" w:type="dxa"/>
            <w:vAlign w:val="center"/>
          </w:tcPr>
          <w:p w14:paraId="00EDC2AE" w14:textId="77777777" w:rsidR="00DC6A4C" w:rsidRPr="00EA6C23" w:rsidRDefault="00DC6A4C" w:rsidP="00DC6A4C">
            <w:pPr>
              <w:spacing w:before="240"/>
              <w:rPr>
                <w:rFonts w:ascii="Arial" w:hAnsi="Arial" w:cs="Arial"/>
                <w:b/>
                <w:bCs/>
                <w:sz w:val="20"/>
                <w:szCs w:val="20"/>
              </w:rPr>
            </w:pPr>
            <w:r w:rsidRPr="00EA6C23">
              <w:rPr>
                <w:rFonts w:ascii="Arial" w:hAnsi="Arial" w:cs="Arial"/>
                <w:sz w:val="20"/>
                <w:szCs w:val="20"/>
              </w:rPr>
              <w:t>Demonstrates understanding of PFMA, DPME frameworks, NT guidelines, King IV</w:t>
            </w:r>
          </w:p>
        </w:tc>
        <w:tc>
          <w:tcPr>
            <w:tcW w:w="992" w:type="dxa"/>
            <w:vAlign w:val="center"/>
          </w:tcPr>
          <w:p w14:paraId="3C5231A0" w14:textId="77777777" w:rsidR="00DC6A4C" w:rsidRPr="00EA6C23" w:rsidRDefault="00DC6A4C" w:rsidP="00DC6A4C">
            <w:pPr>
              <w:spacing w:before="240"/>
              <w:rPr>
                <w:rFonts w:ascii="Arial" w:hAnsi="Arial" w:cs="Arial"/>
                <w:b/>
                <w:bCs/>
                <w:sz w:val="20"/>
                <w:szCs w:val="20"/>
              </w:rPr>
            </w:pPr>
            <w:r>
              <w:rPr>
                <w:rFonts w:ascii="Arial" w:hAnsi="Arial" w:cs="Arial"/>
                <w:sz w:val="20"/>
                <w:szCs w:val="20"/>
              </w:rPr>
              <w:t>25</w:t>
            </w:r>
            <w:r w:rsidRPr="00EA6C23">
              <w:rPr>
                <w:rFonts w:ascii="Arial" w:hAnsi="Arial" w:cs="Arial"/>
                <w:sz w:val="20"/>
                <w:szCs w:val="20"/>
              </w:rPr>
              <w:t>%</w:t>
            </w:r>
          </w:p>
        </w:tc>
        <w:tc>
          <w:tcPr>
            <w:tcW w:w="992" w:type="dxa"/>
            <w:vAlign w:val="center"/>
          </w:tcPr>
          <w:p w14:paraId="3846AB9B" w14:textId="77777777" w:rsidR="00DC6A4C" w:rsidRPr="00EA6C23" w:rsidRDefault="00DC6A4C" w:rsidP="00DC6A4C">
            <w:pPr>
              <w:spacing w:before="240"/>
              <w:rPr>
                <w:rFonts w:ascii="Arial" w:hAnsi="Arial" w:cs="Arial"/>
                <w:b/>
                <w:bCs/>
                <w:sz w:val="20"/>
                <w:szCs w:val="20"/>
              </w:rPr>
            </w:pPr>
            <w:r w:rsidRPr="00EA6C23">
              <w:rPr>
                <w:rFonts w:ascii="Arial" w:hAnsi="Arial" w:cs="Arial"/>
                <w:sz w:val="20"/>
                <w:szCs w:val="20"/>
              </w:rPr>
              <w:t>0–5</w:t>
            </w:r>
          </w:p>
        </w:tc>
        <w:tc>
          <w:tcPr>
            <w:tcW w:w="2410" w:type="dxa"/>
            <w:vAlign w:val="center"/>
          </w:tcPr>
          <w:p w14:paraId="0A322E81" w14:textId="77777777" w:rsidR="00DC6A4C" w:rsidRPr="00EA6C23" w:rsidRDefault="00DC6A4C" w:rsidP="00DC6A4C">
            <w:pPr>
              <w:spacing w:before="240"/>
              <w:rPr>
                <w:rFonts w:ascii="Arial" w:hAnsi="Arial" w:cs="Arial"/>
                <w:b/>
                <w:bCs/>
                <w:sz w:val="20"/>
                <w:szCs w:val="20"/>
              </w:rPr>
            </w:pPr>
            <w:r w:rsidRPr="00EA6C23">
              <w:rPr>
                <w:rFonts w:ascii="Arial" w:hAnsi="Arial" w:cs="Arial"/>
                <w:sz w:val="20"/>
                <w:szCs w:val="20"/>
              </w:rPr>
              <w:t>5 = Excellent alignment with legislative frameworks; 3 = Basic understanding; 1 = Poor fit</w:t>
            </w:r>
          </w:p>
        </w:tc>
      </w:tr>
      <w:tr w:rsidR="00DC6A4C" w14:paraId="290B384B" w14:textId="77777777" w:rsidTr="00DC6A4C">
        <w:tc>
          <w:tcPr>
            <w:tcW w:w="2972" w:type="dxa"/>
            <w:vAlign w:val="center"/>
          </w:tcPr>
          <w:p w14:paraId="30E1A47F" w14:textId="77777777" w:rsidR="00DC6A4C" w:rsidRPr="003D6A7D" w:rsidRDefault="00DC6A4C" w:rsidP="00DC6A4C">
            <w:pPr>
              <w:spacing w:before="240"/>
              <w:rPr>
                <w:rFonts w:ascii="Arial" w:hAnsi="Arial" w:cs="Arial"/>
                <w:b/>
                <w:bCs/>
                <w:sz w:val="20"/>
                <w:szCs w:val="20"/>
              </w:rPr>
            </w:pPr>
            <w:r w:rsidRPr="003D6A7D">
              <w:rPr>
                <w:rFonts w:ascii="Arial" w:hAnsi="Arial" w:cs="Arial"/>
                <w:b/>
                <w:bCs/>
                <w:sz w:val="20"/>
                <w:szCs w:val="20"/>
              </w:rPr>
              <w:t>2. Methodology and Approach</w:t>
            </w:r>
          </w:p>
          <w:p w14:paraId="194E1E7E" w14:textId="6F66B485" w:rsidR="003D6A7D" w:rsidRPr="003D6A7D" w:rsidRDefault="003D6A7D" w:rsidP="00DC6A4C">
            <w:pPr>
              <w:spacing w:before="240"/>
              <w:rPr>
                <w:rFonts w:ascii="Arial" w:hAnsi="Arial" w:cs="Arial"/>
                <w:b/>
                <w:bCs/>
                <w:sz w:val="20"/>
                <w:szCs w:val="20"/>
              </w:rPr>
            </w:pPr>
            <w:r w:rsidRPr="003D6A7D">
              <w:rPr>
                <w:rFonts w:ascii="Arial" w:hAnsi="Arial" w:cs="Arial"/>
                <w:b/>
                <w:bCs/>
                <w:sz w:val="20"/>
                <w:szCs w:val="20"/>
              </w:rPr>
              <w:t>(bidder to submit methodology and approach)</w:t>
            </w:r>
          </w:p>
        </w:tc>
        <w:tc>
          <w:tcPr>
            <w:tcW w:w="2552" w:type="dxa"/>
            <w:vAlign w:val="center"/>
          </w:tcPr>
          <w:p w14:paraId="64F47EC5" w14:textId="77777777" w:rsidR="00DC6A4C" w:rsidRPr="00EA6C23" w:rsidRDefault="00DC6A4C" w:rsidP="00DC6A4C">
            <w:pPr>
              <w:spacing w:before="240"/>
              <w:rPr>
                <w:rFonts w:ascii="Arial" w:hAnsi="Arial" w:cs="Arial"/>
                <w:b/>
                <w:bCs/>
                <w:sz w:val="20"/>
                <w:szCs w:val="20"/>
              </w:rPr>
            </w:pPr>
            <w:r w:rsidRPr="00EA6C23">
              <w:rPr>
                <w:rFonts w:ascii="Arial" w:hAnsi="Arial" w:cs="Arial"/>
                <w:sz w:val="20"/>
                <w:szCs w:val="20"/>
              </w:rPr>
              <w:t xml:space="preserve">Clear, feasible methodology, use of </w:t>
            </w:r>
            <w:proofErr w:type="spellStart"/>
            <w:r w:rsidRPr="00EA6C23">
              <w:rPr>
                <w:rFonts w:ascii="Arial" w:hAnsi="Arial" w:cs="Arial"/>
                <w:sz w:val="20"/>
                <w:szCs w:val="20"/>
              </w:rPr>
              <w:t>ToC</w:t>
            </w:r>
            <w:proofErr w:type="spellEnd"/>
            <w:r w:rsidRPr="00EA6C23">
              <w:rPr>
                <w:rFonts w:ascii="Arial" w:hAnsi="Arial" w:cs="Arial"/>
                <w:sz w:val="20"/>
                <w:szCs w:val="20"/>
              </w:rPr>
              <w:t>, strategic models, inclusive facilitation</w:t>
            </w:r>
          </w:p>
        </w:tc>
        <w:tc>
          <w:tcPr>
            <w:tcW w:w="992" w:type="dxa"/>
            <w:vAlign w:val="center"/>
          </w:tcPr>
          <w:p w14:paraId="12B031D9" w14:textId="77777777" w:rsidR="00DC6A4C" w:rsidRPr="00EA6C23" w:rsidRDefault="00DC6A4C" w:rsidP="00DC6A4C">
            <w:pPr>
              <w:spacing w:before="240"/>
              <w:rPr>
                <w:rFonts w:ascii="Arial" w:hAnsi="Arial" w:cs="Arial"/>
                <w:b/>
                <w:bCs/>
                <w:sz w:val="20"/>
                <w:szCs w:val="20"/>
              </w:rPr>
            </w:pPr>
            <w:r w:rsidRPr="00EA6C23">
              <w:rPr>
                <w:rFonts w:ascii="Arial" w:hAnsi="Arial" w:cs="Arial"/>
                <w:sz w:val="20"/>
                <w:szCs w:val="20"/>
              </w:rPr>
              <w:t>25%</w:t>
            </w:r>
          </w:p>
        </w:tc>
        <w:tc>
          <w:tcPr>
            <w:tcW w:w="992" w:type="dxa"/>
            <w:vAlign w:val="center"/>
          </w:tcPr>
          <w:p w14:paraId="0C7502FD" w14:textId="77777777" w:rsidR="00DC6A4C" w:rsidRPr="00EA6C23" w:rsidRDefault="00DC6A4C" w:rsidP="00DC6A4C">
            <w:pPr>
              <w:spacing w:before="240"/>
              <w:rPr>
                <w:rFonts w:ascii="Arial" w:hAnsi="Arial" w:cs="Arial"/>
                <w:b/>
                <w:bCs/>
                <w:sz w:val="20"/>
                <w:szCs w:val="20"/>
              </w:rPr>
            </w:pPr>
            <w:r w:rsidRPr="00EA6C23">
              <w:rPr>
                <w:rFonts w:ascii="Arial" w:hAnsi="Arial" w:cs="Arial"/>
                <w:sz w:val="20"/>
                <w:szCs w:val="20"/>
              </w:rPr>
              <w:t>0–5</w:t>
            </w:r>
          </w:p>
        </w:tc>
        <w:tc>
          <w:tcPr>
            <w:tcW w:w="2410" w:type="dxa"/>
            <w:vAlign w:val="center"/>
          </w:tcPr>
          <w:p w14:paraId="00005D62" w14:textId="77777777" w:rsidR="00DC6A4C" w:rsidRPr="00EA6C23" w:rsidRDefault="00DC6A4C" w:rsidP="00DC6A4C">
            <w:pPr>
              <w:spacing w:before="240"/>
              <w:rPr>
                <w:rFonts w:ascii="Arial" w:hAnsi="Arial" w:cs="Arial"/>
                <w:b/>
                <w:bCs/>
                <w:sz w:val="20"/>
                <w:szCs w:val="20"/>
              </w:rPr>
            </w:pPr>
            <w:r w:rsidRPr="00EA6C23">
              <w:rPr>
                <w:rFonts w:ascii="Arial" w:hAnsi="Arial" w:cs="Arial"/>
                <w:sz w:val="20"/>
                <w:szCs w:val="20"/>
              </w:rPr>
              <w:t>5 = Detailed &amp; innovative; 3 = Adequate; 1 = Generic/unclear</w:t>
            </w:r>
          </w:p>
        </w:tc>
      </w:tr>
      <w:tr w:rsidR="00DC6A4C" w14:paraId="39EFBB45" w14:textId="77777777" w:rsidTr="00DC6A4C">
        <w:tc>
          <w:tcPr>
            <w:tcW w:w="2972" w:type="dxa"/>
            <w:vAlign w:val="center"/>
          </w:tcPr>
          <w:p w14:paraId="4ED40B2B" w14:textId="37BD5EFE" w:rsidR="00DC6A4C" w:rsidRPr="003D6A7D" w:rsidRDefault="00DC6A4C" w:rsidP="003D6A7D">
            <w:pPr>
              <w:pStyle w:val="ListParagraph"/>
              <w:numPr>
                <w:ilvl w:val="0"/>
                <w:numId w:val="3"/>
              </w:numPr>
              <w:spacing w:before="240"/>
              <w:rPr>
                <w:rFonts w:ascii="Arial" w:hAnsi="Arial" w:cs="Arial"/>
                <w:sz w:val="20"/>
                <w:szCs w:val="20"/>
              </w:rPr>
            </w:pPr>
            <w:r w:rsidRPr="003D6A7D">
              <w:rPr>
                <w:rFonts w:ascii="Arial" w:hAnsi="Arial" w:cs="Arial"/>
                <w:sz w:val="20"/>
                <w:szCs w:val="20"/>
              </w:rPr>
              <w:t>Experience and Track Record</w:t>
            </w:r>
          </w:p>
          <w:p w14:paraId="2E7B57DC" w14:textId="0F2E1BDD" w:rsidR="003D6A7D" w:rsidRPr="003D6A7D" w:rsidRDefault="003D6A7D" w:rsidP="003D6A7D">
            <w:pPr>
              <w:pStyle w:val="ListParagraph"/>
              <w:spacing w:before="240"/>
              <w:ind w:left="360"/>
              <w:rPr>
                <w:rFonts w:ascii="Arial" w:hAnsi="Arial" w:cs="Arial"/>
                <w:b/>
                <w:bCs/>
                <w:sz w:val="20"/>
                <w:szCs w:val="20"/>
              </w:rPr>
            </w:pPr>
            <w:r>
              <w:rPr>
                <w:rFonts w:ascii="Arial" w:hAnsi="Arial" w:cs="Arial"/>
                <w:b/>
                <w:bCs/>
                <w:sz w:val="20"/>
                <w:szCs w:val="20"/>
              </w:rPr>
              <w:t>(Bidder to submit list of similar projects or reference letters)</w:t>
            </w:r>
          </w:p>
        </w:tc>
        <w:tc>
          <w:tcPr>
            <w:tcW w:w="2552" w:type="dxa"/>
            <w:vAlign w:val="center"/>
          </w:tcPr>
          <w:p w14:paraId="4CE6668B" w14:textId="77777777" w:rsidR="00DC6A4C" w:rsidRPr="00EA6C23" w:rsidRDefault="00DC6A4C" w:rsidP="00DC6A4C">
            <w:pPr>
              <w:spacing w:before="240"/>
              <w:rPr>
                <w:rFonts w:ascii="Arial" w:hAnsi="Arial" w:cs="Arial"/>
                <w:b/>
                <w:bCs/>
                <w:sz w:val="20"/>
                <w:szCs w:val="20"/>
              </w:rPr>
            </w:pPr>
            <w:r w:rsidRPr="00EA6C23">
              <w:rPr>
                <w:rFonts w:ascii="Arial" w:hAnsi="Arial" w:cs="Arial"/>
                <w:sz w:val="20"/>
                <w:szCs w:val="20"/>
              </w:rPr>
              <w:t>Similar projects for SOEs or public entities; client list, references</w:t>
            </w:r>
          </w:p>
        </w:tc>
        <w:tc>
          <w:tcPr>
            <w:tcW w:w="992" w:type="dxa"/>
            <w:vAlign w:val="center"/>
          </w:tcPr>
          <w:p w14:paraId="3DF8B13F" w14:textId="77777777" w:rsidR="00DC6A4C" w:rsidRPr="00EA6C23" w:rsidRDefault="00DC6A4C" w:rsidP="00DC6A4C">
            <w:pPr>
              <w:spacing w:before="240"/>
              <w:rPr>
                <w:rFonts w:ascii="Arial" w:hAnsi="Arial" w:cs="Arial"/>
                <w:b/>
                <w:bCs/>
                <w:sz w:val="20"/>
                <w:szCs w:val="20"/>
              </w:rPr>
            </w:pPr>
            <w:r>
              <w:rPr>
                <w:rFonts w:ascii="Arial" w:hAnsi="Arial" w:cs="Arial"/>
                <w:sz w:val="20"/>
                <w:szCs w:val="20"/>
              </w:rPr>
              <w:t>20</w:t>
            </w:r>
            <w:r w:rsidRPr="00EA6C23">
              <w:rPr>
                <w:rFonts w:ascii="Arial" w:hAnsi="Arial" w:cs="Arial"/>
                <w:sz w:val="20"/>
                <w:szCs w:val="20"/>
              </w:rPr>
              <w:t>%</w:t>
            </w:r>
          </w:p>
        </w:tc>
        <w:tc>
          <w:tcPr>
            <w:tcW w:w="992" w:type="dxa"/>
            <w:vAlign w:val="center"/>
          </w:tcPr>
          <w:p w14:paraId="08B4940F" w14:textId="77777777" w:rsidR="00DC6A4C" w:rsidRPr="00EA6C23" w:rsidRDefault="00DC6A4C" w:rsidP="00DC6A4C">
            <w:pPr>
              <w:spacing w:before="240"/>
              <w:rPr>
                <w:rFonts w:ascii="Arial" w:hAnsi="Arial" w:cs="Arial"/>
                <w:b/>
                <w:bCs/>
                <w:sz w:val="20"/>
                <w:szCs w:val="20"/>
              </w:rPr>
            </w:pPr>
            <w:r w:rsidRPr="00EA6C23">
              <w:rPr>
                <w:rFonts w:ascii="Arial" w:hAnsi="Arial" w:cs="Arial"/>
                <w:sz w:val="20"/>
                <w:szCs w:val="20"/>
              </w:rPr>
              <w:t>0–5</w:t>
            </w:r>
          </w:p>
        </w:tc>
        <w:tc>
          <w:tcPr>
            <w:tcW w:w="2410" w:type="dxa"/>
            <w:vAlign w:val="center"/>
          </w:tcPr>
          <w:p w14:paraId="12A0B295" w14:textId="38A1E496" w:rsidR="00DC6A4C" w:rsidRPr="003D6A7D" w:rsidRDefault="00DC6A4C" w:rsidP="00DC6A4C">
            <w:pPr>
              <w:spacing w:before="240"/>
              <w:rPr>
                <w:rFonts w:ascii="Arial" w:hAnsi="Arial" w:cs="Arial"/>
                <w:sz w:val="20"/>
                <w:szCs w:val="20"/>
              </w:rPr>
            </w:pPr>
            <w:r w:rsidRPr="00EA6C23">
              <w:rPr>
                <w:rFonts w:ascii="Arial" w:hAnsi="Arial" w:cs="Arial"/>
                <w:sz w:val="20"/>
                <w:szCs w:val="20"/>
              </w:rPr>
              <w:t>5 = &gt;5 relevant projects; 3 = 3–4 projects; 1 = &lt;2 projects</w:t>
            </w:r>
          </w:p>
        </w:tc>
      </w:tr>
      <w:tr w:rsidR="00DC6A4C" w14:paraId="6385244E" w14:textId="77777777" w:rsidTr="00DC6A4C">
        <w:tc>
          <w:tcPr>
            <w:tcW w:w="2972" w:type="dxa"/>
            <w:vAlign w:val="center"/>
          </w:tcPr>
          <w:p w14:paraId="7852EA50" w14:textId="1FF409FB" w:rsidR="00DC6A4C" w:rsidRPr="003D6A7D" w:rsidRDefault="00DC6A4C" w:rsidP="003D6A7D">
            <w:pPr>
              <w:pStyle w:val="ListParagraph"/>
              <w:numPr>
                <w:ilvl w:val="0"/>
                <w:numId w:val="3"/>
              </w:numPr>
              <w:spacing w:before="240"/>
              <w:rPr>
                <w:rFonts w:ascii="Arial" w:hAnsi="Arial" w:cs="Arial"/>
                <w:sz w:val="20"/>
                <w:szCs w:val="20"/>
              </w:rPr>
            </w:pPr>
            <w:r w:rsidRPr="003D6A7D">
              <w:rPr>
                <w:rFonts w:ascii="Arial" w:hAnsi="Arial" w:cs="Arial"/>
                <w:sz w:val="20"/>
                <w:szCs w:val="20"/>
              </w:rPr>
              <w:t>Team Qualifications and Expertise</w:t>
            </w:r>
          </w:p>
          <w:p w14:paraId="3CF0284C" w14:textId="7759656D" w:rsidR="003D6A7D" w:rsidRPr="003D6A7D" w:rsidRDefault="003D6A7D" w:rsidP="003D6A7D">
            <w:pPr>
              <w:pStyle w:val="ListParagraph"/>
              <w:spacing w:before="240"/>
              <w:ind w:left="360"/>
              <w:rPr>
                <w:rFonts w:ascii="Arial" w:hAnsi="Arial" w:cs="Arial"/>
                <w:b/>
                <w:bCs/>
                <w:sz w:val="20"/>
                <w:szCs w:val="20"/>
              </w:rPr>
            </w:pPr>
            <w:proofErr w:type="gramStart"/>
            <w:r>
              <w:rPr>
                <w:rFonts w:ascii="Arial" w:hAnsi="Arial" w:cs="Arial"/>
                <w:b/>
                <w:bCs/>
                <w:sz w:val="20"/>
                <w:szCs w:val="20"/>
              </w:rPr>
              <w:t>( bidders</w:t>
            </w:r>
            <w:proofErr w:type="gramEnd"/>
            <w:r>
              <w:rPr>
                <w:rFonts w:ascii="Arial" w:hAnsi="Arial" w:cs="Arial"/>
                <w:b/>
                <w:bCs/>
                <w:sz w:val="20"/>
                <w:szCs w:val="20"/>
              </w:rPr>
              <w:t xml:space="preserve"> to submit a minimum of a degree for the lead facilitator and team members to have a minimum of a </w:t>
            </w:r>
            <w:proofErr w:type="gramStart"/>
            <w:r>
              <w:rPr>
                <w:rFonts w:ascii="Arial" w:hAnsi="Arial" w:cs="Arial"/>
                <w:b/>
                <w:bCs/>
                <w:sz w:val="20"/>
                <w:szCs w:val="20"/>
              </w:rPr>
              <w:t>3 year</w:t>
            </w:r>
            <w:proofErr w:type="gramEnd"/>
            <w:r>
              <w:rPr>
                <w:rFonts w:ascii="Arial" w:hAnsi="Arial" w:cs="Arial"/>
                <w:b/>
                <w:bCs/>
                <w:sz w:val="20"/>
                <w:szCs w:val="20"/>
              </w:rPr>
              <w:t xml:space="preserve"> diploma)</w:t>
            </w:r>
          </w:p>
        </w:tc>
        <w:tc>
          <w:tcPr>
            <w:tcW w:w="2552" w:type="dxa"/>
            <w:vAlign w:val="center"/>
          </w:tcPr>
          <w:p w14:paraId="6446CA77" w14:textId="77777777" w:rsidR="00DC6A4C" w:rsidRPr="00EA6C23" w:rsidRDefault="00DC6A4C" w:rsidP="00DC6A4C">
            <w:pPr>
              <w:spacing w:before="240"/>
              <w:rPr>
                <w:rFonts w:ascii="Arial" w:hAnsi="Arial" w:cs="Arial"/>
                <w:b/>
                <w:bCs/>
                <w:sz w:val="20"/>
                <w:szCs w:val="20"/>
              </w:rPr>
            </w:pPr>
            <w:r w:rsidRPr="00EA6C23">
              <w:rPr>
                <w:rFonts w:ascii="Arial" w:hAnsi="Arial" w:cs="Arial"/>
                <w:sz w:val="20"/>
                <w:szCs w:val="20"/>
              </w:rPr>
              <w:t>Lead facilitator and team profiles with strategy, public finance, governance exp.</w:t>
            </w:r>
          </w:p>
        </w:tc>
        <w:tc>
          <w:tcPr>
            <w:tcW w:w="992" w:type="dxa"/>
            <w:vAlign w:val="center"/>
          </w:tcPr>
          <w:p w14:paraId="0AD235CA" w14:textId="77777777" w:rsidR="00DC6A4C" w:rsidRPr="00EA6C23" w:rsidRDefault="00DC6A4C" w:rsidP="00DC6A4C">
            <w:pPr>
              <w:spacing w:before="240"/>
              <w:rPr>
                <w:rFonts w:ascii="Arial" w:hAnsi="Arial" w:cs="Arial"/>
                <w:b/>
                <w:bCs/>
                <w:sz w:val="20"/>
                <w:szCs w:val="20"/>
              </w:rPr>
            </w:pPr>
            <w:r>
              <w:rPr>
                <w:rFonts w:ascii="Arial" w:hAnsi="Arial" w:cs="Arial"/>
                <w:sz w:val="20"/>
                <w:szCs w:val="20"/>
              </w:rPr>
              <w:t>15</w:t>
            </w:r>
            <w:r w:rsidRPr="00EA6C23">
              <w:rPr>
                <w:rFonts w:ascii="Arial" w:hAnsi="Arial" w:cs="Arial"/>
                <w:sz w:val="20"/>
                <w:szCs w:val="20"/>
              </w:rPr>
              <w:t>%</w:t>
            </w:r>
          </w:p>
        </w:tc>
        <w:tc>
          <w:tcPr>
            <w:tcW w:w="992" w:type="dxa"/>
            <w:vAlign w:val="center"/>
          </w:tcPr>
          <w:p w14:paraId="3D6631D7" w14:textId="77777777" w:rsidR="00DC6A4C" w:rsidRPr="00EA6C23" w:rsidRDefault="00DC6A4C" w:rsidP="00DC6A4C">
            <w:pPr>
              <w:spacing w:before="240"/>
              <w:rPr>
                <w:rFonts w:ascii="Arial" w:hAnsi="Arial" w:cs="Arial"/>
                <w:b/>
                <w:bCs/>
                <w:sz w:val="20"/>
                <w:szCs w:val="20"/>
              </w:rPr>
            </w:pPr>
            <w:r w:rsidRPr="00EA6C23">
              <w:rPr>
                <w:rFonts w:ascii="Arial" w:hAnsi="Arial" w:cs="Arial"/>
                <w:sz w:val="20"/>
                <w:szCs w:val="20"/>
              </w:rPr>
              <w:t>0–5</w:t>
            </w:r>
          </w:p>
        </w:tc>
        <w:tc>
          <w:tcPr>
            <w:tcW w:w="2410" w:type="dxa"/>
            <w:vAlign w:val="center"/>
          </w:tcPr>
          <w:p w14:paraId="1492EC6F" w14:textId="77777777" w:rsidR="00DC6A4C" w:rsidRPr="00EA6C23" w:rsidRDefault="00DC6A4C" w:rsidP="00DC6A4C">
            <w:pPr>
              <w:spacing w:before="240"/>
              <w:rPr>
                <w:rFonts w:ascii="Arial" w:hAnsi="Arial" w:cs="Arial"/>
                <w:b/>
                <w:bCs/>
                <w:sz w:val="20"/>
                <w:szCs w:val="20"/>
              </w:rPr>
            </w:pPr>
            <w:r w:rsidRPr="00EA6C23">
              <w:rPr>
                <w:rFonts w:ascii="Arial" w:hAnsi="Arial" w:cs="Arial"/>
                <w:sz w:val="20"/>
                <w:szCs w:val="20"/>
              </w:rPr>
              <w:t>5 = Senior experts with strong SOE/public sector experience; 3 = Average; 1 = Limited</w:t>
            </w:r>
          </w:p>
        </w:tc>
      </w:tr>
      <w:tr w:rsidR="00DC6A4C" w14:paraId="5ECEBB6A" w14:textId="77777777" w:rsidTr="00DC6A4C">
        <w:tc>
          <w:tcPr>
            <w:tcW w:w="2972" w:type="dxa"/>
            <w:vAlign w:val="center"/>
          </w:tcPr>
          <w:p w14:paraId="658F0120" w14:textId="3A2B1A24" w:rsidR="00DC6A4C" w:rsidRPr="003D6A7D" w:rsidRDefault="00DC6A4C" w:rsidP="003D6A7D">
            <w:pPr>
              <w:pStyle w:val="ListParagraph"/>
              <w:numPr>
                <w:ilvl w:val="0"/>
                <w:numId w:val="3"/>
              </w:numPr>
              <w:spacing w:before="240"/>
              <w:rPr>
                <w:rFonts w:ascii="Arial" w:hAnsi="Arial" w:cs="Arial"/>
                <w:sz w:val="20"/>
                <w:szCs w:val="20"/>
              </w:rPr>
            </w:pPr>
            <w:r w:rsidRPr="003D6A7D">
              <w:rPr>
                <w:rFonts w:ascii="Arial" w:hAnsi="Arial" w:cs="Arial"/>
                <w:sz w:val="20"/>
                <w:szCs w:val="20"/>
              </w:rPr>
              <w:t>Project Plan &amp; Timelines</w:t>
            </w:r>
          </w:p>
          <w:p w14:paraId="05CEB734" w14:textId="51474B2A" w:rsidR="003D6A7D" w:rsidRPr="003D6A7D" w:rsidRDefault="003D6A7D" w:rsidP="003D6A7D">
            <w:pPr>
              <w:pStyle w:val="ListParagraph"/>
              <w:spacing w:before="240"/>
              <w:ind w:left="360"/>
              <w:rPr>
                <w:rFonts w:ascii="Arial" w:hAnsi="Arial" w:cs="Arial"/>
                <w:b/>
                <w:bCs/>
                <w:sz w:val="20"/>
                <w:szCs w:val="20"/>
              </w:rPr>
            </w:pPr>
            <w:proofErr w:type="gramStart"/>
            <w:r>
              <w:rPr>
                <w:rFonts w:ascii="Arial" w:hAnsi="Arial" w:cs="Arial"/>
                <w:b/>
                <w:bCs/>
                <w:sz w:val="20"/>
                <w:szCs w:val="20"/>
              </w:rPr>
              <w:t>( bidder</w:t>
            </w:r>
            <w:proofErr w:type="gramEnd"/>
            <w:r>
              <w:rPr>
                <w:rFonts w:ascii="Arial" w:hAnsi="Arial" w:cs="Arial"/>
                <w:b/>
                <w:bCs/>
                <w:sz w:val="20"/>
                <w:szCs w:val="20"/>
              </w:rPr>
              <w:t xml:space="preserve"> to submit project timeline/schedule)</w:t>
            </w:r>
          </w:p>
        </w:tc>
        <w:tc>
          <w:tcPr>
            <w:tcW w:w="2552" w:type="dxa"/>
            <w:vAlign w:val="center"/>
          </w:tcPr>
          <w:p w14:paraId="66570AD3" w14:textId="77777777" w:rsidR="00DC6A4C" w:rsidRPr="00EA6C23" w:rsidRDefault="00DC6A4C" w:rsidP="00DC6A4C">
            <w:pPr>
              <w:spacing w:before="240"/>
              <w:rPr>
                <w:rFonts w:ascii="Arial" w:hAnsi="Arial" w:cs="Arial"/>
                <w:b/>
                <w:bCs/>
                <w:sz w:val="20"/>
                <w:szCs w:val="20"/>
              </w:rPr>
            </w:pPr>
            <w:r w:rsidRPr="00EA6C23">
              <w:rPr>
                <w:rFonts w:ascii="Arial" w:hAnsi="Arial" w:cs="Arial"/>
                <w:sz w:val="20"/>
                <w:szCs w:val="20"/>
              </w:rPr>
              <w:t>Feasibility of timeline and ability to deliver by Nov 2025</w:t>
            </w:r>
          </w:p>
        </w:tc>
        <w:tc>
          <w:tcPr>
            <w:tcW w:w="992" w:type="dxa"/>
            <w:vAlign w:val="center"/>
          </w:tcPr>
          <w:p w14:paraId="34471EB0" w14:textId="77777777" w:rsidR="00DC6A4C" w:rsidRPr="00EA6C23" w:rsidRDefault="00DC6A4C" w:rsidP="00DC6A4C">
            <w:pPr>
              <w:spacing w:before="240"/>
              <w:rPr>
                <w:rFonts w:ascii="Arial" w:hAnsi="Arial" w:cs="Arial"/>
                <w:b/>
                <w:bCs/>
                <w:sz w:val="20"/>
                <w:szCs w:val="20"/>
              </w:rPr>
            </w:pPr>
            <w:r>
              <w:rPr>
                <w:rFonts w:ascii="Arial" w:hAnsi="Arial" w:cs="Arial"/>
                <w:sz w:val="20"/>
                <w:szCs w:val="20"/>
              </w:rPr>
              <w:t>15</w:t>
            </w:r>
            <w:r w:rsidRPr="00EA6C23">
              <w:rPr>
                <w:rFonts w:ascii="Arial" w:hAnsi="Arial" w:cs="Arial"/>
                <w:sz w:val="20"/>
                <w:szCs w:val="20"/>
              </w:rPr>
              <w:t>%</w:t>
            </w:r>
          </w:p>
        </w:tc>
        <w:tc>
          <w:tcPr>
            <w:tcW w:w="992" w:type="dxa"/>
            <w:vAlign w:val="center"/>
          </w:tcPr>
          <w:p w14:paraId="27711E34" w14:textId="77777777" w:rsidR="00DC6A4C" w:rsidRPr="00EA6C23" w:rsidRDefault="00DC6A4C" w:rsidP="00DC6A4C">
            <w:pPr>
              <w:spacing w:before="240"/>
              <w:rPr>
                <w:rFonts w:ascii="Arial" w:hAnsi="Arial" w:cs="Arial"/>
                <w:b/>
                <w:bCs/>
                <w:sz w:val="20"/>
                <w:szCs w:val="20"/>
              </w:rPr>
            </w:pPr>
            <w:r w:rsidRPr="00EA6C23">
              <w:rPr>
                <w:rFonts w:ascii="Arial" w:hAnsi="Arial" w:cs="Arial"/>
                <w:sz w:val="20"/>
                <w:szCs w:val="20"/>
              </w:rPr>
              <w:t>0–5</w:t>
            </w:r>
          </w:p>
        </w:tc>
        <w:tc>
          <w:tcPr>
            <w:tcW w:w="2410" w:type="dxa"/>
            <w:vAlign w:val="center"/>
          </w:tcPr>
          <w:p w14:paraId="39A089AE" w14:textId="77777777" w:rsidR="00DC6A4C" w:rsidRPr="00EA6C23" w:rsidRDefault="00DC6A4C" w:rsidP="00DC6A4C">
            <w:pPr>
              <w:spacing w:before="240"/>
              <w:rPr>
                <w:rFonts w:ascii="Arial" w:hAnsi="Arial" w:cs="Arial"/>
                <w:b/>
                <w:bCs/>
                <w:sz w:val="20"/>
                <w:szCs w:val="20"/>
              </w:rPr>
            </w:pPr>
            <w:r w:rsidRPr="00EA6C23">
              <w:rPr>
                <w:rFonts w:ascii="Arial" w:hAnsi="Arial" w:cs="Arial"/>
                <w:sz w:val="20"/>
                <w:szCs w:val="20"/>
              </w:rPr>
              <w:t>5 = Fully aligned with deadlines; 3 = Some concern; 1 = Unrealistic or vague</w:t>
            </w:r>
          </w:p>
        </w:tc>
      </w:tr>
      <w:tr w:rsidR="00DC6A4C" w14:paraId="548FCEE5" w14:textId="77777777" w:rsidTr="00DC6A4C">
        <w:tc>
          <w:tcPr>
            <w:tcW w:w="2972" w:type="dxa"/>
          </w:tcPr>
          <w:p w14:paraId="3BF8BE3B" w14:textId="77777777" w:rsidR="00DC6A4C" w:rsidRPr="00EA6C23" w:rsidRDefault="00DC6A4C" w:rsidP="00DC6A4C">
            <w:pPr>
              <w:spacing w:before="240"/>
              <w:rPr>
                <w:rFonts w:ascii="Arial" w:hAnsi="Arial" w:cs="Arial"/>
                <w:b/>
                <w:bCs/>
                <w:sz w:val="20"/>
                <w:szCs w:val="20"/>
              </w:rPr>
            </w:pPr>
            <w:r>
              <w:rPr>
                <w:rFonts w:ascii="Arial" w:hAnsi="Arial" w:cs="Arial"/>
                <w:b/>
                <w:bCs/>
                <w:sz w:val="20"/>
                <w:szCs w:val="20"/>
              </w:rPr>
              <w:t xml:space="preserve">Total Score </w:t>
            </w:r>
          </w:p>
        </w:tc>
        <w:tc>
          <w:tcPr>
            <w:tcW w:w="2552" w:type="dxa"/>
          </w:tcPr>
          <w:p w14:paraId="50A6A66A" w14:textId="77777777" w:rsidR="00DC6A4C" w:rsidRPr="00EA6C23" w:rsidRDefault="00DC6A4C" w:rsidP="00DC6A4C">
            <w:pPr>
              <w:spacing w:before="240"/>
              <w:rPr>
                <w:rFonts w:ascii="Arial" w:hAnsi="Arial" w:cs="Arial"/>
                <w:b/>
                <w:bCs/>
                <w:sz w:val="20"/>
                <w:szCs w:val="20"/>
              </w:rPr>
            </w:pPr>
          </w:p>
        </w:tc>
        <w:tc>
          <w:tcPr>
            <w:tcW w:w="992" w:type="dxa"/>
          </w:tcPr>
          <w:p w14:paraId="244B0734" w14:textId="77777777" w:rsidR="00DC6A4C" w:rsidRPr="00EA6C23" w:rsidRDefault="00DC6A4C" w:rsidP="00DC6A4C">
            <w:pPr>
              <w:spacing w:before="240"/>
              <w:rPr>
                <w:rFonts w:ascii="Arial" w:hAnsi="Arial" w:cs="Arial"/>
                <w:b/>
                <w:bCs/>
                <w:sz w:val="20"/>
                <w:szCs w:val="20"/>
              </w:rPr>
            </w:pPr>
            <w:r>
              <w:rPr>
                <w:rFonts w:ascii="Arial" w:hAnsi="Arial" w:cs="Arial"/>
                <w:b/>
                <w:bCs/>
                <w:sz w:val="20"/>
                <w:szCs w:val="20"/>
              </w:rPr>
              <w:t>100%</w:t>
            </w:r>
          </w:p>
        </w:tc>
        <w:tc>
          <w:tcPr>
            <w:tcW w:w="992" w:type="dxa"/>
          </w:tcPr>
          <w:p w14:paraId="6D600F6F" w14:textId="77777777" w:rsidR="00DC6A4C" w:rsidRPr="00EA6C23" w:rsidRDefault="00DC6A4C" w:rsidP="00DC6A4C">
            <w:pPr>
              <w:spacing w:before="240"/>
              <w:rPr>
                <w:rFonts w:ascii="Arial" w:hAnsi="Arial" w:cs="Arial"/>
                <w:b/>
                <w:bCs/>
                <w:sz w:val="20"/>
                <w:szCs w:val="20"/>
              </w:rPr>
            </w:pPr>
          </w:p>
        </w:tc>
        <w:tc>
          <w:tcPr>
            <w:tcW w:w="2410" w:type="dxa"/>
          </w:tcPr>
          <w:p w14:paraId="193D0259" w14:textId="77777777" w:rsidR="00DC6A4C" w:rsidRPr="00EA6C23" w:rsidRDefault="00DC6A4C" w:rsidP="00DC6A4C">
            <w:pPr>
              <w:spacing w:before="240"/>
              <w:rPr>
                <w:rFonts w:ascii="Arial" w:hAnsi="Arial" w:cs="Arial"/>
                <w:b/>
                <w:bCs/>
                <w:sz w:val="20"/>
                <w:szCs w:val="20"/>
              </w:rPr>
            </w:pPr>
          </w:p>
        </w:tc>
      </w:tr>
    </w:tbl>
    <w:p w14:paraId="7B62D847" w14:textId="4E650B16" w:rsidR="009F1F4F" w:rsidRPr="006A4609" w:rsidRDefault="009F1F4F" w:rsidP="009F1F4F">
      <w:pPr>
        <w:spacing w:before="240"/>
        <w:jc w:val="both"/>
        <w:rPr>
          <w:rFonts w:cstheme="minorHAnsi"/>
        </w:rPr>
      </w:pPr>
      <w:r w:rsidRPr="00B416B2">
        <w:rPr>
          <w:b/>
          <w:bCs/>
        </w:rPr>
        <w:t>Note: Bidders that score &lt;</w:t>
      </w:r>
      <w:r>
        <w:rPr>
          <w:b/>
          <w:bCs/>
        </w:rPr>
        <w:t>7</w:t>
      </w:r>
      <w:r w:rsidRPr="00B416B2">
        <w:rPr>
          <w:b/>
          <w:bCs/>
        </w:rPr>
        <w:t>0 out of 100 in respect of Technical/Functional evaluation criteria will be regarded as submitting a non-responsive bid and will not be evaluated further</w:t>
      </w:r>
      <w:r>
        <w:rPr>
          <w:b/>
          <w:bCs/>
        </w:rPr>
        <w:t>.</w:t>
      </w:r>
    </w:p>
    <w:p w14:paraId="52F37F47" w14:textId="77777777" w:rsidR="004A6DBD" w:rsidRDefault="004A6DBD" w:rsidP="00232AC1">
      <w:pPr>
        <w:spacing w:after="0"/>
        <w:jc w:val="both"/>
        <w:rPr>
          <w:rFonts w:cstheme="minorHAnsi"/>
        </w:rPr>
      </w:pPr>
    </w:p>
    <w:p w14:paraId="78FBD226" w14:textId="51194EDE" w:rsidR="000D69F9" w:rsidRPr="00232AC1" w:rsidRDefault="00232AC1" w:rsidP="00232AC1">
      <w:pPr>
        <w:spacing w:after="0"/>
        <w:jc w:val="both"/>
        <w:rPr>
          <w:rFonts w:cstheme="minorHAnsi"/>
          <w:b/>
          <w:u w:val="single"/>
        </w:rPr>
      </w:pPr>
      <w:r w:rsidRPr="00232AC1">
        <w:rPr>
          <w:rFonts w:cstheme="minorHAnsi"/>
          <w:b/>
        </w:rPr>
        <w:t>2.</w:t>
      </w:r>
      <w:r>
        <w:rPr>
          <w:rFonts w:cstheme="minorHAnsi"/>
          <w:b/>
          <w:u w:val="single"/>
        </w:rPr>
        <w:t xml:space="preserve"> </w:t>
      </w:r>
      <w:r w:rsidR="001F169B" w:rsidRPr="00232AC1">
        <w:rPr>
          <w:rFonts w:cstheme="minorHAnsi"/>
          <w:b/>
          <w:u w:val="single"/>
        </w:rPr>
        <w:t xml:space="preserve">Phase 2 - </w:t>
      </w:r>
      <w:r w:rsidR="000D69F9" w:rsidRPr="00232AC1">
        <w:rPr>
          <w:rFonts w:cstheme="minorHAnsi"/>
          <w:b/>
          <w:u w:val="single"/>
        </w:rPr>
        <w:t xml:space="preserve">Evaluation </w:t>
      </w:r>
      <w:r w:rsidRPr="00232AC1">
        <w:rPr>
          <w:rFonts w:cstheme="minorHAnsi"/>
          <w:b/>
          <w:u w:val="single"/>
        </w:rPr>
        <w:t>in</w:t>
      </w:r>
      <w:r w:rsidR="000D69F9" w:rsidRPr="00232AC1">
        <w:rPr>
          <w:rFonts w:cstheme="minorHAnsi"/>
          <w:b/>
          <w:u w:val="single"/>
        </w:rPr>
        <w:t xml:space="preserve"> Terms </w:t>
      </w:r>
      <w:r w:rsidRPr="00232AC1">
        <w:rPr>
          <w:rFonts w:cstheme="minorHAnsi"/>
          <w:b/>
          <w:u w:val="single"/>
        </w:rPr>
        <w:t>of</w:t>
      </w:r>
      <w:r w:rsidR="000D69F9" w:rsidRPr="00232AC1">
        <w:rPr>
          <w:rFonts w:cstheme="minorHAnsi"/>
          <w:b/>
          <w:u w:val="single"/>
        </w:rPr>
        <w:t xml:space="preserve"> Preferential Procurement </w:t>
      </w:r>
      <w:r w:rsidR="003B5BB2" w:rsidRPr="00232AC1">
        <w:rPr>
          <w:rFonts w:cstheme="minorHAnsi"/>
          <w:b/>
          <w:u w:val="single"/>
        </w:rPr>
        <w:t>Policy Framework Act, 2022</w:t>
      </w:r>
    </w:p>
    <w:p w14:paraId="6FB9FABB" w14:textId="2B95D2F4" w:rsidR="000D69F9" w:rsidRDefault="000D69F9" w:rsidP="001A799E">
      <w:pPr>
        <w:spacing w:after="0"/>
        <w:jc w:val="both"/>
        <w:rPr>
          <w:rFonts w:cstheme="minorHAnsi"/>
          <w:color w:val="000000"/>
        </w:rPr>
      </w:pPr>
      <w:r w:rsidRPr="00A44540">
        <w:rPr>
          <w:rFonts w:cstheme="minorHAnsi"/>
          <w:color w:val="000000"/>
        </w:rPr>
        <w:t>This bid will be evaluated and adjudicated a</w:t>
      </w:r>
      <w:r w:rsidR="009D6BF6">
        <w:rPr>
          <w:rFonts w:cstheme="minorHAnsi"/>
          <w:color w:val="000000"/>
        </w:rPr>
        <w:t xml:space="preserve">ccording to the </w:t>
      </w:r>
      <w:r w:rsidR="00BD1B78">
        <w:rPr>
          <w:rFonts w:cstheme="minorHAnsi"/>
          <w:color w:val="000000"/>
        </w:rPr>
        <w:t>80/20-point</w:t>
      </w:r>
      <w:r w:rsidRPr="00A44540">
        <w:rPr>
          <w:rFonts w:cstheme="minorHAnsi"/>
          <w:color w:val="000000"/>
        </w:rPr>
        <w:t xml:space="preserve"> system, in terms of which a maximum of 80 points will be awarded for price and 20 points will be allocated based on the </w:t>
      </w:r>
      <w:r w:rsidR="003B5BB2">
        <w:rPr>
          <w:rFonts w:cstheme="minorHAnsi"/>
          <w:color w:val="000000"/>
        </w:rPr>
        <w:t>specific goals</w:t>
      </w:r>
      <w:r w:rsidR="00AB1010">
        <w:rPr>
          <w:rFonts w:cstheme="minorHAnsi"/>
          <w:color w:val="000000"/>
        </w:rPr>
        <w:t xml:space="preserve"> (B-BBE status level)</w:t>
      </w:r>
      <w:r w:rsidR="009D6BF6">
        <w:rPr>
          <w:rFonts w:cstheme="minorHAnsi"/>
          <w:color w:val="000000"/>
        </w:rPr>
        <w:t>.</w:t>
      </w:r>
    </w:p>
    <w:p w14:paraId="4CD4CCBF" w14:textId="77777777" w:rsidR="008E0775" w:rsidRDefault="008E0775" w:rsidP="001A799E">
      <w:pPr>
        <w:spacing w:after="0"/>
        <w:jc w:val="both"/>
        <w:rPr>
          <w:rFonts w:cstheme="minorHAnsi"/>
          <w:color w:val="000000"/>
        </w:rPr>
      </w:pPr>
    </w:p>
    <w:p w14:paraId="77ED9FC1" w14:textId="77777777" w:rsidR="004B26AC" w:rsidRPr="00A44540" w:rsidRDefault="004B26AC" w:rsidP="001A799E">
      <w:pPr>
        <w:spacing w:after="0"/>
        <w:jc w:val="both"/>
        <w:rPr>
          <w:rFonts w:cstheme="minorHAnsi"/>
          <w:color w:val="000000"/>
        </w:rPr>
      </w:pPr>
    </w:p>
    <w:p w14:paraId="1ABF9C1F" w14:textId="77777777" w:rsidR="00CD0B19" w:rsidRDefault="00CD0B19" w:rsidP="001A799E">
      <w:pPr>
        <w:spacing w:after="0"/>
        <w:jc w:val="both"/>
        <w:rPr>
          <w:rFonts w:cstheme="minorHAnsi"/>
          <w:color w:val="00000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657B06" w:rsidRPr="001A7082" w14:paraId="6EBB4863" w14:textId="77777777" w:rsidTr="00E06904">
        <w:tc>
          <w:tcPr>
            <w:tcW w:w="5130" w:type="dxa"/>
            <w:shd w:val="clear" w:color="auto" w:fill="C00000"/>
            <w:vAlign w:val="bottom"/>
          </w:tcPr>
          <w:p w14:paraId="43D517D8" w14:textId="77777777" w:rsidR="00657B06" w:rsidRPr="001A7082" w:rsidRDefault="00657B06" w:rsidP="00E0690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6100975A" w14:textId="77777777" w:rsidR="00657B06" w:rsidRPr="001A7082" w:rsidRDefault="00657B06" w:rsidP="00E0690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657B06" w:rsidRPr="001A7082" w14:paraId="6C61A8FD" w14:textId="77777777" w:rsidTr="00E06904">
        <w:tc>
          <w:tcPr>
            <w:tcW w:w="5130" w:type="dxa"/>
            <w:shd w:val="clear" w:color="auto" w:fill="auto"/>
            <w:vAlign w:val="bottom"/>
          </w:tcPr>
          <w:p w14:paraId="21D4DF00" w14:textId="77777777" w:rsidR="00657B06" w:rsidRPr="001A7082" w:rsidRDefault="00657B06" w:rsidP="00E0690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auto"/>
          </w:tcPr>
          <w:p w14:paraId="7E7BBF2A" w14:textId="77777777" w:rsidR="00657B06" w:rsidRPr="00761E82" w:rsidRDefault="00657B06" w:rsidP="00E06904">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761E82">
              <w:rPr>
                <w:rFonts w:ascii="Arial" w:eastAsia="Times New Roman" w:hAnsi="Arial" w:cs="Arial"/>
                <w:b/>
                <w:bCs/>
                <w:snapToGrid w:val="0"/>
                <w:lang w:val="en-GB"/>
              </w:rPr>
              <w:t>80</w:t>
            </w:r>
          </w:p>
        </w:tc>
      </w:tr>
      <w:tr w:rsidR="00657B06" w:rsidRPr="001A7082" w14:paraId="0370A8D5" w14:textId="77777777" w:rsidTr="00E06904">
        <w:tc>
          <w:tcPr>
            <w:tcW w:w="5130" w:type="dxa"/>
            <w:shd w:val="clear" w:color="auto" w:fill="auto"/>
            <w:vAlign w:val="bottom"/>
          </w:tcPr>
          <w:p w14:paraId="799CE020" w14:textId="77777777" w:rsidR="00657B06" w:rsidRPr="001A7082" w:rsidRDefault="00657B06" w:rsidP="00E0690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r w:rsidR="008E0775">
              <w:rPr>
                <w:rFonts w:ascii="Arial" w:eastAsia="Times New Roman" w:hAnsi="Arial" w:cs="Arial"/>
                <w:b/>
                <w:snapToGrid w:val="0"/>
                <w:lang w:val="en-GB"/>
              </w:rPr>
              <w:t xml:space="preserve"> </w:t>
            </w:r>
            <w:proofErr w:type="gramStart"/>
            <w:r w:rsidR="008E0775">
              <w:rPr>
                <w:rFonts w:ascii="Arial" w:eastAsia="Times New Roman" w:hAnsi="Arial" w:cs="Arial"/>
                <w:b/>
                <w:snapToGrid w:val="0"/>
                <w:lang w:val="en-GB"/>
              </w:rPr>
              <w:t>( B</w:t>
            </w:r>
            <w:proofErr w:type="gramEnd"/>
            <w:r w:rsidR="008E0775">
              <w:rPr>
                <w:rFonts w:ascii="Arial" w:eastAsia="Times New Roman" w:hAnsi="Arial" w:cs="Arial"/>
                <w:b/>
                <w:snapToGrid w:val="0"/>
                <w:lang w:val="en-GB"/>
              </w:rPr>
              <w:t>-BBEE status level)</w:t>
            </w:r>
          </w:p>
        </w:tc>
        <w:tc>
          <w:tcPr>
            <w:tcW w:w="1800" w:type="dxa"/>
            <w:shd w:val="clear" w:color="auto" w:fill="auto"/>
          </w:tcPr>
          <w:p w14:paraId="124F3353" w14:textId="77777777" w:rsidR="00657B06" w:rsidRPr="00761E82" w:rsidRDefault="00657B06" w:rsidP="00E06904">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761E82">
              <w:rPr>
                <w:rFonts w:ascii="Arial" w:eastAsia="Times New Roman" w:hAnsi="Arial" w:cs="Arial"/>
                <w:b/>
                <w:bCs/>
                <w:snapToGrid w:val="0"/>
                <w:lang w:val="en-GB"/>
              </w:rPr>
              <w:t>20</w:t>
            </w:r>
          </w:p>
        </w:tc>
      </w:tr>
      <w:tr w:rsidR="00657B06" w:rsidRPr="001A7082" w14:paraId="4C39D3E1" w14:textId="77777777" w:rsidTr="00E06904">
        <w:tc>
          <w:tcPr>
            <w:tcW w:w="5130" w:type="dxa"/>
            <w:shd w:val="clear" w:color="auto" w:fill="auto"/>
            <w:vAlign w:val="bottom"/>
          </w:tcPr>
          <w:p w14:paraId="1409B744" w14:textId="77777777" w:rsidR="00657B06" w:rsidRPr="001A7082" w:rsidRDefault="00657B06" w:rsidP="00E0690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53C874E8" w14:textId="77777777" w:rsidR="00657B06" w:rsidRPr="001A7082" w:rsidRDefault="00657B06" w:rsidP="00E0690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61823248" w14:textId="77777777" w:rsidR="00657B06" w:rsidRDefault="00657B06" w:rsidP="001A799E">
      <w:pPr>
        <w:spacing w:after="0"/>
        <w:jc w:val="both"/>
        <w:rPr>
          <w:rFonts w:cstheme="minorHAnsi"/>
          <w:color w:val="000000"/>
        </w:rPr>
      </w:pPr>
    </w:p>
    <w:p w14:paraId="5ACFE24D" w14:textId="77777777" w:rsidR="00657B06" w:rsidRDefault="00657B06" w:rsidP="001A799E">
      <w:pPr>
        <w:spacing w:after="0"/>
        <w:jc w:val="both"/>
        <w:rPr>
          <w:rFonts w:cstheme="minorHAnsi"/>
          <w:color w:val="000000"/>
        </w:rPr>
      </w:pPr>
    </w:p>
    <w:p w14:paraId="74297E42" w14:textId="77777777" w:rsidR="00703016" w:rsidRDefault="00703016" w:rsidP="001A799E">
      <w:pPr>
        <w:spacing w:after="0"/>
        <w:jc w:val="both"/>
        <w:rPr>
          <w:rFonts w:cstheme="minorHAnsi"/>
          <w:b/>
          <w:color w:val="FF0000"/>
        </w:rPr>
      </w:pPr>
    </w:p>
    <w:p w14:paraId="76DDA575" w14:textId="77777777" w:rsidR="00703016" w:rsidRDefault="00703016" w:rsidP="001A799E">
      <w:pPr>
        <w:spacing w:after="0"/>
        <w:jc w:val="both"/>
        <w:rPr>
          <w:rFonts w:cstheme="minorHAnsi"/>
          <w:b/>
        </w:rPr>
      </w:pPr>
      <w:r w:rsidRPr="00703016">
        <w:rPr>
          <w:rFonts w:cstheme="minorHAnsi"/>
          <w:b/>
        </w:rPr>
        <w:t>Preference goal</w:t>
      </w:r>
    </w:p>
    <w:p w14:paraId="30216088" w14:textId="77777777" w:rsidR="00703016" w:rsidRPr="00703016" w:rsidRDefault="00703016" w:rsidP="001A799E">
      <w:pPr>
        <w:spacing w:after="0"/>
        <w:jc w:val="both"/>
        <w:rPr>
          <w:rFonts w:cstheme="minorHAnsi"/>
          <w:b/>
        </w:rPr>
      </w:pPr>
      <w:r>
        <w:rPr>
          <w:rFonts w:cstheme="minorHAnsi"/>
          <w:b/>
        </w:rPr>
        <w:t>B-BBEE status level contributor</w:t>
      </w:r>
    </w:p>
    <w:p w14:paraId="0B8111F5" w14:textId="77777777" w:rsidR="00703016" w:rsidRDefault="00703016" w:rsidP="001A799E">
      <w:pPr>
        <w:spacing w:after="0"/>
        <w:jc w:val="both"/>
        <w:rPr>
          <w:rFonts w:cstheme="minorHAnsi"/>
          <w:b/>
          <w:color w:val="FF000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6390"/>
      </w:tblGrid>
      <w:tr w:rsidR="00703016" w:rsidRPr="00EF6AC7" w14:paraId="302C743F" w14:textId="77777777" w:rsidTr="00703016">
        <w:trPr>
          <w:trHeight w:val="863"/>
        </w:trPr>
        <w:tc>
          <w:tcPr>
            <w:tcW w:w="3533" w:type="dxa"/>
            <w:shd w:val="clear" w:color="auto" w:fill="C00000"/>
            <w:vAlign w:val="center"/>
          </w:tcPr>
          <w:p w14:paraId="719AA198" w14:textId="77777777" w:rsidR="00703016" w:rsidRPr="00EF6AC7" w:rsidRDefault="00703016" w:rsidP="00E06904">
            <w:pPr>
              <w:pStyle w:val="NormalWeb"/>
              <w:kinsoku w:val="0"/>
              <w:overflowPunct w:val="0"/>
              <w:spacing w:before="96" w:after="0"/>
              <w:jc w:val="center"/>
              <w:textAlignment w:val="baseline"/>
              <w:rPr>
                <w:rFonts w:ascii="Arial" w:hAnsi="Arial" w:cs="Arial"/>
                <w:b/>
                <w:sz w:val="22"/>
                <w:szCs w:val="22"/>
              </w:rPr>
            </w:pPr>
            <w:r w:rsidRPr="00EF6AC7">
              <w:rPr>
                <w:rFonts w:ascii="Arial" w:hAnsi="Arial" w:cs="Arial"/>
                <w:b/>
                <w:kern w:val="24"/>
                <w:sz w:val="22"/>
                <w:szCs w:val="22"/>
              </w:rPr>
              <w:t>B-BBEE Status Level of Contributor</w:t>
            </w:r>
          </w:p>
        </w:tc>
        <w:tc>
          <w:tcPr>
            <w:tcW w:w="6390" w:type="dxa"/>
            <w:shd w:val="clear" w:color="auto" w:fill="C00000"/>
            <w:vAlign w:val="center"/>
          </w:tcPr>
          <w:p w14:paraId="543629E5" w14:textId="77777777" w:rsidR="00703016" w:rsidRPr="00EF6AC7" w:rsidRDefault="00703016" w:rsidP="00E06904">
            <w:pPr>
              <w:pStyle w:val="NormalWeb"/>
              <w:kinsoku w:val="0"/>
              <w:overflowPunct w:val="0"/>
              <w:spacing w:before="96" w:after="0"/>
              <w:jc w:val="center"/>
              <w:textAlignment w:val="baseline"/>
              <w:rPr>
                <w:rFonts w:ascii="Arial" w:hAnsi="Arial" w:cs="Arial"/>
                <w:b/>
                <w:kern w:val="24"/>
                <w:sz w:val="22"/>
                <w:szCs w:val="22"/>
              </w:rPr>
            </w:pPr>
            <w:r w:rsidRPr="00EF6AC7">
              <w:rPr>
                <w:rFonts w:ascii="Arial" w:hAnsi="Arial" w:cs="Arial"/>
                <w:b/>
                <w:kern w:val="24"/>
                <w:sz w:val="22"/>
                <w:szCs w:val="22"/>
              </w:rPr>
              <w:t>Number of points</w:t>
            </w:r>
          </w:p>
          <w:p w14:paraId="3CF222C3" w14:textId="77777777" w:rsidR="00703016" w:rsidRPr="00EF6AC7" w:rsidRDefault="00703016" w:rsidP="00E06904">
            <w:pPr>
              <w:pStyle w:val="NormalWeb"/>
              <w:kinsoku w:val="0"/>
              <w:overflowPunct w:val="0"/>
              <w:spacing w:before="96" w:after="0"/>
              <w:jc w:val="center"/>
              <w:textAlignment w:val="baseline"/>
              <w:rPr>
                <w:rFonts w:ascii="Arial" w:hAnsi="Arial" w:cs="Arial"/>
                <w:b/>
                <w:sz w:val="22"/>
                <w:szCs w:val="22"/>
              </w:rPr>
            </w:pPr>
            <w:r w:rsidRPr="00EF6AC7">
              <w:rPr>
                <w:rFonts w:ascii="Arial" w:hAnsi="Arial" w:cs="Arial"/>
                <w:b/>
                <w:kern w:val="24"/>
                <w:sz w:val="22"/>
                <w:szCs w:val="22"/>
              </w:rPr>
              <w:t>(80/20 system)</w:t>
            </w:r>
          </w:p>
        </w:tc>
      </w:tr>
      <w:tr w:rsidR="00703016" w:rsidRPr="00EF6AC7" w14:paraId="0478EF7B" w14:textId="77777777" w:rsidTr="00703016">
        <w:trPr>
          <w:trHeight w:val="317"/>
        </w:trPr>
        <w:tc>
          <w:tcPr>
            <w:tcW w:w="3533" w:type="dxa"/>
            <w:shd w:val="clear" w:color="auto" w:fill="auto"/>
          </w:tcPr>
          <w:p w14:paraId="347473D2"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w:t>
            </w:r>
          </w:p>
        </w:tc>
        <w:tc>
          <w:tcPr>
            <w:tcW w:w="6390" w:type="dxa"/>
            <w:shd w:val="clear" w:color="auto" w:fill="auto"/>
          </w:tcPr>
          <w:p w14:paraId="728C1E72"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20</w:t>
            </w:r>
          </w:p>
        </w:tc>
      </w:tr>
      <w:tr w:rsidR="00703016" w:rsidRPr="00EF6AC7" w14:paraId="14533EBB" w14:textId="77777777" w:rsidTr="00703016">
        <w:trPr>
          <w:trHeight w:val="317"/>
        </w:trPr>
        <w:tc>
          <w:tcPr>
            <w:tcW w:w="3533" w:type="dxa"/>
            <w:shd w:val="clear" w:color="auto" w:fill="auto"/>
          </w:tcPr>
          <w:p w14:paraId="2E880319"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2</w:t>
            </w:r>
          </w:p>
        </w:tc>
        <w:tc>
          <w:tcPr>
            <w:tcW w:w="6390" w:type="dxa"/>
            <w:shd w:val="clear" w:color="auto" w:fill="auto"/>
          </w:tcPr>
          <w:p w14:paraId="32EB9F83"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18</w:t>
            </w:r>
          </w:p>
        </w:tc>
      </w:tr>
      <w:tr w:rsidR="00703016" w:rsidRPr="00EF6AC7" w14:paraId="6E6EA48F" w14:textId="77777777" w:rsidTr="00703016">
        <w:trPr>
          <w:trHeight w:val="317"/>
        </w:trPr>
        <w:tc>
          <w:tcPr>
            <w:tcW w:w="3533" w:type="dxa"/>
            <w:shd w:val="clear" w:color="auto" w:fill="auto"/>
          </w:tcPr>
          <w:p w14:paraId="589A531D"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3</w:t>
            </w:r>
          </w:p>
        </w:tc>
        <w:tc>
          <w:tcPr>
            <w:tcW w:w="6390" w:type="dxa"/>
            <w:shd w:val="clear" w:color="auto" w:fill="auto"/>
          </w:tcPr>
          <w:p w14:paraId="33736ECE"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14</w:t>
            </w:r>
          </w:p>
        </w:tc>
      </w:tr>
      <w:tr w:rsidR="00703016" w:rsidRPr="00EF6AC7" w14:paraId="4E29617A" w14:textId="77777777" w:rsidTr="00703016">
        <w:trPr>
          <w:trHeight w:val="317"/>
        </w:trPr>
        <w:tc>
          <w:tcPr>
            <w:tcW w:w="3533" w:type="dxa"/>
            <w:shd w:val="clear" w:color="auto" w:fill="auto"/>
          </w:tcPr>
          <w:p w14:paraId="25ABE5FB"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4</w:t>
            </w:r>
          </w:p>
        </w:tc>
        <w:tc>
          <w:tcPr>
            <w:tcW w:w="6390" w:type="dxa"/>
            <w:shd w:val="clear" w:color="auto" w:fill="auto"/>
          </w:tcPr>
          <w:p w14:paraId="4EA2948A"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12</w:t>
            </w:r>
          </w:p>
        </w:tc>
      </w:tr>
      <w:tr w:rsidR="00703016" w:rsidRPr="00EF6AC7" w14:paraId="1D1F29A9" w14:textId="77777777" w:rsidTr="00703016">
        <w:trPr>
          <w:trHeight w:val="317"/>
        </w:trPr>
        <w:tc>
          <w:tcPr>
            <w:tcW w:w="3533" w:type="dxa"/>
            <w:shd w:val="clear" w:color="auto" w:fill="auto"/>
          </w:tcPr>
          <w:p w14:paraId="248D5C04"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5</w:t>
            </w:r>
          </w:p>
        </w:tc>
        <w:tc>
          <w:tcPr>
            <w:tcW w:w="6390" w:type="dxa"/>
            <w:shd w:val="clear" w:color="auto" w:fill="auto"/>
          </w:tcPr>
          <w:p w14:paraId="5E0FBEFF"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8</w:t>
            </w:r>
          </w:p>
        </w:tc>
      </w:tr>
      <w:tr w:rsidR="00703016" w:rsidRPr="00EF6AC7" w14:paraId="3C362FE4" w14:textId="77777777" w:rsidTr="00703016">
        <w:trPr>
          <w:trHeight w:val="317"/>
        </w:trPr>
        <w:tc>
          <w:tcPr>
            <w:tcW w:w="3533" w:type="dxa"/>
            <w:shd w:val="clear" w:color="auto" w:fill="auto"/>
          </w:tcPr>
          <w:p w14:paraId="4F8DF6E2"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6</w:t>
            </w:r>
          </w:p>
        </w:tc>
        <w:tc>
          <w:tcPr>
            <w:tcW w:w="6390" w:type="dxa"/>
            <w:shd w:val="clear" w:color="auto" w:fill="auto"/>
          </w:tcPr>
          <w:p w14:paraId="144528AD"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6</w:t>
            </w:r>
          </w:p>
        </w:tc>
      </w:tr>
      <w:tr w:rsidR="00703016" w:rsidRPr="00EF6AC7" w14:paraId="404181B3" w14:textId="77777777" w:rsidTr="00703016">
        <w:trPr>
          <w:trHeight w:val="317"/>
        </w:trPr>
        <w:tc>
          <w:tcPr>
            <w:tcW w:w="3533" w:type="dxa"/>
            <w:shd w:val="clear" w:color="auto" w:fill="auto"/>
          </w:tcPr>
          <w:p w14:paraId="05D81CC4"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7</w:t>
            </w:r>
          </w:p>
        </w:tc>
        <w:tc>
          <w:tcPr>
            <w:tcW w:w="6390" w:type="dxa"/>
            <w:shd w:val="clear" w:color="auto" w:fill="auto"/>
          </w:tcPr>
          <w:p w14:paraId="4ED44400"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4</w:t>
            </w:r>
          </w:p>
        </w:tc>
      </w:tr>
      <w:tr w:rsidR="00703016" w:rsidRPr="00EF6AC7" w14:paraId="342F37F4" w14:textId="77777777" w:rsidTr="00703016">
        <w:trPr>
          <w:trHeight w:val="317"/>
        </w:trPr>
        <w:tc>
          <w:tcPr>
            <w:tcW w:w="3533" w:type="dxa"/>
            <w:shd w:val="clear" w:color="auto" w:fill="auto"/>
          </w:tcPr>
          <w:p w14:paraId="2C1997BB"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8</w:t>
            </w:r>
          </w:p>
        </w:tc>
        <w:tc>
          <w:tcPr>
            <w:tcW w:w="6390" w:type="dxa"/>
            <w:shd w:val="clear" w:color="auto" w:fill="auto"/>
          </w:tcPr>
          <w:p w14:paraId="6CDEA365"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2</w:t>
            </w:r>
          </w:p>
        </w:tc>
      </w:tr>
      <w:tr w:rsidR="00703016" w:rsidRPr="00EF6AC7" w14:paraId="3396CD01" w14:textId="77777777" w:rsidTr="00703016">
        <w:trPr>
          <w:trHeight w:val="317"/>
        </w:trPr>
        <w:tc>
          <w:tcPr>
            <w:tcW w:w="3533" w:type="dxa"/>
            <w:shd w:val="clear" w:color="auto" w:fill="auto"/>
          </w:tcPr>
          <w:p w14:paraId="1282529A"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Non-compliant contributor</w:t>
            </w:r>
          </w:p>
        </w:tc>
        <w:tc>
          <w:tcPr>
            <w:tcW w:w="6390" w:type="dxa"/>
            <w:shd w:val="clear" w:color="auto" w:fill="auto"/>
          </w:tcPr>
          <w:p w14:paraId="2CA791F2"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0</w:t>
            </w:r>
          </w:p>
        </w:tc>
      </w:tr>
    </w:tbl>
    <w:p w14:paraId="3B435BE8" w14:textId="77777777" w:rsidR="00703016" w:rsidRDefault="00703016" w:rsidP="001A799E">
      <w:pPr>
        <w:spacing w:after="0"/>
        <w:jc w:val="both"/>
        <w:rPr>
          <w:rFonts w:cstheme="minorHAnsi"/>
          <w:b/>
          <w:color w:val="FF0000"/>
        </w:rPr>
      </w:pPr>
    </w:p>
    <w:p w14:paraId="2229A422" w14:textId="77777777" w:rsidR="00657B06" w:rsidRDefault="00657B06" w:rsidP="001A799E">
      <w:pPr>
        <w:spacing w:after="0"/>
        <w:jc w:val="both"/>
        <w:rPr>
          <w:rFonts w:cstheme="minorHAnsi"/>
          <w:b/>
          <w:color w:val="FF0000"/>
        </w:rPr>
      </w:pPr>
    </w:p>
    <w:p w14:paraId="328A5F74" w14:textId="67EAD044" w:rsidR="0096640D" w:rsidRPr="005E29D2" w:rsidRDefault="008260B3" w:rsidP="005E29D2">
      <w:pPr>
        <w:spacing w:after="0"/>
        <w:ind w:left="360"/>
        <w:jc w:val="both"/>
        <w:rPr>
          <w:rFonts w:cstheme="minorHAnsi"/>
          <w:b/>
          <w:sz w:val="24"/>
          <w:szCs w:val="24"/>
          <w:u w:val="single"/>
        </w:rPr>
      </w:pPr>
      <w:r w:rsidRPr="008260B3">
        <w:rPr>
          <w:rFonts w:cstheme="minorHAnsi"/>
          <w:b/>
          <w:sz w:val="24"/>
          <w:szCs w:val="24"/>
        </w:rPr>
        <w:t>10</w:t>
      </w:r>
      <w:r w:rsidR="005E29D2">
        <w:rPr>
          <w:rFonts w:cstheme="minorHAnsi"/>
          <w:b/>
          <w:sz w:val="24"/>
          <w:szCs w:val="24"/>
          <w:u w:val="single"/>
        </w:rPr>
        <w:t xml:space="preserve">.   </w:t>
      </w:r>
      <w:r w:rsidR="0096640D" w:rsidRPr="005E29D2">
        <w:rPr>
          <w:rFonts w:cstheme="minorHAnsi"/>
          <w:b/>
          <w:sz w:val="24"/>
          <w:szCs w:val="24"/>
          <w:u w:val="single"/>
        </w:rPr>
        <w:t>Required Documentation</w:t>
      </w:r>
    </w:p>
    <w:p w14:paraId="017CBA57" w14:textId="24194281" w:rsidR="0096640D" w:rsidRDefault="0096640D" w:rsidP="0096640D">
      <w:pPr>
        <w:pStyle w:val="ListParagraph"/>
        <w:numPr>
          <w:ilvl w:val="0"/>
          <w:numId w:val="1"/>
        </w:numPr>
        <w:spacing w:after="0"/>
        <w:jc w:val="both"/>
        <w:rPr>
          <w:rFonts w:cstheme="minorHAnsi"/>
          <w:b/>
        </w:rPr>
      </w:pPr>
      <w:r w:rsidRPr="0096640D">
        <w:rPr>
          <w:rFonts w:cstheme="minorHAnsi"/>
          <w:b/>
        </w:rPr>
        <w:t>Tax Clearance Certificate</w:t>
      </w:r>
      <w:r w:rsidR="00AB1010">
        <w:rPr>
          <w:rFonts w:cstheme="minorHAnsi"/>
          <w:b/>
        </w:rPr>
        <w:t xml:space="preserve"> </w:t>
      </w:r>
      <w:r w:rsidR="002761DF">
        <w:rPr>
          <w:rFonts w:cstheme="minorHAnsi"/>
          <w:b/>
        </w:rPr>
        <w:t>(Tax</w:t>
      </w:r>
      <w:r w:rsidR="00AB1010">
        <w:rPr>
          <w:rFonts w:cstheme="minorHAnsi"/>
          <w:b/>
        </w:rPr>
        <w:t xml:space="preserve"> pin issued by SARS)</w:t>
      </w:r>
    </w:p>
    <w:p w14:paraId="29053CE0" w14:textId="77777777" w:rsidR="00AB1010" w:rsidRPr="0096640D" w:rsidRDefault="00AB1010" w:rsidP="0096640D">
      <w:pPr>
        <w:pStyle w:val="ListParagraph"/>
        <w:numPr>
          <w:ilvl w:val="0"/>
          <w:numId w:val="1"/>
        </w:numPr>
        <w:spacing w:after="0"/>
        <w:jc w:val="both"/>
        <w:rPr>
          <w:rFonts w:cstheme="minorHAnsi"/>
          <w:b/>
        </w:rPr>
      </w:pPr>
      <w:r>
        <w:rPr>
          <w:rFonts w:cstheme="minorHAnsi"/>
          <w:b/>
        </w:rPr>
        <w:t xml:space="preserve">Declaration of interest </w:t>
      </w:r>
      <w:proofErr w:type="gramStart"/>
      <w:r>
        <w:rPr>
          <w:rFonts w:cstheme="minorHAnsi"/>
          <w:b/>
        </w:rPr>
        <w:t>( SBD</w:t>
      </w:r>
      <w:proofErr w:type="gramEnd"/>
      <w:r>
        <w:rPr>
          <w:rFonts w:cstheme="minorHAnsi"/>
          <w:b/>
        </w:rPr>
        <w:t xml:space="preserve"> 4)</w:t>
      </w:r>
    </w:p>
    <w:p w14:paraId="48FD29BA" w14:textId="77777777" w:rsidR="0096640D" w:rsidRPr="0096640D" w:rsidRDefault="0096640D" w:rsidP="0096640D">
      <w:pPr>
        <w:pStyle w:val="ListParagraph"/>
        <w:numPr>
          <w:ilvl w:val="0"/>
          <w:numId w:val="1"/>
        </w:numPr>
        <w:spacing w:after="0"/>
        <w:jc w:val="both"/>
        <w:rPr>
          <w:rFonts w:cstheme="minorHAnsi"/>
          <w:b/>
        </w:rPr>
      </w:pPr>
      <w:r w:rsidRPr="0096640D">
        <w:rPr>
          <w:rFonts w:cstheme="minorHAnsi"/>
          <w:b/>
        </w:rPr>
        <w:t>BEE Certificate / Applicable Affidavit if classified as EME</w:t>
      </w:r>
    </w:p>
    <w:p w14:paraId="3336AD6F" w14:textId="77777777" w:rsidR="0096640D" w:rsidRPr="0096640D" w:rsidRDefault="0096640D" w:rsidP="0096640D">
      <w:pPr>
        <w:pStyle w:val="ListParagraph"/>
        <w:numPr>
          <w:ilvl w:val="0"/>
          <w:numId w:val="1"/>
        </w:numPr>
        <w:spacing w:after="0"/>
        <w:jc w:val="both"/>
        <w:rPr>
          <w:rFonts w:cstheme="minorHAnsi"/>
          <w:b/>
        </w:rPr>
      </w:pPr>
      <w:r w:rsidRPr="0096640D">
        <w:rPr>
          <w:rFonts w:cstheme="minorHAnsi"/>
          <w:b/>
        </w:rPr>
        <w:t>Letter of Good Standing (COID) only if Applicable due to the nature of work required</w:t>
      </w:r>
    </w:p>
    <w:p w14:paraId="53A849D9" w14:textId="77777777" w:rsidR="0096640D" w:rsidRPr="0096640D" w:rsidRDefault="0096640D" w:rsidP="0096640D">
      <w:pPr>
        <w:pStyle w:val="ListParagraph"/>
        <w:numPr>
          <w:ilvl w:val="0"/>
          <w:numId w:val="1"/>
        </w:numPr>
        <w:spacing w:after="0"/>
        <w:jc w:val="both"/>
        <w:rPr>
          <w:rFonts w:cstheme="minorHAnsi"/>
          <w:b/>
        </w:rPr>
      </w:pPr>
      <w:r w:rsidRPr="0096640D">
        <w:rPr>
          <w:rFonts w:cstheme="minorHAnsi"/>
          <w:b/>
        </w:rPr>
        <w:lastRenderedPageBreak/>
        <w:t>Any other document or certification that might have been requested on this RFQ</w:t>
      </w:r>
    </w:p>
    <w:p w14:paraId="7E66CF89" w14:textId="77777777" w:rsidR="004B26AC" w:rsidRPr="004B26AC" w:rsidRDefault="004B26AC" w:rsidP="004B26AC">
      <w:pPr>
        <w:spacing w:after="0"/>
        <w:jc w:val="both"/>
        <w:rPr>
          <w:rFonts w:cstheme="minorHAnsi"/>
          <w:b/>
        </w:rPr>
      </w:pPr>
    </w:p>
    <w:p w14:paraId="06D6158E" w14:textId="77777777" w:rsidR="004B26AC" w:rsidRPr="0096640D" w:rsidRDefault="004B26AC" w:rsidP="0096640D">
      <w:pPr>
        <w:pStyle w:val="ListParagraph"/>
        <w:spacing w:after="0"/>
        <w:jc w:val="both"/>
        <w:rPr>
          <w:rFonts w:cstheme="minorHAnsi"/>
          <w:b/>
        </w:rPr>
      </w:pPr>
    </w:p>
    <w:p w14:paraId="1CACF75D" w14:textId="05F71DFA" w:rsidR="00302A0A" w:rsidRPr="002761DF" w:rsidRDefault="002761DF" w:rsidP="002761DF">
      <w:pPr>
        <w:spacing w:after="0"/>
        <w:ind w:left="360"/>
        <w:jc w:val="both"/>
        <w:rPr>
          <w:rFonts w:cstheme="minorHAnsi"/>
          <w:b/>
          <w:sz w:val="24"/>
          <w:szCs w:val="24"/>
          <w:u w:val="single"/>
        </w:rPr>
      </w:pPr>
      <w:r w:rsidRPr="002761DF">
        <w:rPr>
          <w:rFonts w:cstheme="minorHAnsi"/>
          <w:b/>
          <w:sz w:val="24"/>
          <w:szCs w:val="24"/>
        </w:rPr>
        <w:t>1</w:t>
      </w:r>
      <w:r w:rsidR="008260B3">
        <w:rPr>
          <w:rFonts w:cstheme="minorHAnsi"/>
          <w:b/>
          <w:sz w:val="24"/>
          <w:szCs w:val="24"/>
        </w:rPr>
        <w:t>1</w:t>
      </w:r>
      <w:r w:rsidRPr="002761DF">
        <w:rPr>
          <w:rFonts w:cstheme="minorHAnsi"/>
          <w:b/>
          <w:sz w:val="24"/>
          <w:szCs w:val="24"/>
        </w:rPr>
        <w:t xml:space="preserve">.      </w:t>
      </w:r>
      <w:r w:rsidR="00A44540" w:rsidRPr="002761DF">
        <w:rPr>
          <w:rFonts w:cstheme="minorHAnsi"/>
          <w:b/>
          <w:sz w:val="24"/>
          <w:szCs w:val="24"/>
          <w:u w:val="single"/>
        </w:rPr>
        <w:t>Important</w:t>
      </w:r>
    </w:p>
    <w:p w14:paraId="329A66F4" w14:textId="77777777" w:rsidR="00657B06" w:rsidRDefault="00657B06" w:rsidP="00657B06">
      <w:pPr>
        <w:spacing w:after="0"/>
        <w:jc w:val="both"/>
        <w:rPr>
          <w:rFonts w:cstheme="minorHAnsi"/>
          <w:b/>
          <w:sz w:val="24"/>
          <w:szCs w:val="24"/>
          <w:u w:val="single"/>
        </w:rPr>
      </w:pPr>
    </w:p>
    <w:p w14:paraId="686C7302" w14:textId="77777777" w:rsidR="00657B06" w:rsidRPr="00657B06" w:rsidRDefault="00657B06" w:rsidP="00657B06">
      <w:pPr>
        <w:spacing w:after="0"/>
        <w:jc w:val="both"/>
        <w:rPr>
          <w:rFonts w:cstheme="minorHAnsi"/>
          <w:b/>
          <w:sz w:val="24"/>
          <w:szCs w:val="24"/>
          <w:u w:val="single"/>
        </w:rPr>
      </w:pPr>
    </w:p>
    <w:p w14:paraId="238501CC" w14:textId="77777777" w:rsidR="000B5B8E" w:rsidRPr="008F1551" w:rsidRDefault="000B5B8E" w:rsidP="009157A4">
      <w:pPr>
        <w:pStyle w:val="ListParagraph"/>
        <w:numPr>
          <w:ilvl w:val="1"/>
          <w:numId w:val="33"/>
        </w:numPr>
        <w:spacing w:after="0"/>
        <w:jc w:val="both"/>
        <w:rPr>
          <w:rFonts w:cstheme="minorHAnsi"/>
          <w:b/>
          <w:sz w:val="24"/>
          <w:szCs w:val="24"/>
          <w:u w:val="single"/>
        </w:rPr>
      </w:pPr>
      <w:r w:rsidRPr="008F1551">
        <w:rPr>
          <w:rFonts w:cstheme="minorHAnsi"/>
          <w:b/>
          <w:sz w:val="20"/>
          <w:szCs w:val="20"/>
        </w:rPr>
        <w:t>Qu</w:t>
      </w:r>
      <w:r w:rsidR="00B9410C" w:rsidRPr="008F1551">
        <w:rPr>
          <w:rFonts w:cstheme="minorHAnsi"/>
          <w:b/>
          <w:sz w:val="20"/>
          <w:szCs w:val="20"/>
        </w:rPr>
        <w:t>otation must be submitted</w:t>
      </w:r>
      <w:r w:rsidR="00657B06">
        <w:rPr>
          <w:rFonts w:cstheme="minorHAnsi"/>
          <w:b/>
          <w:sz w:val="20"/>
          <w:szCs w:val="20"/>
        </w:rPr>
        <w:t xml:space="preserve"> on or </w:t>
      </w:r>
      <w:r w:rsidR="00657B06" w:rsidRPr="008F1551">
        <w:rPr>
          <w:rFonts w:cstheme="minorHAnsi"/>
          <w:b/>
          <w:sz w:val="20"/>
          <w:szCs w:val="20"/>
        </w:rPr>
        <w:t>before</w:t>
      </w:r>
      <w:r w:rsidRPr="008F1551">
        <w:rPr>
          <w:rFonts w:cstheme="minorHAnsi"/>
          <w:b/>
          <w:sz w:val="20"/>
          <w:szCs w:val="20"/>
        </w:rPr>
        <w:t xml:space="preserve"> the RFQ closing date and time stated above.</w:t>
      </w:r>
    </w:p>
    <w:p w14:paraId="40A2C26E" w14:textId="77777777" w:rsidR="000B5B8E" w:rsidRPr="008F1551" w:rsidRDefault="008F1551" w:rsidP="009157A4">
      <w:pPr>
        <w:pStyle w:val="ListParagraph"/>
        <w:numPr>
          <w:ilvl w:val="1"/>
          <w:numId w:val="33"/>
        </w:numPr>
        <w:spacing w:after="0"/>
        <w:jc w:val="both"/>
        <w:rPr>
          <w:rFonts w:cstheme="minorHAnsi"/>
          <w:b/>
          <w:sz w:val="18"/>
          <w:szCs w:val="18"/>
          <w:u w:val="single"/>
        </w:rPr>
      </w:pPr>
      <w:r w:rsidRPr="008F1551">
        <w:rPr>
          <w:rFonts w:cstheme="minorHAnsi"/>
          <w:b/>
          <w:sz w:val="18"/>
          <w:szCs w:val="18"/>
        </w:rPr>
        <w:t xml:space="preserve">Orders above R 30 000 will be evaluated according to the PPPFA 80/20-point system and a functionality scorecard where applicable and the ones above R 1 </w:t>
      </w:r>
      <w:proofErr w:type="gramStart"/>
      <w:r w:rsidRPr="008F1551">
        <w:rPr>
          <w:rFonts w:cstheme="minorHAnsi"/>
          <w:b/>
          <w:sz w:val="18"/>
          <w:szCs w:val="18"/>
        </w:rPr>
        <w:t>Million</w:t>
      </w:r>
      <w:proofErr w:type="gramEnd"/>
      <w:r w:rsidRPr="008F1551">
        <w:rPr>
          <w:rFonts w:cstheme="minorHAnsi"/>
          <w:b/>
          <w:sz w:val="18"/>
          <w:szCs w:val="18"/>
        </w:rPr>
        <w:t xml:space="preserve"> will be subjected to the tender process</w:t>
      </w:r>
      <w:r w:rsidR="001F169B" w:rsidRPr="008F1551">
        <w:rPr>
          <w:rFonts w:cstheme="minorHAnsi"/>
          <w:b/>
          <w:sz w:val="20"/>
          <w:szCs w:val="20"/>
        </w:rPr>
        <w:t>.</w:t>
      </w:r>
      <w:r w:rsidR="000B5B8E" w:rsidRPr="008F1551">
        <w:rPr>
          <w:rFonts w:cstheme="minorHAnsi"/>
          <w:b/>
          <w:sz w:val="20"/>
          <w:szCs w:val="20"/>
        </w:rPr>
        <w:t xml:space="preserve"> </w:t>
      </w:r>
    </w:p>
    <w:p w14:paraId="3F09CF33" w14:textId="77777777" w:rsidR="008F1551" w:rsidRPr="008F1551" w:rsidRDefault="008F1551" w:rsidP="009157A4">
      <w:pPr>
        <w:pStyle w:val="ListParagraph"/>
        <w:numPr>
          <w:ilvl w:val="1"/>
          <w:numId w:val="33"/>
        </w:numPr>
        <w:spacing w:after="0"/>
        <w:jc w:val="both"/>
        <w:rPr>
          <w:rFonts w:cstheme="minorHAnsi"/>
          <w:b/>
          <w:sz w:val="24"/>
          <w:szCs w:val="24"/>
          <w:u w:val="single"/>
        </w:rPr>
      </w:pPr>
      <w:r w:rsidRPr="008F1551">
        <w:rPr>
          <w:rFonts w:cstheme="minorHAnsi"/>
          <w:b/>
          <w:color w:val="000000"/>
          <w:sz w:val="18"/>
          <w:szCs w:val="18"/>
        </w:rPr>
        <w:t xml:space="preserve">This RFQ is subjected to the </w:t>
      </w:r>
      <w:proofErr w:type="spellStart"/>
      <w:r w:rsidRPr="008F1551">
        <w:rPr>
          <w:rFonts w:cstheme="minorHAnsi"/>
          <w:b/>
          <w:sz w:val="18"/>
          <w:szCs w:val="18"/>
        </w:rPr>
        <w:t>Necsa’s</w:t>
      </w:r>
      <w:proofErr w:type="spellEnd"/>
      <w:r w:rsidRPr="008F1551">
        <w:rPr>
          <w:rFonts w:cstheme="minorHAnsi"/>
          <w:b/>
          <w:sz w:val="18"/>
          <w:szCs w:val="18"/>
        </w:rPr>
        <w:t xml:space="preserve"> General Conditions of Purchase</w:t>
      </w:r>
      <w:r w:rsidRPr="008F1551">
        <w:rPr>
          <w:rFonts w:cstheme="minorHAnsi"/>
          <w:b/>
          <w:color w:val="000000"/>
          <w:sz w:val="18"/>
          <w:szCs w:val="18"/>
        </w:rPr>
        <w:t>, Preferential Procurement Policy Framework Act 2000 and the Preferenti</w:t>
      </w:r>
      <w:r w:rsidR="00657B06">
        <w:rPr>
          <w:rFonts w:cstheme="minorHAnsi"/>
          <w:b/>
          <w:color w:val="000000"/>
          <w:sz w:val="18"/>
          <w:szCs w:val="18"/>
        </w:rPr>
        <w:t>al Procurement Regulations, 202</w:t>
      </w:r>
      <w:r w:rsidR="00703016">
        <w:rPr>
          <w:rFonts w:cstheme="minorHAnsi"/>
          <w:b/>
          <w:color w:val="000000"/>
          <w:sz w:val="18"/>
          <w:szCs w:val="18"/>
        </w:rPr>
        <w:t>2</w:t>
      </w:r>
      <w:r w:rsidRPr="008F1551">
        <w:rPr>
          <w:rFonts w:cstheme="minorHAnsi"/>
          <w:b/>
          <w:color w:val="000000"/>
          <w:sz w:val="18"/>
          <w:szCs w:val="18"/>
        </w:rPr>
        <w:t xml:space="preserve">, the General Conditions of Contract (GCC) and, if applicable, any other legislation or special conditions of contract </w:t>
      </w:r>
    </w:p>
    <w:p w14:paraId="765EBE2D" w14:textId="77777777" w:rsidR="001F169B" w:rsidRPr="00A93278" w:rsidRDefault="001F169B" w:rsidP="009157A4">
      <w:pPr>
        <w:pStyle w:val="ListParagraph"/>
        <w:numPr>
          <w:ilvl w:val="1"/>
          <w:numId w:val="33"/>
        </w:numPr>
        <w:spacing w:after="0"/>
        <w:jc w:val="both"/>
        <w:rPr>
          <w:rFonts w:cstheme="minorHAnsi"/>
          <w:b/>
          <w:sz w:val="24"/>
          <w:szCs w:val="24"/>
          <w:u w:val="single"/>
        </w:rPr>
      </w:pPr>
      <w:r w:rsidRPr="00A93278">
        <w:rPr>
          <w:rFonts w:cstheme="minorHAnsi"/>
          <w:b/>
          <w:color w:val="000000"/>
          <w:sz w:val="20"/>
          <w:szCs w:val="20"/>
        </w:rPr>
        <w:t>Failure on the part of a bidder to submit proof of B-BBEE Status level of contributor together with the bid, will be interpreted to mean that preference points for</w:t>
      </w:r>
      <w:r w:rsidR="00657B06">
        <w:rPr>
          <w:rFonts w:cstheme="minorHAnsi"/>
          <w:b/>
          <w:color w:val="000000"/>
          <w:sz w:val="20"/>
          <w:szCs w:val="20"/>
        </w:rPr>
        <w:t xml:space="preserve"> specific goals</w:t>
      </w:r>
      <w:r w:rsidRPr="00A93278">
        <w:rPr>
          <w:rFonts w:cstheme="minorHAnsi"/>
          <w:b/>
          <w:color w:val="000000"/>
          <w:sz w:val="20"/>
          <w:szCs w:val="20"/>
        </w:rPr>
        <w:t xml:space="preserve"> are not claimed. </w:t>
      </w:r>
    </w:p>
    <w:p w14:paraId="2BB2BEB5" w14:textId="77777777" w:rsidR="001F169B" w:rsidRPr="00A93278" w:rsidRDefault="001F169B" w:rsidP="009157A4">
      <w:pPr>
        <w:pStyle w:val="ListParagraph"/>
        <w:numPr>
          <w:ilvl w:val="1"/>
          <w:numId w:val="33"/>
        </w:numPr>
        <w:spacing w:after="0"/>
        <w:jc w:val="both"/>
        <w:rPr>
          <w:rFonts w:cstheme="minorHAnsi"/>
          <w:b/>
          <w:sz w:val="24"/>
          <w:szCs w:val="24"/>
          <w:u w:val="single"/>
        </w:rPr>
      </w:pPr>
      <w:r w:rsidRPr="00A93278">
        <w:rPr>
          <w:rFonts w:cstheme="minorHAnsi"/>
          <w:b/>
          <w:color w:val="000000"/>
          <w:sz w:val="20"/>
          <w:szCs w:val="20"/>
        </w:rPr>
        <w:t>The purchaser reserves the right to require of a bidder, either before a bid is adjudicated or at any time subsequently, to substantiate an</w:t>
      </w:r>
      <w:r w:rsidR="00703016">
        <w:rPr>
          <w:rFonts w:cstheme="minorHAnsi"/>
          <w:b/>
          <w:color w:val="000000"/>
          <w:sz w:val="20"/>
          <w:szCs w:val="20"/>
        </w:rPr>
        <w:t xml:space="preserve">y claim </w:t>
      </w:r>
      <w:proofErr w:type="gramStart"/>
      <w:r w:rsidR="00703016">
        <w:rPr>
          <w:rFonts w:cstheme="minorHAnsi"/>
          <w:b/>
          <w:color w:val="000000"/>
          <w:sz w:val="20"/>
          <w:szCs w:val="20"/>
        </w:rPr>
        <w:t>in regard to</w:t>
      </w:r>
      <w:proofErr w:type="gramEnd"/>
      <w:r w:rsidR="00703016">
        <w:rPr>
          <w:rFonts w:cstheme="minorHAnsi"/>
          <w:b/>
          <w:color w:val="000000"/>
          <w:sz w:val="20"/>
          <w:szCs w:val="20"/>
        </w:rPr>
        <w:t xml:space="preserve"> specific goals</w:t>
      </w:r>
      <w:r w:rsidRPr="00A93278">
        <w:rPr>
          <w:rFonts w:cstheme="minorHAnsi"/>
          <w:b/>
          <w:color w:val="000000"/>
          <w:sz w:val="20"/>
          <w:szCs w:val="20"/>
        </w:rPr>
        <w:t xml:space="preserve">, in any manner required by the purchaser. </w:t>
      </w:r>
    </w:p>
    <w:p w14:paraId="034AF110" w14:textId="77777777" w:rsidR="00A93278" w:rsidRPr="00A93278" w:rsidRDefault="00491C47" w:rsidP="009157A4">
      <w:pPr>
        <w:pStyle w:val="ListParagraph"/>
        <w:numPr>
          <w:ilvl w:val="1"/>
          <w:numId w:val="33"/>
        </w:numPr>
        <w:spacing w:after="0"/>
        <w:jc w:val="both"/>
        <w:rPr>
          <w:rFonts w:cstheme="minorHAnsi"/>
          <w:b/>
          <w:sz w:val="24"/>
          <w:szCs w:val="24"/>
          <w:u w:val="single"/>
        </w:rPr>
      </w:pPr>
      <w:r w:rsidRPr="00A93278">
        <w:rPr>
          <w:rFonts w:eastAsiaTheme="minorEastAsia" w:cstheme="minorHAnsi"/>
          <w:b/>
          <w:bCs/>
          <w:iCs/>
          <w:sz w:val="20"/>
          <w:szCs w:val="20"/>
          <w:lang w:val="en-US"/>
        </w:rPr>
        <w:t>For a</w:t>
      </w:r>
      <w:r w:rsidRPr="00A93278">
        <w:rPr>
          <w:rFonts w:eastAsiaTheme="minorEastAsia" w:cstheme="minorHAnsi"/>
          <w:b/>
          <w:sz w:val="20"/>
          <w:szCs w:val="20"/>
        </w:rPr>
        <w:t xml:space="preserve"> Bidder to obtain clarity on any matter arising from or referred to in this document, please </w:t>
      </w:r>
      <w:proofErr w:type="gramStart"/>
      <w:r w:rsidRPr="00A93278">
        <w:rPr>
          <w:rFonts w:eastAsiaTheme="minorEastAsia" w:cstheme="minorHAnsi"/>
          <w:b/>
          <w:sz w:val="20"/>
          <w:szCs w:val="20"/>
        </w:rPr>
        <w:t>refer</w:t>
      </w:r>
      <w:proofErr w:type="gramEnd"/>
      <w:r w:rsidRPr="00A93278">
        <w:rPr>
          <w:rFonts w:eastAsiaTheme="minorEastAsia" w:cstheme="minorHAnsi"/>
          <w:b/>
          <w:sz w:val="20"/>
          <w:szCs w:val="20"/>
        </w:rPr>
        <w:t xml:space="preserve"> queries, in writing, to the contact details provided above. Under no circumstances may any other employee within </w:t>
      </w:r>
      <w:r w:rsidR="00703016">
        <w:rPr>
          <w:rFonts w:eastAsiaTheme="minorEastAsia" w:cstheme="minorHAnsi"/>
          <w:b/>
          <w:sz w:val="20"/>
          <w:szCs w:val="20"/>
        </w:rPr>
        <w:t>Necsa</w:t>
      </w:r>
      <w:r w:rsidRPr="00A93278">
        <w:rPr>
          <w:rFonts w:eastAsiaTheme="minorEastAsia" w:cstheme="minorHAnsi"/>
          <w:b/>
          <w:sz w:val="20"/>
          <w:szCs w:val="20"/>
        </w:rPr>
        <w:t xml:space="preserve"> be approached for any information. Any such action might result in a disqualification of a response submitted in competition to this RFQ.</w:t>
      </w:r>
    </w:p>
    <w:p w14:paraId="6D0E94FA" w14:textId="77777777" w:rsidR="00A93278" w:rsidRPr="00A93278" w:rsidRDefault="00491C47" w:rsidP="009157A4">
      <w:pPr>
        <w:pStyle w:val="ListParagraph"/>
        <w:numPr>
          <w:ilvl w:val="1"/>
          <w:numId w:val="33"/>
        </w:numPr>
        <w:spacing w:after="0"/>
        <w:jc w:val="both"/>
        <w:rPr>
          <w:rFonts w:cstheme="minorHAnsi"/>
          <w:b/>
          <w:sz w:val="24"/>
          <w:szCs w:val="24"/>
          <w:u w:val="single"/>
        </w:rPr>
      </w:pPr>
      <w:r w:rsidRPr="00A93278">
        <w:rPr>
          <w:rFonts w:eastAsiaTheme="minorEastAsia" w:cstheme="minorHAnsi"/>
          <w:b/>
          <w:sz w:val="20"/>
          <w:szCs w:val="20"/>
        </w:rPr>
        <w:t xml:space="preserve"> </w:t>
      </w:r>
      <w:r w:rsidRPr="00A93278">
        <w:rPr>
          <w:rFonts w:cstheme="minorHAnsi"/>
          <w:b/>
          <w:bCs/>
          <w:sz w:val="20"/>
          <w:szCs w:val="20"/>
        </w:rPr>
        <w:t>No goods and/or ser</w:t>
      </w:r>
      <w:r w:rsidR="00703016">
        <w:rPr>
          <w:rFonts w:cstheme="minorHAnsi"/>
          <w:b/>
          <w:bCs/>
          <w:sz w:val="20"/>
          <w:szCs w:val="20"/>
        </w:rPr>
        <w:t>vices should be delivered to Necsa without an official Necsa</w:t>
      </w:r>
      <w:r w:rsidRPr="00A93278">
        <w:rPr>
          <w:rFonts w:cstheme="minorHAnsi"/>
          <w:b/>
          <w:bCs/>
          <w:sz w:val="20"/>
          <w:szCs w:val="20"/>
        </w:rPr>
        <w:t xml:space="preserve"> Purchase order.</w:t>
      </w:r>
    </w:p>
    <w:p w14:paraId="6376346E" w14:textId="77777777" w:rsidR="00491C47" w:rsidRPr="00A93278" w:rsidRDefault="00491C47" w:rsidP="009157A4">
      <w:pPr>
        <w:pStyle w:val="ListParagraph"/>
        <w:numPr>
          <w:ilvl w:val="1"/>
          <w:numId w:val="33"/>
        </w:numPr>
        <w:spacing w:after="0"/>
        <w:jc w:val="both"/>
        <w:rPr>
          <w:rFonts w:cstheme="minorHAnsi"/>
          <w:b/>
          <w:sz w:val="24"/>
          <w:szCs w:val="24"/>
          <w:u w:val="single"/>
        </w:rPr>
      </w:pPr>
      <w:r w:rsidRPr="00A93278">
        <w:rPr>
          <w:rFonts w:cstheme="minorHAnsi"/>
          <w:b/>
          <w:bCs/>
          <w:sz w:val="20"/>
          <w:szCs w:val="20"/>
        </w:rPr>
        <w:t xml:space="preserve"> </w:t>
      </w:r>
      <w:r w:rsidR="00703016">
        <w:rPr>
          <w:rFonts w:eastAsiaTheme="minorEastAsia" w:cstheme="minorHAnsi"/>
          <w:b/>
          <w:sz w:val="20"/>
          <w:szCs w:val="20"/>
        </w:rPr>
        <w:t>Necsa</w:t>
      </w:r>
      <w:r w:rsidR="00A44540" w:rsidRPr="00A93278">
        <w:rPr>
          <w:rFonts w:eastAsiaTheme="minorEastAsia" w:cstheme="minorHAnsi"/>
          <w:b/>
          <w:sz w:val="20"/>
          <w:szCs w:val="20"/>
        </w:rPr>
        <w:t xml:space="preserve"> </w:t>
      </w:r>
      <w:r w:rsidRPr="00A93278">
        <w:rPr>
          <w:rFonts w:eastAsiaTheme="minorEastAsia" w:cstheme="minorHAnsi"/>
          <w:b/>
          <w:sz w:val="20"/>
          <w:szCs w:val="20"/>
        </w:rPr>
        <w:t>reserves the right to; cancel or reject any quote and not to award the RFQ to the lowest Bidder or award parts of the RFQ to different Bidders, or not to award the RFQ at all.</w:t>
      </w:r>
    </w:p>
    <w:p w14:paraId="48C6493C" w14:textId="77777777" w:rsidR="00491C47" w:rsidRPr="008F1551" w:rsidRDefault="00E5291C" w:rsidP="009157A4">
      <w:pPr>
        <w:pStyle w:val="ListParagraph"/>
        <w:numPr>
          <w:ilvl w:val="1"/>
          <w:numId w:val="33"/>
        </w:numPr>
        <w:spacing w:after="0"/>
        <w:jc w:val="both"/>
        <w:rPr>
          <w:rFonts w:cstheme="minorHAnsi"/>
          <w:b/>
          <w:sz w:val="24"/>
          <w:szCs w:val="24"/>
          <w:u w:val="single"/>
        </w:rPr>
      </w:pPr>
      <w:r w:rsidRPr="00A93278">
        <w:rPr>
          <w:rFonts w:cstheme="minorHAnsi"/>
          <w:b/>
          <w:sz w:val="20"/>
          <w:szCs w:val="20"/>
        </w:rPr>
        <w:t>The supplier shall under no circumstances offer, promise or make any gift, payment, loan, reward, inducement, benefit or other advantage, which may be construed as being made to</w:t>
      </w:r>
      <w:r w:rsidR="00703016">
        <w:rPr>
          <w:rFonts w:cstheme="minorHAnsi"/>
          <w:b/>
          <w:sz w:val="20"/>
          <w:szCs w:val="20"/>
        </w:rPr>
        <w:t xml:space="preserve"> solicit any favour, to any Necsa</w:t>
      </w:r>
      <w:r w:rsidRPr="00A93278">
        <w:rPr>
          <w:rFonts w:cstheme="minorHAnsi"/>
          <w:b/>
          <w:sz w:val="20"/>
          <w:szCs w:val="20"/>
        </w:rPr>
        <w:t xml:space="preserve"> employee or its representatives. Such an act shall constitute a material brea</w:t>
      </w:r>
      <w:r w:rsidR="00703016">
        <w:rPr>
          <w:rFonts w:cstheme="minorHAnsi"/>
          <w:b/>
          <w:sz w:val="20"/>
          <w:szCs w:val="20"/>
        </w:rPr>
        <w:t>ch of the Agreement and the Necsa</w:t>
      </w:r>
      <w:r w:rsidRPr="00A93278">
        <w:rPr>
          <w:rFonts w:cstheme="minorHAnsi"/>
          <w:b/>
          <w:sz w:val="20"/>
          <w:szCs w:val="20"/>
        </w:rPr>
        <w:t xml:space="preserve"> shall be entitled to terminate the Agreement forthwith, without prejudice to any of its rights</w:t>
      </w:r>
    </w:p>
    <w:p w14:paraId="79F46480" w14:textId="77777777" w:rsidR="00707CE7" w:rsidRPr="008F1551" w:rsidRDefault="008F1551" w:rsidP="009157A4">
      <w:pPr>
        <w:pStyle w:val="ListParagraph"/>
        <w:numPr>
          <w:ilvl w:val="1"/>
          <w:numId w:val="33"/>
        </w:numPr>
        <w:spacing w:after="0"/>
        <w:jc w:val="both"/>
        <w:rPr>
          <w:rFonts w:cstheme="minorHAnsi"/>
          <w:b/>
          <w:sz w:val="24"/>
          <w:szCs w:val="24"/>
          <w:u w:val="single"/>
        </w:rPr>
      </w:pPr>
      <w:r w:rsidRPr="008F1551">
        <w:rPr>
          <w:rFonts w:eastAsiaTheme="minorEastAsia" w:cstheme="minorHAnsi"/>
          <w:b/>
          <w:sz w:val="18"/>
          <w:szCs w:val="18"/>
        </w:rPr>
        <w:t xml:space="preserve">By responding to this request, it shall be construed that: the bidder, hereby acknowledge to be fully conversant with the details and conditions set out in the </w:t>
      </w:r>
      <w:proofErr w:type="spellStart"/>
      <w:r w:rsidRPr="008F1551">
        <w:rPr>
          <w:rFonts w:cstheme="minorHAnsi"/>
          <w:b/>
          <w:sz w:val="18"/>
          <w:szCs w:val="18"/>
        </w:rPr>
        <w:t>Necsa’s</w:t>
      </w:r>
      <w:proofErr w:type="spellEnd"/>
      <w:r w:rsidRPr="008F1551">
        <w:rPr>
          <w:rFonts w:cstheme="minorHAnsi"/>
          <w:b/>
          <w:sz w:val="18"/>
          <w:szCs w:val="18"/>
        </w:rPr>
        <w:t xml:space="preserve"> General Conditions of Purchase</w:t>
      </w:r>
      <w:r w:rsidRPr="008F1551">
        <w:rPr>
          <w:rFonts w:cstheme="minorHAnsi"/>
          <w:b/>
          <w:color w:val="000000"/>
          <w:sz w:val="18"/>
          <w:szCs w:val="18"/>
        </w:rPr>
        <w:t>, Preferential Procurement Policy Framework Act 2000 and the Preferenti</w:t>
      </w:r>
      <w:r w:rsidR="00703016">
        <w:rPr>
          <w:rFonts w:cstheme="minorHAnsi"/>
          <w:b/>
          <w:color w:val="000000"/>
          <w:sz w:val="18"/>
          <w:szCs w:val="18"/>
        </w:rPr>
        <w:t>al Procurement Regulations, 2022</w:t>
      </w:r>
      <w:r w:rsidRPr="008F1551">
        <w:rPr>
          <w:rFonts w:cstheme="minorHAnsi"/>
          <w:b/>
          <w:color w:val="000000"/>
          <w:sz w:val="18"/>
          <w:szCs w:val="18"/>
        </w:rPr>
        <w:t>, the General Conditions of Contract (GCC)</w:t>
      </w:r>
      <w:r w:rsidRPr="008F1551">
        <w:rPr>
          <w:rFonts w:eastAsiaTheme="minorEastAsia" w:cstheme="minorHAnsi"/>
          <w:b/>
          <w:sz w:val="18"/>
          <w:szCs w:val="18"/>
        </w:rPr>
        <w:t>, Technical Information and Specifications attached, and hereby agree to supply, render services or perform works in accordance therewith</w:t>
      </w:r>
    </w:p>
    <w:sectPr w:rsidR="00707CE7" w:rsidRPr="008F1551" w:rsidSect="004D54EE">
      <w:headerReference w:type="default" r:id="rId9"/>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DD0E2" w14:textId="77777777" w:rsidR="00404376" w:rsidRDefault="00404376" w:rsidP="00990BD1">
      <w:pPr>
        <w:spacing w:after="0" w:line="240" w:lineRule="auto"/>
      </w:pPr>
      <w:r>
        <w:separator/>
      </w:r>
    </w:p>
  </w:endnote>
  <w:endnote w:type="continuationSeparator" w:id="0">
    <w:p w14:paraId="2A42A8A3" w14:textId="77777777" w:rsidR="00404376" w:rsidRDefault="00404376" w:rsidP="0099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San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DCD9E" w14:textId="77777777" w:rsidR="00404376" w:rsidRDefault="00404376" w:rsidP="00990BD1">
      <w:pPr>
        <w:spacing w:after="0" w:line="240" w:lineRule="auto"/>
      </w:pPr>
      <w:r>
        <w:separator/>
      </w:r>
    </w:p>
  </w:footnote>
  <w:footnote w:type="continuationSeparator" w:id="0">
    <w:p w14:paraId="3F59AF6C" w14:textId="77777777" w:rsidR="00404376" w:rsidRDefault="00404376" w:rsidP="00990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43" w:type="dxa"/>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5"/>
      <w:gridCol w:w="5154"/>
      <w:gridCol w:w="898"/>
      <w:gridCol w:w="2626"/>
    </w:tblGrid>
    <w:tr w:rsidR="00707CE7" w14:paraId="37AA06DA" w14:textId="77777777" w:rsidTr="00707CE7">
      <w:trPr>
        <w:trHeight w:val="319"/>
      </w:trPr>
      <w:tc>
        <w:tcPr>
          <w:tcW w:w="2065" w:type="dxa"/>
          <w:vMerge w:val="restart"/>
          <w:tcBorders>
            <w:bottom w:val="single" w:sz="8" w:space="0" w:color="000000"/>
            <w:right w:val="single" w:sz="8" w:space="0" w:color="000000"/>
          </w:tcBorders>
        </w:tcPr>
        <w:p w14:paraId="5066AD0A" w14:textId="77777777" w:rsidR="00707CE7" w:rsidRDefault="008E0775" w:rsidP="00707CE7">
          <w:pPr>
            <w:pStyle w:val="TableParagraph"/>
            <w:ind w:left="15"/>
            <w:rPr>
              <w:rFonts w:ascii="Times New Roman"/>
              <w:sz w:val="20"/>
            </w:rPr>
          </w:pPr>
          <w:r w:rsidRPr="001D4437">
            <w:rPr>
              <w:rFonts w:ascii="Times New Roman" w:eastAsia="Times New Roman" w:hAnsi="Times New Roman" w:cstheme="minorBidi"/>
              <w:snapToGrid w:val="0"/>
              <w:sz w:val="24"/>
              <w:szCs w:val="24"/>
              <w:lang w:val="en-ZA"/>
            </w:rPr>
            <w:object w:dxaOrig="17998" w:dyaOrig="8101" w14:anchorId="207FB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8pt;height:49.8pt">
                <v:imagedata r:id="rId1" o:title=""/>
              </v:shape>
              <o:OLEObject Type="Embed" ProgID="MSPhotoEd.3" ShapeID="_x0000_i1025" DrawAspect="Content" ObjectID="_1814105518" r:id="rId2"/>
            </w:object>
          </w:r>
        </w:p>
      </w:tc>
      <w:tc>
        <w:tcPr>
          <w:tcW w:w="5154" w:type="dxa"/>
          <w:vMerge w:val="restart"/>
          <w:tcBorders>
            <w:top w:val="single" w:sz="6" w:space="0" w:color="000000"/>
            <w:left w:val="single" w:sz="8" w:space="0" w:color="000000"/>
            <w:bottom w:val="single" w:sz="8" w:space="0" w:color="000000"/>
            <w:right w:val="single" w:sz="8" w:space="0" w:color="000000"/>
          </w:tcBorders>
        </w:tcPr>
        <w:p w14:paraId="0E0946DB" w14:textId="77777777" w:rsidR="00707CE7" w:rsidRDefault="00707CE7" w:rsidP="00707CE7">
          <w:pPr>
            <w:pStyle w:val="TableParagraph"/>
            <w:spacing w:before="287"/>
            <w:ind w:left="676"/>
            <w:rPr>
              <w:b/>
              <w:sz w:val="36"/>
            </w:rPr>
          </w:pPr>
          <w:r>
            <w:rPr>
              <w:b/>
              <w:sz w:val="36"/>
            </w:rPr>
            <w:t xml:space="preserve">Request for </w:t>
          </w:r>
          <w:r>
            <w:rPr>
              <w:b/>
              <w:spacing w:val="-2"/>
              <w:sz w:val="36"/>
            </w:rPr>
            <w:t>Quotation</w:t>
          </w:r>
        </w:p>
      </w:tc>
      <w:tc>
        <w:tcPr>
          <w:tcW w:w="898" w:type="dxa"/>
          <w:tcBorders>
            <w:top w:val="single" w:sz="6" w:space="0" w:color="000000"/>
            <w:left w:val="single" w:sz="8" w:space="0" w:color="000000"/>
            <w:bottom w:val="single" w:sz="8" w:space="0" w:color="000000"/>
            <w:right w:val="single" w:sz="8" w:space="0" w:color="000000"/>
          </w:tcBorders>
        </w:tcPr>
        <w:p w14:paraId="14EFFA75" w14:textId="77777777" w:rsidR="00707CE7" w:rsidRDefault="00707CE7" w:rsidP="00707CE7">
          <w:pPr>
            <w:pStyle w:val="TableParagraph"/>
            <w:spacing w:before="23"/>
            <w:ind w:right="19"/>
            <w:jc w:val="right"/>
            <w:rPr>
              <w:sz w:val="20"/>
            </w:rPr>
          </w:pPr>
          <w:r>
            <w:rPr>
              <w:sz w:val="20"/>
            </w:rPr>
            <w:t xml:space="preserve">Doc. </w:t>
          </w:r>
          <w:r>
            <w:rPr>
              <w:spacing w:val="-5"/>
              <w:sz w:val="20"/>
            </w:rPr>
            <w:t>No</w:t>
          </w:r>
        </w:p>
      </w:tc>
      <w:tc>
        <w:tcPr>
          <w:tcW w:w="2626" w:type="dxa"/>
          <w:tcBorders>
            <w:top w:val="single" w:sz="6" w:space="0" w:color="000000"/>
            <w:left w:val="single" w:sz="8" w:space="0" w:color="000000"/>
            <w:bottom w:val="single" w:sz="8" w:space="0" w:color="000000"/>
            <w:right w:val="single" w:sz="8" w:space="0" w:color="000000"/>
          </w:tcBorders>
        </w:tcPr>
        <w:p w14:paraId="55680523" w14:textId="77777777" w:rsidR="008E0775" w:rsidRDefault="008E0775" w:rsidP="008E0775">
          <w:pPr>
            <w:rPr>
              <w:rFonts w:ascii="Arial" w:hAnsi="Arial" w:cs="Arial"/>
              <w:color w:val="696969"/>
              <w:sz w:val="17"/>
              <w:szCs w:val="17"/>
            </w:rPr>
          </w:pPr>
          <w:r>
            <w:rPr>
              <w:rFonts w:ascii="Arial" w:hAnsi="Arial" w:cs="Arial"/>
              <w:color w:val="696969"/>
              <w:sz w:val="17"/>
              <w:szCs w:val="17"/>
            </w:rPr>
            <w:br/>
            <w:t>FIN-SCM-RFQ-0003</w:t>
          </w:r>
        </w:p>
        <w:p w14:paraId="1299F71E" w14:textId="77777777" w:rsidR="00707CE7" w:rsidRDefault="00707CE7" w:rsidP="00707CE7">
          <w:pPr>
            <w:pStyle w:val="TableParagraph"/>
            <w:spacing w:before="23"/>
            <w:ind w:left="98"/>
            <w:rPr>
              <w:sz w:val="20"/>
            </w:rPr>
          </w:pPr>
        </w:p>
      </w:tc>
    </w:tr>
    <w:tr w:rsidR="00707CE7" w14:paraId="0F101313" w14:textId="77777777" w:rsidTr="00707CE7">
      <w:trPr>
        <w:trHeight w:val="320"/>
      </w:trPr>
      <w:tc>
        <w:tcPr>
          <w:tcW w:w="2065" w:type="dxa"/>
          <w:vMerge/>
          <w:tcBorders>
            <w:top w:val="nil"/>
            <w:bottom w:val="single" w:sz="8" w:space="0" w:color="000000"/>
            <w:right w:val="single" w:sz="8" w:space="0" w:color="000000"/>
          </w:tcBorders>
        </w:tcPr>
        <w:p w14:paraId="10D5A194" w14:textId="77777777" w:rsidR="00707CE7" w:rsidRDefault="00707CE7" w:rsidP="00707CE7">
          <w:pPr>
            <w:rPr>
              <w:sz w:val="2"/>
              <w:szCs w:val="2"/>
            </w:rPr>
          </w:pPr>
        </w:p>
      </w:tc>
      <w:tc>
        <w:tcPr>
          <w:tcW w:w="5154" w:type="dxa"/>
          <w:vMerge/>
          <w:tcBorders>
            <w:top w:val="nil"/>
            <w:left w:val="single" w:sz="8" w:space="0" w:color="000000"/>
            <w:bottom w:val="single" w:sz="8" w:space="0" w:color="000000"/>
            <w:right w:val="single" w:sz="8" w:space="0" w:color="000000"/>
          </w:tcBorders>
        </w:tcPr>
        <w:p w14:paraId="6EA47012" w14:textId="77777777" w:rsidR="00707CE7" w:rsidRDefault="00707CE7" w:rsidP="00707CE7">
          <w:pPr>
            <w:rPr>
              <w:sz w:val="2"/>
              <w:szCs w:val="2"/>
            </w:rPr>
          </w:pPr>
        </w:p>
      </w:tc>
      <w:tc>
        <w:tcPr>
          <w:tcW w:w="898" w:type="dxa"/>
          <w:tcBorders>
            <w:top w:val="single" w:sz="8" w:space="0" w:color="000000"/>
            <w:left w:val="single" w:sz="8" w:space="0" w:color="000000"/>
            <w:bottom w:val="single" w:sz="8" w:space="0" w:color="000000"/>
            <w:right w:val="single" w:sz="8" w:space="0" w:color="000000"/>
          </w:tcBorders>
        </w:tcPr>
        <w:p w14:paraId="356C636B" w14:textId="77777777" w:rsidR="00707CE7" w:rsidRDefault="00707CE7" w:rsidP="00707CE7">
          <w:pPr>
            <w:pStyle w:val="TableParagraph"/>
            <w:spacing w:before="23"/>
            <w:ind w:right="19"/>
            <w:jc w:val="right"/>
            <w:rPr>
              <w:sz w:val="20"/>
            </w:rPr>
          </w:pPr>
          <w:r>
            <w:rPr>
              <w:spacing w:val="-2"/>
              <w:sz w:val="20"/>
            </w:rPr>
            <w:t>Revision</w:t>
          </w:r>
        </w:p>
      </w:tc>
      <w:tc>
        <w:tcPr>
          <w:tcW w:w="2626" w:type="dxa"/>
          <w:tcBorders>
            <w:top w:val="single" w:sz="8" w:space="0" w:color="000000"/>
            <w:left w:val="single" w:sz="8" w:space="0" w:color="000000"/>
            <w:bottom w:val="single" w:sz="8" w:space="0" w:color="000000"/>
            <w:right w:val="single" w:sz="8" w:space="0" w:color="000000"/>
          </w:tcBorders>
        </w:tcPr>
        <w:p w14:paraId="1A2EC389" w14:textId="77777777" w:rsidR="00707CE7" w:rsidRDefault="008E0775" w:rsidP="00707CE7">
          <w:pPr>
            <w:pStyle w:val="TableParagraph"/>
            <w:spacing w:before="23"/>
            <w:ind w:left="98"/>
            <w:rPr>
              <w:sz w:val="20"/>
            </w:rPr>
          </w:pPr>
          <w:r>
            <w:rPr>
              <w:sz w:val="20"/>
            </w:rPr>
            <w:t>3</w:t>
          </w:r>
        </w:p>
      </w:tc>
    </w:tr>
    <w:tr w:rsidR="00707CE7" w14:paraId="1ED9FD4D" w14:textId="77777777" w:rsidTr="00707CE7">
      <w:trPr>
        <w:trHeight w:val="320"/>
      </w:trPr>
      <w:tc>
        <w:tcPr>
          <w:tcW w:w="2065" w:type="dxa"/>
          <w:vMerge/>
          <w:tcBorders>
            <w:top w:val="nil"/>
            <w:bottom w:val="single" w:sz="8" w:space="0" w:color="000000"/>
            <w:right w:val="single" w:sz="8" w:space="0" w:color="000000"/>
          </w:tcBorders>
        </w:tcPr>
        <w:p w14:paraId="76B86B22" w14:textId="77777777" w:rsidR="00707CE7" w:rsidRDefault="00707CE7" w:rsidP="00707CE7">
          <w:pPr>
            <w:rPr>
              <w:sz w:val="2"/>
              <w:szCs w:val="2"/>
            </w:rPr>
          </w:pPr>
        </w:p>
      </w:tc>
      <w:tc>
        <w:tcPr>
          <w:tcW w:w="5154" w:type="dxa"/>
          <w:vMerge/>
          <w:tcBorders>
            <w:top w:val="nil"/>
            <w:left w:val="single" w:sz="8" w:space="0" w:color="000000"/>
            <w:bottom w:val="single" w:sz="8" w:space="0" w:color="000000"/>
            <w:right w:val="single" w:sz="8" w:space="0" w:color="000000"/>
          </w:tcBorders>
        </w:tcPr>
        <w:p w14:paraId="1BF2F023" w14:textId="77777777" w:rsidR="00707CE7" w:rsidRDefault="00707CE7" w:rsidP="00707CE7">
          <w:pPr>
            <w:rPr>
              <w:sz w:val="2"/>
              <w:szCs w:val="2"/>
            </w:rPr>
          </w:pPr>
        </w:p>
      </w:tc>
      <w:tc>
        <w:tcPr>
          <w:tcW w:w="898" w:type="dxa"/>
          <w:tcBorders>
            <w:top w:val="single" w:sz="8" w:space="0" w:color="000000"/>
            <w:left w:val="single" w:sz="8" w:space="0" w:color="000000"/>
            <w:bottom w:val="single" w:sz="8" w:space="0" w:color="000000"/>
            <w:right w:val="single" w:sz="8" w:space="0" w:color="000000"/>
          </w:tcBorders>
        </w:tcPr>
        <w:p w14:paraId="51F3410F" w14:textId="77777777" w:rsidR="00707CE7" w:rsidRDefault="00707CE7" w:rsidP="00707CE7">
          <w:pPr>
            <w:pStyle w:val="TableParagraph"/>
            <w:spacing w:before="23"/>
            <w:ind w:right="18"/>
            <w:jc w:val="right"/>
            <w:rPr>
              <w:sz w:val="20"/>
            </w:rPr>
          </w:pPr>
          <w:r>
            <w:rPr>
              <w:spacing w:val="-4"/>
              <w:sz w:val="20"/>
            </w:rPr>
            <w:t>Page</w:t>
          </w:r>
        </w:p>
      </w:tc>
      <w:tc>
        <w:tcPr>
          <w:tcW w:w="2626" w:type="dxa"/>
          <w:tcBorders>
            <w:top w:val="single" w:sz="8" w:space="0" w:color="000000"/>
            <w:left w:val="single" w:sz="8" w:space="0" w:color="000000"/>
            <w:bottom w:val="single" w:sz="8" w:space="0" w:color="000000"/>
            <w:right w:val="single" w:sz="8" w:space="0" w:color="000000"/>
          </w:tcBorders>
        </w:tcPr>
        <w:p w14:paraId="7C13CE30" w14:textId="77777777" w:rsidR="00707CE7" w:rsidRDefault="00707CE7" w:rsidP="00707CE7">
          <w:pPr>
            <w:pStyle w:val="TableParagraph"/>
            <w:spacing w:before="23"/>
            <w:ind w:left="94"/>
            <w:rPr>
              <w:sz w:val="20"/>
            </w:rPr>
          </w:pPr>
          <w:r>
            <w:rPr>
              <w:sz w:val="20"/>
            </w:rPr>
            <w:t>4 of</w:t>
          </w:r>
          <w:r>
            <w:rPr>
              <w:spacing w:val="54"/>
              <w:sz w:val="20"/>
            </w:rPr>
            <w:t xml:space="preserve"> </w:t>
          </w:r>
          <w:r>
            <w:rPr>
              <w:spacing w:val="-10"/>
              <w:sz w:val="20"/>
            </w:rPr>
            <w:t>4</w:t>
          </w:r>
        </w:p>
      </w:tc>
    </w:tr>
  </w:tbl>
  <w:p w14:paraId="2BD7422C" w14:textId="77777777" w:rsidR="00707CE7" w:rsidRDefault="00707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82C"/>
    <w:multiLevelType w:val="hybridMultilevel"/>
    <w:tmpl w:val="F5020518"/>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1383BD0"/>
    <w:multiLevelType w:val="hybridMultilevel"/>
    <w:tmpl w:val="7FC87C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2C666AE"/>
    <w:multiLevelType w:val="hybridMultilevel"/>
    <w:tmpl w:val="19BCC20C"/>
    <w:lvl w:ilvl="0" w:tplc="4A921BA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19A51283"/>
    <w:multiLevelType w:val="multilevel"/>
    <w:tmpl w:val="D3A87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49404C"/>
    <w:multiLevelType w:val="hybridMultilevel"/>
    <w:tmpl w:val="DC4A9D78"/>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15:restartNumberingAfterBreak="0">
    <w:nsid w:val="1F8B4EA8"/>
    <w:multiLevelType w:val="hybridMultilevel"/>
    <w:tmpl w:val="5F48A5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FB51075"/>
    <w:multiLevelType w:val="hybridMultilevel"/>
    <w:tmpl w:val="1E200D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2817678"/>
    <w:multiLevelType w:val="hybridMultilevel"/>
    <w:tmpl w:val="892CF48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15:restartNumberingAfterBreak="0">
    <w:nsid w:val="250B6164"/>
    <w:multiLevelType w:val="multilevel"/>
    <w:tmpl w:val="83EC849E"/>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8C2F91"/>
    <w:multiLevelType w:val="hybridMultilevel"/>
    <w:tmpl w:val="F2D2F4AA"/>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0" w15:restartNumberingAfterBreak="0">
    <w:nsid w:val="31891BCC"/>
    <w:multiLevelType w:val="hybridMultilevel"/>
    <w:tmpl w:val="19BCC20C"/>
    <w:lvl w:ilvl="0" w:tplc="4A921BA0">
      <w:start w:val="1"/>
      <w:numFmt w:val="decimal"/>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1" w15:restartNumberingAfterBreak="0">
    <w:nsid w:val="33806D31"/>
    <w:multiLevelType w:val="hybridMultilevel"/>
    <w:tmpl w:val="5F48A5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71312AF"/>
    <w:multiLevelType w:val="hybridMultilevel"/>
    <w:tmpl w:val="DF8463DA"/>
    <w:lvl w:ilvl="0" w:tplc="1C09000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79213DF"/>
    <w:multiLevelType w:val="hybridMultilevel"/>
    <w:tmpl w:val="A2AE78E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 w15:restartNumberingAfterBreak="0">
    <w:nsid w:val="3C901BCD"/>
    <w:multiLevelType w:val="hybridMultilevel"/>
    <w:tmpl w:val="AFCE2178"/>
    <w:lvl w:ilvl="0" w:tplc="3F4E0A3E">
      <w:start w:val="1"/>
      <w:numFmt w:val="decimal"/>
      <w:lvlText w:val="%1."/>
      <w:lvlJc w:val="left"/>
      <w:pPr>
        <w:ind w:left="468" w:hanging="360"/>
      </w:pPr>
      <w:rPr>
        <w:rFonts w:hint="default"/>
      </w:rPr>
    </w:lvl>
    <w:lvl w:ilvl="1" w:tplc="1C090019" w:tentative="1">
      <w:start w:val="1"/>
      <w:numFmt w:val="lowerLetter"/>
      <w:lvlText w:val="%2."/>
      <w:lvlJc w:val="left"/>
      <w:pPr>
        <w:ind w:left="1188" w:hanging="360"/>
      </w:pPr>
    </w:lvl>
    <w:lvl w:ilvl="2" w:tplc="1C09001B" w:tentative="1">
      <w:start w:val="1"/>
      <w:numFmt w:val="lowerRoman"/>
      <w:lvlText w:val="%3."/>
      <w:lvlJc w:val="right"/>
      <w:pPr>
        <w:ind w:left="1908" w:hanging="180"/>
      </w:pPr>
    </w:lvl>
    <w:lvl w:ilvl="3" w:tplc="1C09000F" w:tentative="1">
      <w:start w:val="1"/>
      <w:numFmt w:val="decimal"/>
      <w:lvlText w:val="%4."/>
      <w:lvlJc w:val="left"/>
      <w:pPr>
        <w:ind w:left="2628" w:hanging="360"/>
      </w:pPr>
    </w:lvl>
    <w:lvl w:ilvl="4" w:tplc="1C090019" w:tentative="1">
      <w:start w:val="1"/>
      <w:numFmt w:val="lowerLetter"/>
      <w:lvlText w:val="%5."/>
      <w:lvlJc w:val="left"/>
      <w:pPr>
        <w:ind w:left="3348" w:hanging="360"/>
      </w:pPr>
    </w:lvl>
    <w:lvl w:ilvl="5" w:tplc="1C09001B" w:tentative="1">
      <w:start w:val="1"/>
      <w:numFmt w:val="lowerRoman"/>
      <w:lvlText w:val="%6."/>
      <w:lvlJc w:val="right"/>
      <w:pPr>
        <w:ind w:left="4068" w:hanging="180"/>
      </w:pPr>
    </w:lvl>
    <w:lvl w:ilvl="6" w:tplc="1C09000F" w:tentative="1">
      <w:start w:val="1"/>
      <w:numFmt w:val="decimal"/>
      <w:lvlText w:val="%7."/>
      <w:lvlJc w:val="left"/>
      <w:pPr>
        <w:ind w:left="4788" w:hanging="360"/>
      </w:pPr>
    </w:lvl>
    <w:lvl w:ilvl="7" w:tplc="1C090019" w:tentative="1">
      <w:start w:val="1"/>
      <w:numFmt w:val="lowerLetter"/>
      <w:lvlText w:val="%8."/>
      <w:lvlJc w:val="left"/>
      <w:pPr>
        <w:ind w:left="5508" w:hanging="360"/>
      </w:pPr>
    </w:lvl>
    <w:lvl w:ilvl="8" w:tplc="1C09001B" w:tentative="1">
      <w:start w:val="1"/>
      <w:numFmt w:val="lowerRoman"/>
      <w:lvlText w:val="%9."/>
      <w:lvlJc w:val="right"/>
      <w:pPr>
        <w:ind w:left="6228" w:hanging="180"/>
      </w:pPr>
    </w:lvl>
  </w:abstractNum>
  <w:abstractNum w:abstractNumId="15" w15:restartNumberingAfterBreak="0">
    <w:nsid w:val="3D412FE1"/>
    <w:multiLevelType w:val="hybridMultilevel"/>
    <w:tmpl w:val="ED127D0E"/>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6" w15:restartNumberingAfterBreak="0">
    <w:nsid w:val="3DFA7186"/>
    <w:multiLevelType w:val="multilevel"/>
    <w:tmpl w:val="AD0081C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3E9E67E5"/>
    <w:multiLevelType w:val="multilevel"/>
    <w:tmpl w:val="1AEC4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230A96"/>
    <w:multiLevelType w:val="hybridMultilevel"/>
    <w:tmpl w:val="76FE8318"/>
    <w:lvl w:ilvl="0" w:tplc="1C09000F">
      <w:start w:val="1"/>
      <w:numFmt w:val="decimal"/>
      <w:lvlText w:val="%1."/>
      <w:lvlJc w:val="left"/>
      <w:pPr>
        <w:ind w:left="936" w:hanging="360"/>
      </w:pPr>
    </w:lvl>
    <w:lvl w:ilvl="1" w:tplc="1C090019" w:tentative="1">
      <w:start w:val="1"/>
      <w:numFmt w:val="lowerLetter"/>
      <w:lvlText w:val="%2."/>
      <w:lvlJc w:val="left"/>
      <w:pPr>
        <w:ind w:left="1656" w:hanging="360"/>
      </w:pPr>
    </w:lvl>
    <w:lvl w:ilvl="2" w:tplc="1C09001B" w:tentative="1">
      <w:start w:val="1"/>
      <w:numFmt w:val="lowerRoman"/>
      <w:lvlText w:val="%3."/>
      <w:lvlJc w:val="right"/>
      <w:pPr>
        <w:ind w:left="2376" w:hanging="180"/>
      </w:pPr>
    </w:lvl>
    <w:lvl w:ilvl="3" w:tplc="1C09000F" w:tentative="1">
      <w:start w:val="1"/>
      <w:numFmt w:val="decimal"/>
      <w:lvlText w:val="%4."/>
      <w:lvlJc w:val="left"/>
      <w:pPr>
        <w:ind w:left="3096" w:hanging="360"/>
      </w:pPr>
    </w:lvl>
    <w:lvl w:ilvl="4" w:tplc="1C090019" w:tentative="1">
      <w:start w:val="1"/>
      <w:numFmt w:val="lowerLetter"/>
      <w:lvlText w:val="%5."/>
      <w:lvlJc w:val="left"/>
      <w:pPr>
        <w:ind w:left="3816" w:hanging="360"/>
      </w:pPr>
    </w:lvl>
    <w:lvl w:ilvl="5" w:tplc="1C09001B" w:tentative="1">
      <w:start w:val="1"/>
      <w:numFmt w:val="lowerRoman"/>
      <w:lvlText w:val="%6."/>
      <w:lvlJc w:val="right"/>
      <w:pPr>
        <w:ind w:left="4536" w:hanging="180"/>
      </w:pPr>
    </w:lvl>
    <w:lvl w:ilvl="6" w:tplc="1C09000F" w:tentative="1">
      <w:start w:val="1"/>
      <w:numFmt w:val="decimal"/>
      <w:lvlText w:val="%7."/>
      <w:lvlJc w:val="left"/>
      <w:pPr>
        <w:ind w:left="5256" w:hanging="360"/>
      </w:pPr>
    </w:lvl>
    <w:lvl w:ilvl="7" w:tplc="1C090019" w:tentative="1">
      <w:start w:val="1"/>
      <w:numFmt w:val="lowerLetter"/>
      <w:lvlText w:val="%8."/>
      <w:lvlJc w:val="left"/>
      <w:pPr>
        <w:ind w:left="5976" w:hanging="360"/>
      </w:pPr>
    </w:lvl>
    <w:lvl w:ilvl="8" w:tplc="1C09001B" w:tentative="1">
      <w:start w:val="1"/>
      <w:numFmt w:val="lowerRoman"/>
      <w:lvlText w:val="%9."/>
      <w:lvlJc w:val="right"/>
      <w:pPr>
        <w:ind w:left="6696" w:hanging="180"/>
      </w:pPr>
    </w:lvl>
  </w:abstractNum>
  <w:abstractNum w:abstractNumId="19" w15:restartNumberingAfterBreak="0">
    <w:nsid w:val="4438673E"/>
    <w:multiLevelType w:val="hybridMultilevel"/>
    <w:tmpl w:val="4C72FFA8"/>
    <w:lvl w:ilvl="0" w:tplc="E8CC8E1C">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0" w15:restartNumberingAfterBreak="0">
    <w:nsid w:val="46BB2C3B"/>
    <w:multiLevelType w:val="hybridMultilevel"/>
    <w:tmpl w:val="33F6B7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87C08F8"/>
    <w:multiLevelType w:val="hybridMultilevel"/>
    <w:tmpl w:val="697047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2" w15:restartNumberingAfterBreak="0">
    <w:nsid w:val="49410B82"/>
    <w:multiLevelType w:val="hybridMultilevel"/>
    <w:tmpl w:val="6324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7685D"/>
    <w:multiLevelType w:val="hybridMultilevel"/>
    <w:tmpl w:val="E618C954"/>
    <w:lvl w:ilvl="0" w:tplc="1C090005">
      <w:start w:val="1"/>
      <w:numFmt w:val="bullet"/>
      <w:lvlText w:val=""/>
      <w:lvlJc w:val="left"/>
      <w:pPr>
        <w:ind w:left="720" w:hanging="360"/>
      </w:pPr>
      <w:rPr>
        <w:rFonts w:ascii="Wingdings" w:hAnsi="Wingding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BEC54A5"/>
    <w:multiLevelType w:val="hybridMultilevel"/>
    <w:tmpl w:val="0B4A8E9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D2009C4"/>
    <w:multiLevelType w:val="hybridMultilevel"/>
    <w:tmpl w:val="D41491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3B25C1"/>
    <w:multiLevelType w:val="multilevel"/>
    <w:tmpl w:val="23FC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664986"/>
    <w:multiLevelType w:val="multilevel"/>
    <w:tmpl w:val="9F5C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965FB4"/>
    <w:multiLevelType w:val="hybridMultilevel"/>
    <w:tmpl w:val="8F120B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D1962BF"/>
    <w:multiLevelType w:val="hybridMultilevel"/>
    <w:tmpl w:val="F4027A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0FE487C"/>
    <w:multiLevelType w:val="hybridMultilevel"/>
    <w:tmpl w:val="5F48A5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2D835D4"/>
    <w:multiLevelType w:val="hybridMultilevel"/>
    <w:tmpl w:val="53BA8B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8071E5D"/>
    <w:multiLevelType w:val="multilevel"/>
    <w:tmpl w:val="FA842D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FF2967"/>
    <w:multiLevelType w:val="hybridMultilevel"/>
    <w:tmpl w:val="BDF62798"/>
    <w:lvl w:ilvl="0" w:tplc="7FD4848E">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4" w15:restartNumberingAfterBreak="0">
    <w:nsid w:val="6A2D1B13"/>
    <w:multiLevelType w:val="hybridMultilevel"/>
    <w:tmpl w:val="C58657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D233324"/>
    <w:multiLevelType w:val="multilevel"/>
    <w:tmpl w:val="7462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914F5B"/>
    <w:multiLevelType w:val="hybridMultilevel"/>
    <w:tmpl w:val="1C1E3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760325"/>
    <w:multiLevelType w:val="hybridMultilevel"/>
    <w:tmpl w:val="ADAAFBA8"/>
    <w:lvl w:ilvl="0" w:tplc="DEC007CE">
      <w:start w:val="1"/>
      <w:numFmt w:val="decimal"/>
      <w:lvlText w:val="%1."/>
      <w:lvlJc w:val="left"/>
      <w:pPr>
        <w:ind w:left="920" w:hanging="452"/>
      </w:pPr>
      <w:rPr>
        <w:rFonts w:ascii="Arial" w:eastAsia="Arial" w:hAnsi="Arial" w:cs="Arial" w:hint="default"/>
        <w:spacing w:val="-1"/>
        <w:w w:val="99"/>
        <w:sz w:val="20"/>
        <w:szCs w:val="20"/>
        <w:lang w:val="en-US" w:eastAsia="en-US" w:bidi="ar-SA"/>
      </w:rPr>
    </w:lvl>
    <w:lvl w:ilvl="1" w:tplc="BB6C8E54">
      <w:numFmt w:val="bullet"/>
      <w:lvlText w:val=""/>
      <w:lvlJc w:val="left"/>
      <w:pPr>
        <w:ind w:left="1188" w:hanging="360"/>
      </w:pPr>
      <w:rPr>
        <w:rFonts w:ascii="Symbol" w:eastAsia="Symbol" w:hAnsi="Symbol" w:cs="Symbol" w:hint="default"/>
        <w:w w:val="99"/>
        <w:sz w:val="20"/>
        <w:szCs w:val="20"/>
        <w:lang w:val="en-US" w:eastAsia="en-US" w:bidi="ar-SA"/>
      </w:rPr>
    </w:lvl>
    <w:lvl w:ilvl="2" w:tplc="9CAAC4DC">
      <w:numFmt w:val="bullet"/>
      <w:lvlText w:val="•"/>
      <w:lvlJc w:val="left"/>
      <w:pPr>
        <w:ind w:left="1786" w:hanging="360"/>
      </w:pPr>
      <w:rPr>
        <w:rFonts w:hint="default"/>
        <w:lang w:val="en-US" w:eastAsia="en-US" w:bidi="ar-SA"/>
      </w:rPr>
    </w:lvl>
    <w:lvl w:ilvl="3" w:tplc="CA026CBC">
      <w:numFmt w:val="bullet"/>
      <w:lvlText w:val="•"/>
      <w:lvlJc w:val="left"/>
      <w:pPr>
        <w:ind w:left="2392" w:hanging="360"/>
      </w:pPr>
      <w:rPr>
        <w:rFonts w:hint="default"/>
        <w:lang w:val="en-US" w:eastAsia="en-US" w:bidi="ar-SA"/>
      </w:rPr>
    </w:lvl>
    <w:lvl w:ilvl="4" w:tplc="C932FB46">
      <w:numFmt w:val="bullet"/>
      <w:lvlText w:val="•"/>
      <w:lvlJc w:val="left"/>
      <w:pPr>
        <w:ind w:left="2998" w:hanging="360"/>
      </w:pPr>
      <w:rPr>
        <w:rFonts w:hint="default"/>
        <w:lang w:val="en-US" w:eastAsia="en-US" w:bidi="ar-SA"/>
      </w:rPr>
    </w:lvl>
    <w:lvl w:ilvl="5" w:tplc="726AC142">
      <w:numFmt w:val="bullet"/>
      <w:lvlText w:val="•"/>
      <w:lvlJc w:val="left"/>
      <w:pPr>
        <w:ind w:left="3604" w:hanging="360"/>
      </w:pPr>
      <w:rPr>
        <w:rFonts w:hint="default"/>
        <w:lang w:val="en-US" w:eastAsia="en-US" w:bidi="ar-SA"/>
      </w:rPr>
    </w:lvl>
    <w:lvl w:ilvl="6" w:tplc="877AD9CC">
      <w:numFmt w:val="bullet"/>
      <w:lvlText w:val="•"/>
      <w:lvlJc w:val="left"/>
      <w:pPr>
        <w:ind w:left="4210" w:hanging="360"/>
      </w:pPr>
      <w:rPr>
        <w:rFonts w:hint="default"/>
        <w:lang w:val="en-US" w:eastAsia="en-US" w:bidi="ar-SA"/>
      </w:rPr>
    </w:lvl>
    <w:lvl w:ilvl="7" w:tplc="FA2E4B4C">
      <w:numFmt w:val="bullet"/>
      <w:lvlText w:val="•"/>
      <w:lvlJc w:val="left"/>
      <w:pPr>
        <w:ind w:left="4816" w:hanging="360"/>
      </w:pPr>
      <w:rPr>
        <w:rFonts w:hint="default"/>
        <w:lang w:val="en-US" w:eastAsia="en-US" w:bidi="ar-SA"/>
      </w:rPr>
    </w:lvl>
    <w:lvl w:ilvl="8" w:tplc="0076E762">
      <w:numFmt w:val="bullet"/>
      <w:lvlText w:val="•"/>
      <w:lvlJc w:val="left"/>
      <w:pPr>
        <w:ind w:left="5422" w:hanging="360"/>
      </w:pPr>
      <w:rPr>
        <w:rFonts w:hint="default"/>
        <w:lang w:val="en-US" w:eastAsia="en-US" w:bidi="ar-SA"/>
      </w:rPr>
    </w:lvl>
  </w:abstractNum>
  <w:abstractNum w:abstractNumId="38" w15:restartNumberingAfterBreak="0">
    <w:nsid w:val="7618355D"/>
    <w:multiLevelType w:val="hybridMultilevel"/>
    <w:tmpl w:val="CBA2A942"/>
    <w:lvl w:ilvl="0" w:tplc="E3804180">
      <w:start w:val="1"/>
      <w:numFmt w:val="decimal"/>
      <w:lvlText w:val="%1."/>
      <w:lvlJc w:val="left"/>
      <w:pPr>
        <w:ind w:left="829" w:hanging="360"/>
      </w:pPr>
      <w:rPr>
        <w:rFonts w:ascii="Arial" w:eastAsia="Arial" w:hAnsi="Arial" w:cs="Arial" w:hint="default"/>
        <w:spacing w:val="-1"/>
        <w:w w:val="99"/>
        <w:sz w:val="20"/>
        <w:szCs w:val="20"/>
        <w:lang w:val="en-US" w:eastAsia="en-US" w:bidi="ar-SA"/>
      </w:rPr>
    </w:lvl>
    <w:lvl w:ilvl="1" w:tplc="44DC33FE">
      <w:numFmt w:val="bullet"/>
      <w:lvlText w:val=""/>
      <w:lvlJc w:val="left"/>
      <w:pPr>
        <w:ind w:left="1189" w:hanging="360"/>
      </w:pPr>
      <w:rPr>
        <w:rFonts w:ascii="Symbol" w:eastAsia="Symbol" w:hAnsi="Symbol" w:cs="Symbol" w:hint="default"/>
        <w:w w:val="99"/>
        <w:sz w:val="20"/>
        <w:szCs w:val="20"/>
        <w:lang w:val="en-US" w:eastAsia="en-US" w:bidi="ar-SA"/>
      </w:rPr>
    </w:lvl>
    <w:lvl w:ilvl="2" w:tplc="012C7268">
      <w:numFmt w:val="bullet"/>
      <w:lvlText w:val="•"/>
      <w:lvlJc w:val="left"/>
      <w:pPr>
        <w:ind w:left="1786" w:hanging="360"/>
      </w:pPr>
      <w:rPr>
        <w:rFonts w:hint="default"/>
        <w:lang w:val="en-US" w:eastAsia="en-US" w:bidi="ar-SA"/>
      </w:rPr>
    </w:lvl>
    <w:lvl w:ilvl="3" w:tplc="A202A544">
      <w:numFmt w:val="bullet"/>
      <w:lvlText w:val="•"/>
      <w:lvlJc w:val="left"/>
      <w:pPr>
        <w:ind w:left="2392" w:hanging="360"/>
      </w:pPr>
      <w:rPr>
        <w:rFonts w:hint="default"/>
        <w:lang w:val="en-US" w:eastAsia="en-US" w:bidi="ar-SA"/>
      </w:rPr>
    </w:lvl>
    <w:lvl w:ilvl="4" w:tplc="9190BB4C">
      <w:numFmt w:val="bullet"/>
      <w:lvlText w:val="•"/>
      <w:lvlJc w:val="left"/>
      <w:pPr>
        <w:ind w:left="2998" w:hanging="360"/>
      </w:pPr>
      <w:rPr>
        <w:rFonts w:hint="default"/>
        <w:lang w:val="en-US" w:eastAsia="en-US" w:bidi="ar-SA"/>
      </w:rPr>
    </w:lvl>
    <w:lvl w:ilvl="5" w:tplc="F634E36E">
      <w:numFmt w:val="bullet"/>
      <w:lvlText w:val="•"/>
      <w:lvlJc w:val="left"/>
      <w:pPr>
        <w:ind w:left="3604" w:hanging="360"/>
      </w:pPr>
      <w:rPr>
        <w:rFonts w:hint="default"/>
        <w:lang w:val="en-US" w:eastAsia="en-US" w:bidi="ar-SA"/>
      </w:rPr>
    </w:lvl>
    <w:lvl w:ilvl="6" w:tplc="83E8DDDC">
      <w:numFmt w:val="bullet"/>
      <w:lvlText w:val="•"/>
      <w:lvlJc w:val="left"/>
      <w:pPr>
        <w:ind w:left="4210" w:hanging="360"/>
      </w:pPr>
      <w:rPr>
        <w:rFonts w:hint="default"/>
        <w:lang w:val="en-US" w:eastAsia="en-US" w:bidi="ar-SA"/>
      </w:rPr>
    </w:lvl>
    <w:lvl w:ilvl="7" w:tplc="C5340BA8">
      <w:numFmt w:val="bullet"/>
      <w:lvlText w:val="•"/>
      <w:lvlJc w:val="left"/>
      <w:pPr>
        <w:ind w:left="4816" w:hanging="360"/>
      </w:pPr>
      <w:rPr>
        <w:rFonts w:hint="default"/>
        <w:lang w:val="en-US" w:eastAsia="en-US" w:bidi="ar-SA"/>
      </w:rPr>
    </w:lvl>
    <w:lvl w:ilvl="8" w:tplc="AC443110">
      <w:numFmt w:val="bullet"/>
      <w:lvlText w:val="•"/>
      <w:lvlJc w:val="left"/>
      <w:pPr>
        <w:ind w:left="5422" w:hanging="360"/>
      </w:pPr>
      <w:rPr>
        <w:rFonts w:hint="default"/>
        <w:lang w:val="en-US" w:eastAsia="en-US" w:bidi="ar-SA"/>
      </w:rPr>
    </w:lvl>
  </w:abstractNum>
  <w:num w:numId="1" w16cid:durableId="748232699">
    <w:abstractNumId w:val="23"/>
  </w:num>
  <w:num w:numId="2" w16cid:durableId="1314064453">
    <w:abstractNumId w:val="28"/>
  </w:num>
  <w:num w:numId="3" w16cid:durableId="669333434">
    <w:abstractNumId w:val="16"/>
  </w:num>
  <w:num w:numId="4" w16cid:durableId="2096628576">
    <w:abstractNumId w:val="33"/>
  </w:num>
  <w:num w:numId="5" w16cid:durableId="397175097">
    <w:abstractNumId w:val="7"/>
  </w:num>
  <w:num w:numId="6" w16cid:durableId="137114777">
    <w:abstractNumId w:val="21"/>
  </w:num>
  <w:num w:numId="7" w16cid:durableId="177424610">
    <w:abstractNumId w:val="12"/>
  </w:num>
  <w:num w:numId="8" w16cid:durableId="2107531902">
    <w:abstractNumId w:val="9"/>
  </w:num>
  <w:num w:numId="9" w16cid:durableId="767848139">
    <w:abstractNumId w:val="15"/>
  </w:num>
  <w:num w:numId="10" w16cid:durableId="1740709137">
    <w:abstractNumId w:val="4"/>
  </w:num>
  <w:num w:numId="11" w16cid:durableId="592930499">
    <w:abstractNumId w:val="0"/>
  </w:num>
  <w:num w:numId="12" w16cid:durableId="542712945">
    <w:abstractNumId w:val="37"/>
  </w:num>
  <w:num w:numId="13" w16cid:durableId="1544945707">
    <w:abstractNumId w:val="25"/>
  </w:num>
  <w:num w:numId="14" w16cid:durableId="835269816">
    <w:abstractNumId w:val="31"/>
  </w:num>
  <w:num w:numId="15" w16cid:durableId="1488088488">
    <w:abstractNumId w:val="14"/>
  </w:num>
  <w:num w:numId="16" w16cid:durableId="218365964">
    <w:abstractNumId w:val="38"/>
  </w:num>
  <w:num w:numId="17" w16cid:durableId="1632663430">
    <w:abstractNumId w:val="1"/>
  </w:num>
  <w:num w:numId="18" w16cid:durableId="480535970">
    <w:abstractNumId w:val="20"/>
  </w:num>
  <w:num w:numId="19" w16cid:durableId="1777362682">
    <w:abstractNumId w:val="34"/>
  </w:num>
  <w:num w:numId="20" w16cid:durableId="17913895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9886642">
    <w:abstractNumId w:val="18"/>
  </w:num>
  <w:num w:numId="22" w16cid:durableId="1023089186">
    <w:abstractNumId w:val="24"/>
  </w:num>
  <w:num w:numId="23" w16cid:durableId="331103706">
    <w:abstractNumId w:val="13"/>
  </w:num>
  <w:num w:numId="24" w16cid:durableId="1010908378">
    <w:abstractNumId w:val="29"/>
  </w:num>
  <w:num w:numId="25" w16cid:durableId="1348020024">
    <w:abstractNumId w:val="30"/>
  </w:num>
  <w:num w:numId="26" w16cid:durableId="451637521">
    <w:abstractNumId w:val="11"/>
  </w:num>
  <w:num w:numId="27" w16cid:durableId="48192165">
    <w:abstractNumId w:val="5"/>
  </w:num>
  <w:num w:numId="28" w16cid:durableId="201096131">
    <w:abstractNumId w:val="10"/>
  </w:num>
  <w:num w:numId="29" w16cid:durableId="855998376">
    <w:abstractNumId w:val="2"/>
  </w:num>
  <w:num w:numId="30" w16cid:durableId="184370641">
    <w:abstractNumId w:val="6"/>
  </w:num>
  <w:num w:numId="31" w16cid:durableId="643848229">
    <w:abstractNumId w:val="32"/>
  </w:num>
  <w:num w:numId="32" w16cid:durableId="182791331">
    <w:abstractNumId w:val="17"/>
  </w:num>
  <w:num w:numId="33" w16cid:durableId="1894387367">
    <w:abstractNumId w:val="3"/>
  </w:num>
  <w:num w:numId="34" w16cid:durableId="458185255">
    <w:abstractNumId w:val="35"/>
  </w:num>
  <w:num w:numId="35" w16cid:durableId="4090512">
    <w:abstractNumId w:val="26"/>
  </w:num>
  <w:num w:numId="36" w16cid:durableId="894467277">
    <w:abstractNumId w:val="27"/>
  </w:num>
  <w:num w:numId="37" w16cid:durableId="75442833">
    <w:abstractNumId w:val="8"/>
  </w:num>
  <w:num w:numId="38" w16cid:durableId="1119370308">
    <w:abstractNumId w:val="22"/>
  </w:num>
  <w:num w:numId="39" w16cid:durableId="120727763">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99"/>
    <w:rsid w:val="0000129C"/>
    <w:rsid w:val="00015673"/>
    <w:rsid w:val="00015AF1"/>
    <w:rsid w:val="0002202C"/>
    <w:rsid w:val="00024434"/>
    <w:rsid w:val="00026653"/>
    <w:rsid w:val="0002678D"/>
    <w:rsid w:val="000308D0"/>
    <w:rsid w:val="00033F30"/>
    <w:rsid w:val="00060268"/>
    <w:rsid w:val="00067F0B"/>
    <w:rsid w:val="00073E6A"/>
    <w:rsid w:val="000933D3"/>
    <w:rsid w:val="000B4C17"/>
    <w:rsid w:val="000B5B8E"/>
    <w:rsid w:val="000C0511"/>
    <w:rsid w:val="000D5F78"/>
    <w:rsid w:val="000D69F9"/>
    <w:rsid w:val="000F5818"/>
    <w:rsid w:val="001036AD"/>
    <w:rsid w:val="0011404B"/>
    <w:rsid w:val="00124C05"/>
    <w:rsid w:val="001311EE"/>
    <w:rsid w:val="0014302D"/>
    <w:rsid w:val="001448BD"/>
    <w:rsid w:val="00147C57"/>
    <w:rsid w:val="00155894"/>
    <w:rsid w:val="00166F53"/>
    <w:rsid w:val="0017062B"/>
    <w:rsid w:val="00172242"/>
    <w:rsid w:val="001911FD"/>
    <w:rsid w:val="001A061D"/>
    <w:rsid w:val="001A44DF"/>
    <w:rsid w:val="001A799E"/>
    <w:rsid w:val="001B1D1B"/>
    <w:rsid w:val="001C316D"/>
    <w:rsid w:val="001C7C35"/>
    <w:rsid w:val="001D2A97"/>
    <w:rsid w:val="001D77EE"/>
    <w:rsid w:val="001E1550"/>
    <w:rsid w:val="001E2E4E"/>
    <w:rsid w:val="001F0EB1"/>
    <w:rsid w:val="001F169B"/>
    <w:rsid w:val="002010F5"/>
    <w:rsid w:val="00203B76"/>
    <w:rsid w:val="00203E56"/>
    <w:rsid w:val="00205B57"/>
    <w:rsid w:val="00207FD7"/>
    <w:rsid w:val="002121C7"/>
    <w:rsid w:val="00212DB4"/>
    <w:rsid w:val="00230CB3"/>
    <w:rsid w:val="00232AC1"/>
    <w:rsid w:val="002579DE"/>
    <w:rsid w:val="0026043B"/>
    <w:rsid w:val="00267E19"/>
    <w:rsid w:val="002761DF"/>
    <w:rsid w:val="00297C2A"/>
    <w:rsid w:val="002B17CE"/>
    <w:rsid w:val="002C1C0C"/>
    <w:rsid w:val="002F70F7"/>
    <w:rsid w:val="00302A0A"/>
    <w:rsid w:val="00311D93"/>
    <w:rsid w:val="00320717"/>
    <w:rsid w:val="00320C38"/>
    <w:rsid w:val="00351BBE"/>
    <w:rsid w:val="00353BF5"/>
    <w:rsid w:val="003616F8"/>
    <w:rsid w:val="00366739"/>
    <w:rsid w:val="00367AA8"/>
    <w:rsid w:val="0038666F"/>
    <w:rsid w:val="003904E1"/>
    <w:rsid w:val="00395B51"/>
    <w:rsid w:val="003975E0"/>
    <w:rsid w:val="003A014A"/>
    <w:rsid w:val="003B0257"/>
    <w:rsid w:val="003B5BB2"/>
    <w:rsid w:val="003B760D"/>
    <w:rsid w:val="003C16F2"/>
    <w:rsid w:val="003C3399"/>
    <w:rsid w:val="003C4628"/>
    <w:rsid w:val="003D6A7D"/>
    <w:rsid w:val="003E1620"/>
    <w:rsid w:val="003E1B43"/>
    <w:rsid w:val="003F56B1"/>
    <w:rsid w:val="00401CDA"/>
    <w:rsid w:val="00402EF8"/>
    <w:rsid w:val="00404376"/>
    <w:rsid w:val="00414409"/>
    <w:rsid w:val="00421D7E"/>
    <w:rsid w:val="00425664"/>
    <w:rsid w:val="00426FEC"/>
    <w:rsid w:val="00433EB5"/>
    <w:rsid w:val="004364B2"/>
    <w:rsid w:val="00452004"/>
    <w:rsid w:val="004838A3"/>
    <w:rsid w:val="00485665"/>
    <w:rsid w:val="00491C47"/>
    <w:rsid w:val="004A6DBD"/>
    <w:rsid w:val="004B26AC"/>
    <w:rsid w:val="004D0F51"/>
    <w:rsid w:val="004D54EE"/>
    <w:rsid w:val="004E60F3"/>
    <w:rsid w:val="004E77EC"/>
    <w:rsid w:val="004F1113"/>
    <w:rsid w:val="00511948"/>
    <w:rsid w:val="0051497E"/>
    <w:rsid w:val="00514AE5"/>
    <w:rsid w:val="00522480"/>
    <w:rsid w:val="005307F6"/>
    <w:rsid w:val="00530B1C"/>
    <w:rsid w:val="00533645"/>
    <w:rsid w:val="00537523"/>
    <w:rsid w:val="005400AC"/>
    <w:rsid w:val="00547AF9"/>
    <w:rsid w:val="00547EEE"/>
    <w:rsid w:val="00554450"/>
    <w:rsid w:val="005576A0"/>
    <w:rsid w:val="00557828"/>
    <w:rsid w:val="00560B78"/>
    <w:rsid w:val="00560F8F"/>
    <w:rsid w:val="00595BD7"/>
    <w:rsid w:val="005A0161"/>
    <w:rsid w:val="005A61E7"/>
    <w:rsid w:val="005B51B7"/>
    <w:rsid w:val="005C547A"/>
    <w:rsid w:val="005D251E"/>
    <w:rsid w:val="005D3EA3"/>
    <w:rsid w:val="005D4B22"/>
    <w:rsid w:val="005E29D2"/>
    <w:rsid w:val="006346AD"/>
    <w:rsid w:val="006356B0"/>
    <w:rsid w:val="00644904"/>
    <w:rsid w:val="00650E63"/>
    <w:rsid w:val="006554AE"/>
    <w:rsid w:val="00656DEA"/>
    <w:rsid w:val="00657B06"/>
    <w:rsid w:val="0066139F"/>
    <w:rsid w:val="00693BEA"/>
    <w:rsid w:val="0069514B"/>
    <w:rsid w:val="0069797F"/>
    <w:rsid w:val="006A421D"/>
    <w:rsid w:val="006A5715"/>
    <w:rsid w:val="006B1B37"/>
    <w:rsid w:val="006B7AC5"/>
    <w:rsid w:val="006C0D15"/>
    <w:rsid w:val="006C20CB"/>
    <w:rsid w:val="006D11CD"/>
    <w:rsid w:val="006D3A67"/>
    <w:rsid w:val="006D4084"/>
    <w:rsid w:val="006D7113"/>
    <w:rsid w:val="006F7A6D"/>
    <w:rsid w:val="00703016"/>
    <w:rsid w:val="007060B1"/>
    <w:rsid w:val="00707CE7"/>
    <w:rsid w:val="007236D2"/>
    <w:rsid w:val="00725378"/>
    <w:rsid w:val="00745227"/>
    <w:rsid w:val="00745D44"/>
    <w:rsid w:val="007501C3"/>
    <w:rsid w:val="007533CE"/>
    <w:rsid w:val="007709E0"/>
    <w:rsid w:val="00774F77"/>
    <w:rsid w:val="00776A67"/>
    <w:rsid w:val="00796CA4"/>
    <w:rsid w:val="007A0DAA"/>
    <w:rsid w:val="007A1178"/>
    <w:rsid w:val="007A7CBD"/>
    <w:rsid w:val="007B0C1A"/>
    <w:rsid w:val="007C0CF5"/>
    <w:rsid w:val="007C281F"/>
    <w:rsid w:val="007D0AE7"/>
    <w:rsid w:val="007D649C"/>
    <w:rsid w:val="0080596B"/>
    <w:rsid w:val="00807E6D"/>
    <w:rsid w:val="008260B3"/>
    <w:rsid w:val="0083410B"/>
    <w:rsid w:val="0084165F"/>
    <w:rsid w:val="00842345"/>
    <w:rsid w:val="00856DD2"/>
    <w:rsid w:val="00866426"/>
    <w:rsid w:val="00866BFC"/>
    <w:rsid w:val="00883ADB"/>
    <w:rsid w:val="00883C4E"/>
    <w:rsid w:val="008860DC"/>
    <w:rsid w:val="0088722C"/>
    <w:rsid w:val="008947FB"/>
    <w:rsid w:val="0089720E"/>
    <w:rsid w:val="008C4D6B"/>
    <w:rsid w:val="008C5A9B"/>
    <w:rsid w:val="008E0775"/>
    <w:rsid w:val="008E23F2"/>
    <w:rsid w:val="008E4B98"/>
    <w:rsid w:val="008F1551"/>
    <w:rsid w:val="008F2A30"/>
    <w:rsid w:val="0090053C"/>
    <w:rsid w:val="009033BD"/>
    <w:rsid w:val="009052FF"/>
    <w:rsid w:val="00905F6E"/>
    <w:rsid w:val="00913A40"/>
    <w:rsid w:val="009157A4"/>
    <w:rsid w:val="00916503"/>
    <w:rsid w:val="0093123C"/>
    <w:rsid w:val="00946ACA"/>
    <w:rsid w:val="0096640D"/>
    <w:rsid w:val="00975603"/>
    <w:rsid w:val="00990BD1"/>
    <w:rsid w:val="0099245F"/>
    <w:rsid w:val="0099630E"/>
    <w:rsid w:val="009A1B1F"/>
    <w:rsid w:val="009A3F2F"/>
    <w:rsid w:val="009B1A76"/>
    <w:rsid w:val="009B2E6B"/>
    <w:rsid w:val="009B5E41"/>
    <w:rsid w:val="009B6299"/>
    <w:rsid w:val="009C5499"/>
    <w:rsid w:val="009D6BF6"/>
    <w:rsid w:val="009E3142"/>
    <w:rsid w:val="009F1F4F"/>
    <w:rsid w:val="009F581E"/>
    <w:rsid w:val="009F5863"/>
    <w:rsid w:val="00A01998"/>
    <w:rsid w:val="00A12161"/>
    <w:rsid w:val="00A1229A"/>
    <w:rsid w:val="00A21272"/>
    <w:rsid w:val="00A221D7"/>
    <w:rsid w:val="00A30891"/>
    <w:rsid w:val="00A41113"/>
    <w:rsid w:val="00A44540"/>
    <w:rsid w:val="00A66B8F"/>
    <w:rsid w:val="00A708D2"/>
    <w:rsid w:val="00A7116A"/>
    <w:rsid w:val="00A77706"/>
    <w:rsid w:val="00A93278"/>
    <w:rsid w:val="00A97702"/>
    <w:rsid w:val="00AA02CB"/>
    <w:rsid w:val="00AB1010"/>
    <w:rsid w:val="00AB1029"/>
    <w:rsid w:val="00AB1545"/>
    <w:rsid w:val="00AB42EC"/>
    <w:rsid w:val="00AB6E44"/>
    <w:rsid w:val="00AC34A9"/>
    <w:rsid w:val="00AD0FB2"/>
    <w:rsid w:val="00AD2401"/>
    <w:rsid w:val="00AE44A6"/>
    <w:rsid w:val="00B10B85"/>
    <w:rsid w:val="00B20A80"/>
    <w:rsid w:val="00B5191A"/>
    <w:rsid w:val="00B54B8A"/>
    <w:rsid w:val="00B70805"/>
    <w:rsid w:val="00B84D00"/>
    <w:rsid w:val="00B92E63"/>
    <w:rsid w:val="00B9410C"/>
    <w:rsid w:val="00BA2E0A"/>
    <w:rsid w:val="00BA4051"/>
    <w:rsid w:val="00BB2F0D"/>
    <w:rsid w:val="00BD1B78"/>
    <w:rsid w:val="00BD22E5"/>
    <w:rsid w:val="00BE10D6"/>
    <w:rsid w:val="00BE29E0"/>
    <w:rsid w:val="00BE7BDB"/>
    <w:rsid w:val="00C03258"/>
    <w:rsid w:val="00C03A7C"/>
    <w:rsid w:val="00C12EC7"/>
    <w:rsid w:val="00C151D7"/>
    <w:rsid w:val="00C16DF1"/>
    <w:rsid w:val="00C25123"/>
    <w:rsid w:val="00C27ADD"/>
    <w:rsid w:val="00C30258"/>
    <w:rsid w:val="00C40CD0"/>
    <w:rsid w:val="00C57054"/>
    <w:rsid w:val="00C6118E"/>
    <w:rsid w:val="00C75561"/>
    <w:rsid w:val="00C77E55"/>
    <w:rsid w:val="00C94DA3"/>
    <w:rsid w:val="00CA06BE"/>
    <w:rsid w:val="00CC3539"/>
    <w:rsid w:val="00CD0B19"/>
    <w:rsid w:val="00CD312D"/>
    <w:rsid w:val="00CD623A"/>
    <w:rsid w:val="00CE5158"/>
    <w:rsid w:val="00CF3A11"/>
    <w:rsid w:val="00CF6BC3"/>
    <w:rsid w:val="00D02017"/>
    <w:rsid w:val="00D02998"/>
    <w:rsid w:val="00D03B77"/>
    <w:rsid w:val="00D05A04"/>
    <w:rsid w:val="00D11878"/>
    <w:rsid w:val="00D13BFF"/>
    <w:rsid w:val="00D1798F"/>
    <w:rsid w:val="00D2386A"/>
    <w:rsid w:val="00D4101C"/>
    <w:rsid w:val="00D51675"/>
    <w:rsid w:val="00D86CE9"/>
    <w:rsid w:val="00DA2400"/>
    <w:rsid w:val="00DA4C8E"/>
    <w:rsid w:val="00DC1244"/>
    <w:rsid w:val="00DC12C6"/>
    <w:rsid w:val="00DC6A4C"/>
    <w:rsid w:val="00DD468D"/>
    <w:rsid w:val="00DE114A"/>
    <w:rsid w:val="00DE1794"/>
    <w:rsid w:val="00DE2C2E"/>
    <w:rsid w:val="00DF6EEF"/>
    <w:rsid w:val="00E024B7"/>
    <w:rsid w:val="00E02A04"/>
    <w:rsid w:val="00E37641"/>
    <w:rsid w:val="00E4190B"/>
    <w:rsid w:val="00E45BA0"/>
    <w:rsid w:val="00E5291C"/>
    <w:rsid w:val="00E52A7E"/>
    <w:rsid w:val="00E55591"/>
    <w:rsid w:val="00E57686"/>
    <w:rsid w:val="00E66CBE"/>
    <w:rsid w:val="00E73129"/>
    <w:rsid w:val="00E75686"/>
    <w:rsid w:val="00E81AE6"/>
    <w:rsid w:val="00E85C21"/>
    <w:rsid w:val="00E90D07"/>
    <w:rsid w:val="00EA1CA2"/>
    <w:rsid w:val="00EB19C1"/>
    <w:rsid w:val="00EB2DBF"/>
    <w:rsid w:val="00EB3AAF"/>
    <w:rsid w:val="00EB5670"/>
    <w:rsid w:val="00EC1E7D"/>
    <w:rsid w:val="00EC23A7"/>
    <w:rsid w:val="00EC5E47"/>
    <w:rsid w:val="00ED0194"/>
    <w:rsid w:val="00ED6867"/>
    <w:rsid w:val="00EE48FC"/>
    <w:rsid w:val="00F15096"/>
    <w:rsid w:val="00F224EF"/>
    <w:rsid w:val="00F22FC7"/>
    <w:rsid w:val="00F25284"/>
    <w:rsid w:val="00F27238"/>
    <w:rsid w:val="00F27709"/>
    <w:rsid w:val="00F33CCD"/>
    <w:rsid w:val="00F3484A"/>
    <w:rsid w:val="00F64CD1"/>
    <w:rsid w:val="00F9542C"/>
    <w:rsid w:val="00FA1E63"/>
    <w:rsid w:val="00FB39A2"/>
    <w:rsid w:val="00FC3F2A"/>
    <w:rsid w:val="00FD390F"/>
    <w:rsid w:val="00FF7FF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41EBE"/>
  <w15:docId w15:val="{21447EC2-5BC3-4323-BC54-B52D18AF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47AF9"/>
    <w:pPr>
      <w:tabs>
        <w:tab w:val="left" w:pos="851"/>
        <w:tab w:val="left" w:pos="1418"/>
        <w:tab w:val="left" w:pos="1985"/>
        <w:tab w:val="left" w:pos="2552"/>
        <w:tab w:val="left" w:pos="3119"/>
      </w:tabs>
      <w:spacing w:after="0" w:line="360" w:lineRule="auto"/>
      <w:ind w:left="817" w:hanging="675"/>
      <w:jc w:val="both"/>
      <w:outlineLvl w:val="0"/>
    </w:pPr>
    <w:rPr>
      <w:rFonts w:ascii="Arial" w:eastAsia="Times New Roman" w:hAnsi="Arial" w:cs="Arial"/>
      <w:b/>
      <w:sz w:val="24"/>
    </w:rPr>
  </w:style>
  <w:style w:type="paragraph" w:styleId="Heading2">
    <w:name w:val="heading 2"/>
    <w:basedOn w:val="Normal"/>
    <w:next w:val="Normal"/>
    <w:link w:val="Heading2Char"/>
    <w:unhideWhenUsed/>
    <w:qFormat/>
    <w:rsid w:val="00CF6BC3"/>
    <w:pPr>
      <w:keepNext/>
      <w:tabs>
        <w:tab w:val="left" w:pos="851"/>
        <w:tab w:val="left" w:pos="1418"/>
        <w:tab w:val="left" w:pos="1985"/>
        <w:tab w:val="left" w:pos="2552"/>
        <w:tab w:val="left" w:pos="3119"/>
      </w:tabs>
      <w:spacing w:after="0" w:line="360" w:lineRule="auto"/>
      <w:ind w:left="851" w:hanging="851"/>
      <w:jc w:val="both"/>
      <w:outlineLvl w:val="1"/>
    </w:pPr>
    <w:rPr>
      <w:rFonts w:ascii="Arial" w:eastAsiaTheme="majorEastAsia" w:hAnsi="Arial" w:cstheme="majorBidi"/>
      <w:b/>
      <w:bCs/>
      <w:i/>
      <w:iCs/>
      <w:szCs w:val="28"/>
    </w:rPr>
  </w:style>
  <w:style w:type="paragraph" w:styleId="Heading3">
    <w:name w:val="heading 3"/>
    <w:basedOn w:val="Normal"/>
    <w:next w:val="Normal"/>
    <w:link w:val="Heading3Char"/>
    <w:unhideWhenUsed/>
    <w:qFormat/>
    <w:rsid w:val="00CF6BC3"/>
    <w:pPr>
      <w:keepNext/>
      <w:spacing w:before="240" w:after="60" w:line="240" w:lineRule="auto"/>
      <w:outlineLvl w:val="2"/>
    </w:pPr>
    <w:rPr>
      <w:rFonts w:ascii="Arial" w:eastAsiaTheme="majorEastAsia" w:hAnsi="Arial"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F6BC3"/>
    <w:rPr>
      <w:rFonts w:ascii="Arial" w:eastAsiaTheme="majorEastAsia" w:hAnsi="Arial" w:cstheme="majorBidi"/>
      <w:b/>
      <w:bCs/>
      <w:sz w:val="20"/>
      <w:szCs w:val="26"/>
    </w:rPr>
  </w:style>
  <w:style w:type="character" w:customStyle="1" w:styleId="Heading2Char">
    <w:name w:val="Heading 2 Char"/>
    <w:basedOn w:val="DefaultParagraphFont"/>
    <w:link w:val="Heading2"/>
    <w:rsid w:val="00CF6BC3"/>
    <w:rPr>
      <w:rFonts w:ascii="Arial" w:eastAsiaTheme="majorEastAsia" w:hAnsi="Arial" w:cstheme="majorBidi"/>
      <w:b/>
      <w:bCs/>
      <w:i/>
      <w:iCs/>
      <w:szCs w:val="28"/>
    </w:rPr>
  </w:style>
  <w:style w:type="character" w:customStyle="1" w:styleId="Heading1Char">
    <w:name w:val="Heading 1 Char"/>
    <w:basedOn w:val="DefaultParagraphFont"/>
    <w:link w:val="Heading1"/>
    <w:rsid w:val="00547AF9"/>
    <w:rPr>
      <w:rFonts w:ascii="Arial" w:eastAsia="Times New Roman" w:hAnsi="Arial" w:cs="Arial"/>
      <w:b/>
      <w:sz w:val="24"/>
    </w:rPr>
  </w:style>
  <w:style w:type="table" w:styleId="TableGrid">
    <w:name w:val="Table Grid"/>
    <w:basedOn w:val="TableNormal"/>
    <w:uiPriority w:val="59"/>
    <w:rsid w:val="009B6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5B8E"/>
    <w:pPr>
      <w:ind w:left="720"/>
      <w:contextualSpacing/>
    </w:pPr>
  </w:style>
  <w:style w:type="paragraph" w:styleId="BalloonText">
    <w:name w:val="Balloon Text"/>
    <w:basedOn w:val="Normal"/>
    <w:link w:val="BalloonTextChar"/>
    <w:uiPriority w:val="99"/>
    <w:semiHidden/>
    <w:unhideWhenUsed/>
    <w:rsid w:val="0074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D44"/>
    <w:rPr>
      <w:rFonts w:ascii="Tahoma" w:hAnsi="Tahoma" w:cs="Tahoma"/>
      <w:sz w:val="16"/>
      <w:szCs w:val="16"/>
    </w:rPr>
  </w:style>
  <w:style w:type="character" w:styleId="Hyperlink">
    <w:name w:val="Hyperlink"/>
    <w:basedOn w:val="DefaultParagraphFont"/>
    <w:uiPriority w:val="99"/>
    <w:unhideWhenUsed/>
    <w:rsid w:val="00BE7BDB"/>
    <w:rPr>
      <w:color w:val="0000FF" w:themeColor="hyperlink"/>
      <w:u w:val="single"/>
    </w:rPr>
  </w:style>
  <w:style w:type="paragraph" w:customStyle="1" w:styleId="Default">
    <w:name w:val="Default"/>
    <w:rsid w:val="003A014A"/>
    <w:pPr>
      <w:autoSpaceDE w:val="0"/>
      <w:autoSpaceDN w:val="0"/>
      <w:adjustRightInd w:val="0"/>
      <w:spacing w:after="0" w:line="240" w:lineRule="auto"/>
    </w:pPr>
    <w:rPr>
      <w:rFonts w:ascii="BentonSans" w:hAnsi="BentonSans" w:cs="BentonSans"/>
      <w:color w:val="000000"/>
      <w:sz w:val="24"/>
      <w:szCs w:val="24"/>
    </w:rPr>
  </w:style>
  <w:style w:type="paragraph" w:styleId="FootnoteText">
    <w:name w:val="footnote text"/>
    <w:basedOn w:val="Normal"/>
    <w:link w:val="FootnoteTextChar"/>
    <w:uiPriority w:val="99"/>
    <w:semiHidden/>
    <w:unhideWhenUsed/>
    <w:rsid w:val="00990BD1"/>
    <w:pPr>
      <w:spacing w:after="160" w:line="259"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990BD1"/>
    <w:rPr>
      <w:rFonts w:ascii="Calibri" w:eastAsia="Times New Roman" w:hAnsi="Calibri" w:cs="Times New Roman"/>
      <w:sz w:val="20"/>
      <w:szCs w:val="20"/>
    </w:rPr>
  </w:style>
  <w:style w:type="character" w:styleId="FootnoteReference">
    <w:name w:val="footnote reference"/>
    <w:uiPriority w:val="99"/>
    <w:semiHidden/>
    <w:unhideWhenUsed/>
    <w:rsid w:val="00990BD1"/>
    <w:rPr>
      <w:vertAlign w:val="superscript"/>
    </w:rPr>
  </w:style>
  <w:style w:type="paragraph" w:styleId="Header">
    <w:name w:val="header"/>
    <w:basedOn w:val="Normal"/>
    <w:link w:val="HeaderChar"/>
    <w:uiPriority w:val="99"/>
    <w:unhideWhenUsed/>
    <w:rsid w:val="00916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503"/>
  </w:style>
  <w:style w:type="paragraph" w:styleId="Footer">
    <w:name w:val="footer"/>
    <w:basedOn w:val="Normal"/>
    <w:link w:val="FooterChar"/>
    <w:uiPriority w:val="99"/>
    <w:unhideWhenUsed/>
    <w:rsid w:val="00916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503"/>
  </w:style>
  <w:style w:type="character" w:styleId="CommentReference">
    <w:name w:val="annotation reference"/>
    <w:basedOn w:val="DefaultParagraphFont"/>
    <w:uiPriority w:val="99"/>
    <w:semiHidden/>
    <w:unhideWhenUsed/>
    <w:rsid w:val="00A21272"/>
    <w:rPr>
      <w:sz w:val="16"/>
      <w:szCs w:val="16"/>
    </w:rPr>
  </w:style>
  <w:style w:type="paragraph" w:styleId="CommentText">
    <w:name w:val="annotation text"/>
    <w:basedOn w:val="Normal"/>
    <w:link w:val="CommentTextChar"/>
    <w:uiPriority w:val="99"/>
    <w:unhideWhenUsed/>
    <w:rsid w:val="00A21272"/>
    <w:pPr>
      <w:spacing w:line="240" w:lineRule="auto"/>
    </w:pPr>
    <w:rPr>
      <w:sz w:val="20"/>
      <w:szCs w:val="20"/>
    </w:rPr>
  </w:style>
  <w:style w:type="character" w:customStyle="1" w:styleId="CommentTextChar">
    <w:name w:val="Comment Text Char"/>
    <w:basedOn w:val="DefaultParagraphFont"/>
    <w:link w:val="CommentText"/>
    <w:uiPriority w:val="99"/>
    <w:rsid w:val="00A21272"/>
    <w:rPr>
      <w:sz w:val="20"/>
      <w:szCs w:val="20"/>
    </w:rPr>
  </w:style>
  <w:style w:type="paragraph" w:styleId="CommentSubject">
    <w:name w:val="annotation subject"/>
    <w:basedOn w:val="CommentText"/>
    <w:next w:val="CommentText"/>
    <w:link w:val="CommentSubjectChar"/>
    <w:uiPriority w:val="99"/>
    <w:semiHidden/>
    <w:unhideWhenUsed/>
    <w:rsid w:val="00A21272"/>
    <w:rPr>
      <w:b/>
      <w:bCs/>
    </w:rPr>
  </w:style>
  <w:style w:type="character" w:customStyle="1" w:styleId="CommentSubjectChar">
    <w:name w:val="Comment Subject Char"/>
    <w:basedOn w:val="CommentTextChar"/>
    <w:link w:val="CommentSubject"/>
    <w:uiPriority w:val="99"/>
    <w:semiHidden/>
    <w:rsid w:val="00A21272"/>
    <w:rPr>
      <w:b/>
      <w:bCs/>
      <w:sz w:val="20"/>
      <w:szCs w:val="20"/>
    </w:rPr>
  </w:style>
  <w:style w:type="paragraph" w:styleId="NormalWeb">
    <w:name w:val="Normal (Web)"/>
    <w:basedOn w:val="Normal"/>
    <w:unhideWhenUsed/>
    <w:rsid w:val="00547EEE"/>
    <w:rPr>
      <w:rFonts w:ascii="Times New Roman" w:hAnsi="Times New Roman" w:cs="Times New Roman"/>
      <w:sz w:val="24"/>
      <w:szCs w:val="24"/>
    </w:rPr>
  </w:style>
  <w:style w:type="character" w:customStyle="1" w:styleId="ListParagraphChar">
    <w:name w:val="List Paragraph Char"/>
    <w:link w:val="ListParagraph"/>
    <w:uiPriority w:val="34"/>
    <w:locked/>
    <w:rsid w:val="00EC23A7"/>
  </w:style>
  <w:style w:type="paragraph" w:customStyle="1" w:styleId="TableParagraph">
    <w:name w:val="Table Paragraph"/>
    <w:basedOn w:val="Normal"/>
    <w:uiPriority w:val="1"/>
    <w:qFormat/>
    <w:rsid w:val="003B0257"/>
    <w:pPr>
      <w:widowControl w:val="0"/>
      <w:autoSpaceDE w:val="0"/>
      <w:autoSpaceDN w:val="0"/>
      <w:spacing w:after="0" w:line="240" w:lineRule="auto"/>
    </w:pPr>
    <w:rPr>
      <w:rFonts w:ascii="Arial" w:eastAsia="Arial" w:hAnsi="Arial" w:cs="Arial"/>
      <w:lang w:val="en-US" w:eastAsia="en-US"/>
    </w:rPr>
  </w:style>
  <w:style w:type="paragraph" w:styleId="NoSpacing">
    <w:name w:val="No Spacing"/>
    <w:uiPriority w:val="1"/>
    <w:qFormat/>
    <w:rsid w:val="006A5715"/>
    <w:pPr>
      <w:spacing w:after="0" w:line="240" w:lineRule="auto"/>
    </w:pPr>
    <w:rPr>
      <w:lang w:eastAsia="en-US"/>
    </w:rPr>
  </w:style>
  <w:style w:type="paragraph" w:customStyle="1" w:styleId="1Paragraph">
    <w:name w:val="1Paragraph"/>
    <w:basedOn w:val="Normal"/>
    <w:qFormat/>
    <w:rsid w:val="003B5BB2"/>
    <w:pPr>
      <w:widowControl w:val="0"/>
      <w:spacing w:before="120" w:after="120"/>
      <w:ind w:left="851"/>
      <w:jc w:val="both"/>
      <w:outlineLvl w:val="7"/>
    </w:pPr>
    <w:rPr>
      <w:rFonts w:ascii="Arial" w:eastAsia="Times New Roman" w:hAnsi="Arial" w:cs="Arial"/>
      <w:i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1525">
      <w:bodyDiv w:val="1"/>
      <w:marLeft w:val="0"/>
      <w:marRight w:val="0"/>
      <w:marTop w:val="0"/>
      <w:marBottom w:val="0"/>
      <w:divBdr>
        <w:top w:val="none" w:sz="0" w:space="0" w:color="auto"/>
        <w:left w:val="none" w:sz="0" w:space="0" w:color="auto"/>
        <w:bottom w:val="none" w:sz="0" w:space="0" w:color="auto"/>
        <w:right w:val="none" w:sz="0" w:space="0" w:color="auto"/>
      </w:divBdr>
    </w:div>
    <w:div w:id="270747157">
      <w:bodyDiv w:val="1"/>
      <w:marLeft w:val="0"/>
      <w:marRight w:val="0"/>
      <w:marTop w:val="0"/>
      <w:marBottom w:val="0"/>
      <w:divBdr>
        <w:top w:val="none" w:sz="0" w:space="0" w:color="auto"/>
        <w:left w:val="none" w:sz="0" w:space="0" w:color="auto"/>
        <w:bottom w:val="none" w:sz="0" w:space="0" w:color="auto"/>
        <w:right w:val="none" w:sz="0" w:space="0" w:color="auto"/>
      </w:divBdr>
    </w:div>
    <w:div w:id="311102645">
      <w:bodyDiv w:val="1"/>
      <w:marLeft w:val="0"/>
      <w:marRight w:val="0"/>
      <w:marTop w:val="0"/>
      <w:marBottom w:val="0"/>
      <w:divBdr>
        <w:top w:val="none" w:sz="0" w:space="0" w:color="auto"/>
        <w:left w:val="none" w:sz="0" w:space="0" w:color="auto"/>
        <w:bottom w:val="none" w:sz="0" w:space="0" w:color="auto"/>
        <w:right w:val="none" w:sz="0" w:space="0" w:color="auto"/>
      </w:divBdr>
    </w:div>
    <w:div w:id="500512620">
      <w:bodyDiv w:val="1"/>
      <w:marLeft w:val="0"/>
      <w:marRight w:val="0"/>
      <w:marTop w:val="0"/>
      <w:marBottom w:val="0"/>
      <w:divBdr>
        <w:top w:val="none" w:sz="0" w:space="0" w:color="auto"/>
        <w:left w:val="none" w:sz="0" w:space="0" w:color="auto"/>
        <w:bottom w:val="none" w:sz="0" w:space="0" w:color="auto"/>
        <w:right w:val="none" w:sz="0" w:space="0" w:color="auto"/>
      </w:divBdr>
    </w:div>
    <w:div w:id="657461661">
      <w:bodyDiv w:val="1"/>
      <w:marLeft w:val="0"/>
      <w:marRight w:val="0"/>
      <w:marTop w:val="0"/>
      <w:marBottom w:val="0"/>
      <w:divBdr>
        <w:top w:val="none" w:sz="0" w:space="0" w:color="auto"/>
        <w:left w:val="none" w:sz="0" w:space="0" w:color="auto"/>
        <w:bottom w:val="none" w:sz="0" w:space="0" w:color="auto"/>
        <w:right w:val="none" w:sz="0" w:space="0" w:color="auto"/>
      </w:divBdr>
    </w:div>
    <w:div w:id="954597587">
      <w:bodyDiv w:val="1"/>
      <w:marLeft w:val="0"/>
      <w:marRight w:val="0"/>
      <w:marTop w:val="0"/>
      <w:marBottom w:val="0"/>
      <w:divBdr>
        <w:top w:val="none" w:sz="0" w:space="0" w:color="auto"/>
        <w:left w:val="none" w:sz="0" w:space="0" w:color="auto"/>
        <w:bottom w:val="none" w:sz="0" w:space="0" w:color="auto"/>
        <w:right w:val="none" w:sz="0" w:space="0" w:color="auto"/>
      </w:divBdr>
    </w:div>
    <w:div w:id="1036388902">
      <w:bodyDiv w:val="1"/>
      <w:marLeft w:val="0"/>
      <w:marRight w:val="0"/>
      <w:marTop w:val="0"/>
      <w:marBottom w:val="0"/>
      <w:divBdr>
        <w:top w:val="none" w:sz="0" w:space="0" w:color="auto"/>
        <w:left w:val="none" w:sz="0" w:space="0" w:color="auto"/>
        <w:bottom w:val="none" w:sz="0" w:space="0" w:color="auto"/>
        <w:right w:val="none" w:sz="0" w:space="0" w:color="auto"/>
      </w:divBdr>
    </w:div>
    <w:div w:id="1408111895">
      <w:bodyDiv w:val="1"/>
      <w:marLeft w:val="0"/>
      <w:marRight w:val="0"/>
      <w:marTop w:val="0"/>
      <w:marBottom w:val="0"/>
      <w:divBdr>
        <w:top w:val="none" w:sz="0" w:space="0" w:color="auto"/>
        <w:left w:val="none" w:sz="0" w:space="0" w:color="auto"/>
        <w:bottom w:val="none" w:sz="0" w:space="0" w:color="auto"/>
        <w:right w:val="none" w:sz="0" w:space="0" w:color="auto"/>
      </w:divBdr>
    </w:div>
    <w:div w:id="1604681336">
      <w:bodyDiv w:val="1"/>
      <w:marLeft w:val="0"/>
      <w:marRight w:val="0"/>
      <w:marTop w:val="0"/>
      <w:marBottom w:val="0"/>
      <w:divBdr>
        <w:top w:val="none" w:sz="0" w:space="0" w:color="auto"/>
        <w:left w:val="none" w:sz="0" w:space="0" w:color="auto"/>
        <w:bottom w:val="none" w:sz="0" w:space="0" w:color="auto"/>
        <w:right w:val="none" w:sz="0" w:space="0" w:color="auto"/>
      </w:divBdr>
    </w:div>
    <w:div w:id="1717117323">
      <w:bodyDiv w:val="1"/>
      <w:marLeft w:val="0"/>
      <w:marRight w:val="0"/>
      <w:marTop w:val="0"/>
      <w:marBottom w:val="0"/>
      <w:divBdr>
        <w:top w:val="none" w:sz="0" w:space="0" w:color="auto"/>
        <w:left w:val="none" w:sz="0" w:space="0" w:color="auto"/>
        <w:bottom w:val="none" w:sz="0" w:space="0" w:color="auto"/>
        <w:right w:val="none" w:sz="0" w:space="0" w:color="auto"/>
      </w:divBdr>
    </w:div>
    <w:div w:id="1739746174">
      <w:bodyDiv w:val="1"/>
      <w:marLeft w:val="0"/>
      <w:marRight w:val="0"/>
      <w:marTop w:val="0"/>
      <w:marBottom w:val="0"/>
      <w:divBdr>
        <w:top w:val="none" w:sz="0" w:space="0" w:color="auto"/>
        <w:left w:val="none" w:sz="0" w:space="0" w:color="auto"/>
        <w:bottom w:val="none" w:sz="0" w:space="0" w:color="auto"/>
        <w:right w:val="none" w:sz="0" w:space="0" w:color="auto"/>
      </w:divBdr>
    </w:div>
    <w:div w:id="1843659578">
      <w:bodyDiv w:val="1"/>
      <w:marLeft w:val="0"/>
      <w:marRight w:val="0"/>
      <w:marTop w:val="0"/>
      <w:marBottom w:val="0"/>
      <w:divBdr>
        <w:top w:val="none" w:sz="0" w:space="0" w:color="auto"/>
        <w:left w:val="none" w:sz="0" w:space="0" w:color="auto"/>
        <w:bottom w:val="none" w:sz="0" w:space="0" w:color="auto"/>
        <w:right w:val="none" w:sz="0" w:space="0" w:color="auto"/>
      </w:divBdr>
    </w:div>
    <w:div w:id="20302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csa.co.z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49756-EA1B-43D5-BFE3-F593F06B5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1760</Words>
  <Characters>10036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Jacobus Douglas</dc:creator>
  <cp:lastModifiedBy>Joseph Rasakanya</cp:lastModifiedBy>
  <cp:revision>2</cp:revision>
  <cp:lastPrinted>2021-07-16T10:07:00Z</cp:lastPrinted>
  <dcterms:created xsi:type="dcterms:W3CDTF">2025-07-15T15:25:00Z</dcterms:created>
  <dcterms:modified xsi:type="dcterms:W3CDTF">2025-07-15T15:25:00Z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-1835452420</vt:i4>
  </property>
  <property fmtid="{D5CDD505-2E9C-101B-9397-08002B2CF9AE}" pid="4" name="_EmailSubject">
    <vt:lpwstr>RFQ</vt:lpwstr>
  </property>
  <property fmtid="{D5CDD505-2E9C-101B-9397-08002B2CF9AE}" pid="5" name="_AuthorEmail">
    <vt:lpwstr>Thulile.Sokhela@ntp.co.za</vt:lpwstr>
  </property>
  <property fmtid="{D5CDD505-2E9C-101B-9397-08002B2CF9AE}" pid="6" name="_AuthorEmailDisplayName">
    <vt:lpwstr>Thulile Sokhela</vt:lpwstr>
  </property>
  <property fmtid="{D5CDD505-2E9C-101B-9397-08002B2CF9AE}" pid="7" name="_PreviousAdHocReviewCycleID">
    <vt:i4>194427115</vt:i4>
  </property>
  <property fmtid="{D5CDD505-2E9C-101B-9397-08002B2CF9AE}" pid="8" name="_ReviewingToolsShownOnce">
    <vt:lpwstr/>
  </property>
</Properties>
</file>