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DE64" w14:textId="77777777" w:rsidR="00DB39D8" w:rsidRDefault="00DB39D8" w:rsidP="003A45B0">
      <w:pPr>
        <w:rPr>
          <w:rFonts w:ascii="Arial" w:hAnsi="Arial" w:cs="Arial"/>
          <w:sz w:val="20"/>
          <w:szCs w:val="20"/>
        </w:rPr>
      </w:pPr>
    </w:p>
    <w:p w14:paraId="581A6922" w14:textId="77777777" w:rsidR="0060741F" w:rsidRDefault="00E25F08" w:rsidP="0060741F">
      <w:pPr>
        <w:jc w:val="center"/>
        <w:rPr>
          <w:rFonts w:ascii="Arial" w:hAnsi="Arial" w:cs="Arial"/>
          <w:sz w:val="20"/>
          <w:szCs w:val="20"/>
        </w:rPr>
      </w:pPr>
      <w:r w:rsidRPr="00C94B22"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2750C7C3" wp14:editId="531AB6EE">
            <wp:extent cx="4657725" cy="781050"/>
            <wp:effectExtent l="0" t="0" r="9525" b="0"/>
            <wp:docPr id="3" name="Picture 1" descr="siga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ag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3025" w14:textId="477DD0C3" w:rsidR="00DB39D8" w:rsidRPr="0093705D" w:rsidRDefault="00AA57CE" w:rsidP="00AA57CE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</w:rPr>
      </w:pPr>
      <w:r w:rsidRPr="0093705D">
        <w:rPr>
          <w:rFonts w:ascii="Arial" w:hAnsi="Arial" w:cs="Arial"/>
          <w:b/>
          <w:sz w:val="16"/>
          <w:szCs w:val="16"/>
        </w:rPr>
        <w:t>APPOINTMENT OF</w:t>
      </w:r>
      <w:r w:rsidR="00AA063A">
        <w:rPr>
          <w:rFonts w:ascii="Arial" w:hAnsi="Arial" w:cs="Arial"/>
          <w:b/>
          <w:sz w:val="16"/>
          <w:szCs w:val="16"/>
        </w:rPr>
        <w:t xml:space="preserve"> A </w:t>
      </w:r>
      <w:r w:rsidR="00D70135">
        <w:rPr>
          <w:rFonts w:ascii="Arial" w:hAnsi="Arial" w:cs="Arial"/>
          <w:b/>
          <w:sz w:val="16"/>
          <w:szCs w:val="16"/>
        </w:rPr>
        <w:t xml:space="preserve">SERVICE PROVIDER </w:t>
      </w:r>
      <w:r w:rsidR="003176B7">
        <w:rPr>
          <w:rFonts w:ascii="Arial" w:hAnsi="Arial" w:cs="Arial"/>
          <w:b/>
          <w:sz w:val="16"/>
          <w:szCs w:val="16"/>
        </w:rPr>
        <w:t xml:space="preserve">FOR THE REFURBISHMENT OF HEAD QUARTER OFFICES AND THE YARD AT UMHLANGA </w:t>
      </w:r>
      <w:r w:rsidR="00D37273">
        <w:rPr>
          <w:rFonts w:ascii="Arial" w:hAnsi="Arial" w:cs="Arial"/>
          <w:b/>
          <w:sz w:val="16"/>
          <w:szCs w:val="16"/>
        </w:rPr>
        <w:t xml:space="preserve">FOR THE </w:t>
      </w:r>
      <w:r w:rsidR="007F5D3E">
        <w:rPr>
          <w:rFonts w:ascii="Arial" w:hAnsi="Arial" w:cs="Arial"/>
          <w:b/>
          <w:sz w:val="16"/>
          <w:szCs w:val="16"/>
        </w:rPr>
        <w:t>KWAZU</w:t>
      </w:r>
      <w:r w:rsidRPr="0093705D">
        <w:rPr>
          <w:rFonts w:ascii="Arial" w:hAnsi="Arial" w:cs="Arial"/>
          <w:b/>
          <w:sz w:val="16"/>
          <w:szCs w:val="16"/>
        </w:rPr>
        <w:t>LU-NATAL SHARKS BOARD MARITIME CENTRE OF EXCELLENCE</w:t>
      </w:r>
      <w:r w:rsidR="005F506C">
        <w:rPr>
          <w:rFonts w:ascii="Arial" w:hAnsi="Arial" w:cs="Arial"/>
          <w:b/>
          <w:sz w:val="16"/>
          <w:szCs w:val="16"/>
        </w:rPr>
        <w:t>.</w:t>
      </w:r>
    </w:p>
    <w:p w14:paraId="2183B969" w14:textId="77777777" w:rsidR="00DB39D8" w:rsidRPr="0093705D" w:rsidRDefault="00DB39D8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Notification of Tender</w:t>
      </w:r>
    </w:p>
    <w:p w14:paraId="556CACF0" w14:textId="77777777" w:rsidR="000F3CEE" w:rsidRPr="0093705D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The KwaZulu-Natal Sharks Board </w:t>
      </w:r>
      <w:r w:rsidR="00AA57CE" w:rsidRPr="0093705D">
        <w:rPr>
          <w:rFonts w:ascii="Arial" w:eastAsia="Calibri" w:hAnsi="Arial" w:cs="Arial"/>
          <w:sz w:val="16"/>
          <w:szCs w:val="16"/>
          <w:lang w:val="en-US"/>
        </w:rPr>
        <w:t xml:space="preserve">Maritime Centre of Excellence </w:t>
      </w:r>
      <w:r w:rsidRPr="0093705D">
        <w:rPr>
          <w:rFonts w:ascii="Arial" w:eastAsia="Calibri" w:hAnsi="Arial" w:cs="Arial"/>
          <w:sz w:val="16"/>
          <w:szCs w:val="16"/>
          <w:lang w:val="en-US"/>
        </w:rPr>
        <w:t>invites tenders for the following: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0"/>
        <w:gridCol w:w="1645"/>
        <w:gridCol w:w="1775"/>
        <w:gridCol w:w="1890"/>
        <w:gridCol w:w="1296"/>
      </w:tblGrid>
      <w:tr w:rsidR="00205EFB" w:rsidRPr="0093705D" w14:paraId="61D05CA8" w14:textId="77777777" w:rsidTr="006D5B6C">
        <w:tc>
          <w:tcPr>
            <w:tcW w:w="3600" w:type="dxa"/>
          </w:tcPr>
          <w:p w14:paraId="45334B14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645" w:type="dxa"/>
          </w:tcPr>
          <w:p w14:paraId="5BD41A93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No.</w:t>
            </w:r>
          </w:p>
        </w:tc>
        <w:tc>
          <w:tcPr>
            <w:tcW w:w="1775" w:type="dxa"/>
          </w:tcPr>
          <w:p w14:paraId="730C7136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Compulsory Briefing Date</w:t>
            </w:r>
          </w:p>
        </w:tc>
        <w:tc>
          <w:tcPr>
            <w:tcW w:w="1890" w:type="dxa"/>
          </w:tcPr>
          <w:p w14:paraId="3F600F77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Date</w:t>
            </w:r>
          </w:p>
        </w:tc>
        <w:tc>
          <w:tcPr>
            <w:tcW w:w="1296" w:type="dxa"/>
            <w:shd w:val="clear" w:color="auto" w:fill="auto"/>
          </w:tcPr>
          <w:p w14:paraId="633E22F8" w14:textId="77777777" w:rsidR="00205EFB" w:rsidRPr="0093705D" w:rsidRDefault="00773D84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Time</w:t>
            </w:r>
          </w:p>
        </w:tc>
      </w:tr>
      <w:tr w:rsidR="00205EFB" w:rsidRPr="0093705D" w14:paraId="31B950B7" w14:textId="77777777" w:rsidTr="006D5B6C">
        <w:trPr>
          <w:trHeight w:val="728"/>
        </w:trPr>
        <w:tc>
          <w:tcPr>
            <w:tcW w:w="3600" w:type="dxa"/>
          </w:tcPr>
          <w:p w14:paraId="32AA2157" w14:textId="38DF4662" w:rsidR="00C81D72" w:rsidRDefault="003176B7" w:rsidP="003D378A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Refurbishment of Head Quarters Offices and the Yard at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uMhlanga</w:t>
            </w:r>
            <w:proofErr w:type="spellEnd"/>
            <w:r w:rsidR="00C81D72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14:paraId="656BB862" w14:textId="61F04EE8" w:rsidR="00A676F0" w:rsidRPr="0093705D" w:rsidRDefault="00A676F0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Evaluation will be on functionality and </w:t>
            </w:r>
            <w:r w:rsidR="004E649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80/20-point</w:t>
            </w: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system.</w:t>
            </w:r>
          </w:p>
        </w:tc>
        <w:tc>
          <w:tcPr>
            <w:tcW w:w="1645" w:type="dxa"/>
          </w:tcPr>
          <w:p w14:paraId="708D75D2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7DEDDA8B" w14:textId="6B7622AB" w:rsidR="000F3CEE" w:rsidRPr="0093705D" w:rsidRDefault="00AA57CE" w:rsidP="002B515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ZNT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/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>3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KZNSB0</w:t>
            </w:r>
            <w:r w:rsidR="003176B7">
              <w:rPr>
                <w:rFonts w:ascii="Arial" w:eastAsia="Calibri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775" w:type="dxa"/>
          </w:tcPr>
          <w:p w14:paraId="28E5FE02" w14:textId="77777777" w:rsidR="000F3CEE" w:rsidRDefault="000F3CEE" w:rsidP="00AA57CE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1A4E61C7" w14:textId="013E9DD7" w:rsidR="007C7BC1" w:rsidRPr="0093705D" w:rsidRDefault="00020F27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02 November</w:t>
            </w:r>
            <w:r w:rsidR="0049389F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 w:rsidR="00C56F6D">
              <w:rPr>
                <w:rFonts w:ascii="Arial" w:eastAsia="Calibri" w:hAnsi="Arial" w:cs="Arial"/>
                <w:sz w:val="16"/>
                <w:szCs w:val="16"/>
                <w:lang w:val="en-US"/>
              </w:rPr>
              <w:t>20</w:t>
            </w:r>
            <w:r w:rsidR="0049389F">
              <w:rPr>
                <w:rFonts w:ascii="Arial" w:eastAsia="Calibri" w:hAnsi="Arial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1890" w:type="dxa"/>
          </w:tcPr>
          <w:p w14:paraId="4C09DAF8" w14:textId="77777777" w:rsidR="000F3CEE" w:rsidRDefault="000F3CEE" w:rsidP="00F85A19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31224778" w14:textId="31B382DB" w:rsidR="007C7BC1" w:rsidRPr="0093705D" w:rsidRDefault="00020F27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17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November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2022</w:t>
            </w:r>
          </w:p>
        </w:tc>
        <w:tc>
          <w:tcPr>
            <w:tcW w:w="1296" w:type="dxa"/>
            <w:shd w:val="clear" w:color="auto" w:fill="auto"/>
          </w:tcPr>
          <w:p w14:paraId="0B1C853D" w14:textId="77777777" w:rsidR="00205EFB" w:rsidRPr="0093705D" w:rsidRDefault="00205EFB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603022F1" w14:textId="77777777" w:rsidR="00773D84" w:rsidRPr="0093705D" w:rsidRDefault="00773D84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11h00</w:t>
            </w:r>
          </w:p>
        </w:tc>
      </w:tr>
    </w:tbl>
    <w:p w14:paraId="2D5A5C2A" w14:textId="7AF8F2FC" w:rsidR="00AE7E93" w:rsidRDefault="00773D84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 compulsory briefing session with the representatives of the KwaZulu-Natal Sharks Board will 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take place at the </w:t>
      </w:r>
      <w:r w:rsidR="008F30E6">
        <w:rPr>
          <w:rFonts w:ascii="Arial" w:eastAsia="Calibri" w:hAnsi="Arial" w:cs="Arial"/>
          <w:sz w:val="16"/>
          <w:szCs w:val="16"/>
          <w:lang w:val="en-US"/>
        </w:rPr>
        <w:t>Hall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, 1a </w:t>
      </w:r>
      <w:proofErr w:type="spellStart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>Herrwood</w:t>
      </w:r>
      <w:proofErr w:type="spellEnd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 Drive </w:t>
      </w:r>
      <w:proofErr w:type="spellStart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>uMhlanga</w:t>
      </w:r>
      <w:proofErr w:type="spellEnd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 Rocks at 11:00 am.</w:t>
      </w:r>
    </w:p>
    <w:p w14:paraId="42D83739" w14:textId="44C03662" w:rsidR="009257F7" w:rsidRPr="00626170" w:rsidRDefault="009257F7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Tenders should provide Tax Clearance Certificate with Pin</w:t>
      </w:r>
    </w:p>
    <w:p w14:paraId="2814444C" w14:textId="689BE229" w:rsidR="00FE0C0D" w:rsidRDefault="0049389F" w:rsidP="00AC49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Proof of registration with National Treasury Central Supplier Database. NB proof to be printed from NT website.</w:t>
      </w:r>
    </w:p>
    <w:p w14:paraId="3F402074" w14:textId="74D6EA59" w:rsidR="003176B7" w:rsidRDefault="003176B7" w:rsidP="00AC49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CIDB Grade 4GB or Higher</w:t>
      </w:r>
    </w:p>
    <w:p w14:paraId="73E93CF5" w14:textId="2829A960" w:rsidR="003176B7" w:rsidRDefault="003176B7" w:rsidP="00AC49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Letter of good standing (COIDA)</w:t>
      </w:r>
    </w:p>
    <w:p w14:paraId="2C8CE383" w14:textId="7C052A27" w:rsidR="0006427C" w:rsidRPr="0093705D" w:rsidRDefault="00FE0C0D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All Supply Chain Management inquiries must be addressed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to </w:t>
      </w:r>
      <w:r w:rsidR="00C81D72" w:rsidRPr="0093705D">
        <w:rPr>
          <w:rFonts w:ascii="Arial" w:eastAsia="Calibri" w:hAnsi="Arial" w:cs="Arial"/>
          <w:sz w:val="16"/>
          <w:szCs w:val="16"/>
          <w:lang w:val="en-US"/>
        </w:rPr>
        <w:t>Mr.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S. Mzelemu on 031 566 0422 E-mail: </w:t>
      </w:r>
      <w:hyperlink r:id="rId9" w:history="1">
        <w:r w:rsidR="00E60D5D" w:rsidRPr="0093705D">
          <w:rPr>
            <w:rFonts w:ascii="Arial" w:hAnsi="Arial" w:cs="Arial"/>
            <w:color w:val="0070C0"/>
            <w:sz w:val="16"/>
            <w:szCs w:val="16"/>
          </w:rPr>
          <w:t>mzelemu@shark.co.za</w:t>
        </w:r>
      </w:hyperlink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 xml:space="preserve"> and all Technic</w:t>
      </w:r>
      <w:r w:rsidR="007F5D3E">
        <w:rPr>
          <w:rFonts w:ascii="Arial" w:eastAsia="Calibri" w:hAnsi="Arial" w:cs="Arial"/>
          <w:sz w:val="16"/>
          <w:szCs w:val="16"/>
          <w:lang w:val="en-US"/>
        </w:rPr>
        <w:t>al queries to Mr.</w:t>
      </w:r>
      <w:r w:rsidR="00AA063A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C81D72">
        <w:rPr>
          <w:rFonts w:ascii="Arial" w:eastAsia="Calibri" w:hAnsi="Arial" w:cs="Arial"/>
          <w:sz w:val="16"/>
          <w:szCs w:val="16"/>
          <w:lang w:val="en-US"/>
        </w:rPr>
        <w:t>Ntando Canca</w:t>
      </w:r>
      <w:r w:rsidR="00243179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on 0</w:t>
      </w:r>
      <w:r w:rsidR="00243179">
        <w:rPr>
          <w:rFonts w:ascii="Arial" w:eastAsia="Calibri" w:hAnsi="Arial" w:cs="Arial"/>
          <w:sz w:val="16"/>
          <w:szCs w:val="16"/>
          <w:lang w:val="en-US"/>
        </w:rPr>
        <w:t>31 566 04</w:t>
      </w:r>
      <w:r w:rsidR="009257F7">
        <w:rPr>
          <w:rFonts w:ascii="Arial" w:eastAsia="Calibri" w:hAnsi="Arial" w:cs="Arial"/>
          <w:sz w:val="16"/>
          <w:szCs w:val="16"/>
          <w:lang w:val="en-US"/>
        </w:rPr>
        <w:t>61</w:t>
      </w:r>
      <w:r w:rsidR="003D378A" w:rsidRPr="0093705D">
        <w:rPr>
          <w:rFonts w:ascii="Arial" w:eastAsia="Calibri" w:hAnsi="Arial" w:cs="Arial"/>
          <w:sz w:val="16"/>
          <w:szCs w:val="16"/>
          <w:lang w:val="en-US"/>
        </w:rPr>
        <w:t xml:space="preserve"> E-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mail:</w:t>
      </w:r>
      <w:hyperlink r:id="rId10" w:history="1">
        <w:r w:rsidR="00C81D72" w:rsidRPr="005F6355">
          <w:rPr>
            <w:rStyle w:val="Hyperlink"/>
            <w:rFonts w:ascii="Arial" w:hAnsi="Arial" w:cs="Arial"/>
            <w:sz w:val="16"/>
            <w:szCs w:val="16"/>
          </w:rPr>
          <w:t>ntando@shark.co.za</w:t>
        </w:r>
      </w:hyperlink>
      <w:r w:rsidR="00571282" w:rsidRPr="0093705D">
        <w:rPr>
          <w:rFonts w:ascii="Arial" w:hAnsi="Arial" w:cs="Arial"/>
          <w:color w:val="0070C0"/>
          <w:sz w:val="16"/>
          <w:szCs w:val="16"/>
          <w:lang w:val="en-US"/>
        </w:rPr>
        <w:t>.</w:t>
      </w:r>
    </w:p>
    <w:p w14:paraId="3400F281" w14:textId="4501487A" w:rsidR="00AA57CE" w:rsidRDefault="0006427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Telegraphic, telephonic, telex, facsimile and late tenders </w:t>
      </w:r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>will not be accepted.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73"/>
        <w:gridCol w:w="5222"/>
        <w:gridCol w:w="1255"/>
      </w:tblGrid>
      <w:tr w:rsidR="003176B7" w:rsidRPr="003176B7" w14:paraId="37E549A3" w14:textId="77777777" w:rsidTr="007A022B">
        <w:trPr>
          <w:trHeight w:val="485"/>
        </w:trPr>
        <w:tc>
          <w:tcPr>
            <w:tcW w:w="2873" w:type="dxa"/>
          </w:tcPr>
          <w:p w14:paraId="06A61581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Functional Factor </w:t>
            </w:r>
          </w:p>
          <w:p w14:paraId="2C93B7E0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</w:p>
        </w:tc>
        <w:tc>
          <w:tcPr>
            <w:tcW w:w="5222" w:type="dxa"/>
          </w:tcPr>
          <w:p w14:paraId="3A01E730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>Criteria</w:t>
            </w:r>
          </w:p>
        </w:tc>
        <w:tc>
          <w:tcPr>
            <w:tcW w:w="1255" w:type="dxa"/>
          </w:tcPr>
          <w:p w14:paraId="760EFBF8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>Maximum Points</w:t>
            </w:r>
          </w:p>
        </w:tc>
      </w:tr>
      <w:tr w:rsidR="003176B7" w:rsidRPr="003176B7" w14:paraId="09BC8659" w14:textId="77777777" w:rsidTr="007A022B">
        <w:trPr>
          <w:trHeight w:val="530"/>
        </w:trPr>
        <w:tc>
          <w:tcPr>
            <w:tcW w:w="2873" w:type="dxa"/>
          </w:tcPr>
          <w:p w14:paraId="7246C575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Preliminary </w:t>
            </w:r>
            <w:proofErr w:type="spellStart"/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>Programme</w:t>
            </w:r>
            <w:proofErr w:type="spellEnd"/>
          </w:p>
          <w:p w14:paraId="20121224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</w:p>
        </w:tc>
        <w:tc>
          <w:tcPr>
            <w:tcW w:w="5222" w:type="dxa"/>
          </w:tcPr>
          <w:p w14:paraId="704EB3A3" w14:textId="77777777" w:rsidR="003176B7" w:rsidRPr="003176B7" w:rsidRDefault="003176B7" w:rsidP="003176B7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The </w:t>
            </w:r>
            <w:proofErr w:type="spellStart"/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>Programme</w:t>
            </w:r>
            <w:proofErr w:type="spellEnd"/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/implementation plan clearly shows all activities, durations, dependencies, and critical path - </w:t>
            </w: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>5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points </w:t>
            </w:r>
          </w:p>
          <w:p w14:paraId="164E55C6" w14:textId="77777777" w:rsidR="003176B7" w:rsidRPr="003176B7" w:rsidRDefault="003176B7" w:rsidP="003176B7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The overall project duration is within the stated contract period (8 calendar Months) – </w:t>
            </w: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 xml:space="preserve">5 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points </w:t>
            </w:r>
          </w:p>
        </w:tc>
        <w:tc>
          <w:tcPr>
            <w:tcW w:w="1255" w:type="dxa"/>
          </w:tcPr>
          <w:p w14:paraId="563D5396" w14:textId="77777777" w:rsidR="003176B7" w:rsidRPr="003176B7" w:rsidRDefault="003176B7" w:rsidP="003176B7">
            <w:pPr>
              <w:jc w:val="center"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  <w:t>10</w:t>
            </w:r>
          </w:p>
        </w:tc>
      </w:tr>
      <w:tr w:rsidR="003176B7" w:rsidRPr="003176B7" w14:paraId="43F7AB9A" w14:textId="77777777" w:rsidTr="007A022B">
        <w:tc>
          <w:tcPr>
            <w:tcW w:w="2873" w:type="dxa"/>
          </w:tcPr>
          <w:p w14:paraId="207ACA8B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Tenderers Experience </w:t>
            </w:r>
          </w:p>
          <w:p w14:paraId="21B8F18B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</w:p>
        </w:tc>
        <w:tc>
          <w:tcPr>
            <w:tcW w:w="5222" w:type="dxa"/>
          </w:tcPr>
          <w:p w14:paraId="68807E10" w14:textId="77777777" w:rsidR="008F30E6" w:rsidRPr="00592095" w:rsidRDefault="008F30E6" w:rsidP="008F30E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b/>
                <w:caps/>
                <w:szCs w:val="24"/>
                <w:u w:val="single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A</w:t>
            </w:r>
            <w:r w:rsidRPr="008448ED">
              <w:rPr>
                <w:rFonts w:ascii="Arial Narrow" w:hAnsi="Arial Narrow" w:cs="Arial"/>
                <w:color w:val="000000"/>
                <w:szCs w:val="24"/>
              </w:rPr>
              <w:t>ttach contactable completion certificates signed by the client/principal agent references</w:t>
            </w:r>
            <w:r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  <w:p w14:paraId="444FDD56" w14:textId="77777777" w:rsidR="003176B7" w:rsidRPr="003176B7" w:rsidRDefault="003176B7" w:rsidP="003176B7">
            <w:pPr>
              <w:ind w:left="360"/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</w:pPr>
          </w:p>
          <w:p w14:paraId="46EAF9F1" w14:textId="77777777" w:rsidR="003176B7" w:rsidRPr="003176B7" w:rsidRDefault="003176B7" w:rsidP="003176B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  <w:t>4 Projects – 40 Points</w:t>
            </w:r>
          </w:p>
          <w:p w14:paraId="3F837A40" w14:textId="77777777" w:rsidR="003176B7" w:rsidRPr="003176B7" w:rsidRDefault="003176B7" w:rsidP="003176B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  <w:t xml:space="preserve">3 Projects – 30 Points </w:t>
            </w:r>
          </w:p>
          <w:p w14:paraId="31F5D213" w14:textId="77777777" w:rsidR="003176B7" w:rsidRPr="003176B7" w:rsidRDefault="003176B7" w:rsidP="003176B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  <w:t>2 Projects – 20 Points</w:t>
            </w:r>
          </w:p>
          <w:p w14:paraId="3E89012A" w14:textId="77777777" w:rsidR="003176B7" w:rsidRPr="003176B7" w:rsidRDefault="003176B7" w:rsidP="003176B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  <w:t xml:space="preserve">1 Project   - 10 Points </w:t>
            </w:r>
          </w:p>
        </w:tc>
        <w:tc>
          <w:tcPr>
            <w:tcW w:w="1255" w:type="dxa"/>
          </w:tcPr>
          <w:p w14:paraId="28FE6F11" w14:textId="77777777" w:rsidR="003176B7" w:rsidRPr="003176B7" w:rsidRDefault="003176B7" w:rsidP="003176B7">
            <w:pPr>
              <w:jc w:val="center"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  <w:t>40</w:t>
            </w:r>
          </w:p>
        </w:tc>
      </w:tr>
      <w:tr w:rsidR="003176B7" w:rsidRPr="003176B7" w14:paraId="778A23B2" w14:textId="77777777" w:rsidTr="007A022B">
        <w:tc>
          <w:tcPr>
            <w:tcW w:w="2873" w:type="dxa"/>
          </w:tcPr>
          <w:p w14:paraId="0F7F1747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CVs of Tenderers Key Personnel </w:t>
            </w:r>
          </w:p>
          <w:p w14:paraId="19ACBA97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</w:p>
          <w:p w14:paraId="127EE463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</w:p>
        </w:tc>
        <w:tc>
          <w:tcPr>
            <w:tcW w:w="5222" w:type="dxa"/>
          </w:tcPr>
          <w:p w14:paraId="290C5FEA" w14:textId="77777777" w:rsidR="003176B7" w:rsidRPr="003176B7" w:rsidRDefault="003176B7" w:rsidP="003176B7">
            <w:pPr>
              <w:ind w:right="-1"/>
              <w:jc w:val="both"/>
              <w:rPr>
                <w:rFonts w:ascii="Arial" w:eastAsia="Calibri" w:hAnsi="Arial" w:cs="Arial"/>
                <w:bCs/>
                <w:snapToGrid w:val="0"/>
                <w:lang w:val="en-US"/>
              </w:rPr>
            </w:pPr>
            <w:r w:rsidRPr="003176B7">
              <w:rPr>
                <w:rFonts w:ascii="Arial" w:eastAsia="Calibri" w:hAnsi="Arial" w:cs="Arial"/>
                <w:b/>
                <w:snapToGrid w:val="0"/>
                <w:lang w:val="en-US"/>
              </w:rPr>
              <w:t xml:space="preserve">key staff experience (attach CV &amp; Qualification)- </w:t>
            </w:r>
            <w:r w:rsidRPr="003176B7">
              <w:rPr>
                <w:rFonts w:ascii="Arial" w:eastAsia="Calibri" w:hAnsi="Arial" w:cs="Arial"/>
                <w:bCs/>
                <w:snapToGrid w:val="0"/>
                <w:lang w:val="en-US"/>
              </w:rPr>
              <w:t>Valid proof of certification must be furnished and attached to the bidding document. Failure to attach will result in no point allocation</w:t>
            </w:r>
          </w:p>
          <w:p w14:paraId="5AC86574" w14:textId="77777777" w:rsidR="003176B7" w:rsidRPr="003176B7" w:rsidRDefault="003176B7" w:rsidP="003176B7">
            <w:pPr>
              <w:ind w:right="-1"/>
              <w:jc w:val="both"/>
              <w:rPr>
                <w:rFonts w:ascii="Arial" w:eastAsia="Calibri" w:hAnsi="Arial" w:cs="Arial"/>
                <w:bCs/>
                <w:snapToGrid w:val="0"/>
                <w:lang w:val="en-US"/>
              </w:rPr>
            </w:pPr>
          </w:p>
          <w:p w14:paraId="54E8FDFD" w14:textId="77777777" w:rsidR="003176B7" w:rsidRPr="003176B7" w:rsidRDefault="003176B7" w:rsidP="003176B7">
            <w:pPr>
              <w:ind w:right="-1"/>
              <w:jc w:val="both"/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 xml:space="preserve">Site Agent – 10 points </w:t>
            </w:r>
          </w:p>
          <w:p w14:paraId="0964AD81" w14:textId="77777777" w:rsidR="003176B7" w:rsidRPr="003176B7" w:rsidRDefault="003176B7" w:rsidP="003176B7">
            <w:pPr>
              <w:ind w:right="-1"/>
              <w:jc w:val="both"/>
              <w:rPr>
                <w:rFonts w:ascii="Arial" w:eastAsia="Calibri" w:hAnsi="Arial" w:cs="Arial"/>
                <w:bCs/>
                <w:snapToGrid w:val="0"/>
                <w:lang w:val="en-US"/>
              </w:rPr>
            </w:pP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 xml:space="preserve">Foreman    - 10 points </w:t>
            </w:r>
          </w:p>
          <w:p w14:paraId="7660D220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</w:p>
          <w:p w14:paraId="7B6A1287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>Site Agent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with NFQ Level 6 in the Built Environment with 5 years or more experience -10 points.</w:t>
            </w:r>
          </w:p>
          <w:p w14:paraId="2F55BD74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</w:p>
          <w:p w14:paraId="0751E116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/>
                <w:bCs/>
                <w:snapToGrid w:val="0"/>
                <w:lang w:val="en-US" w:eastAsia="en-GB"/>
              </w:rPr>
              <w:t>Site Agent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with NFQ Level 6 in the Built Environment with 1 - 4 years’ experience - 5 points.</w:t>
            </w:r>
          </w:p>
          <w:p w14:paraId="632622A2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</w:p>
          <w:p w14:paraId="490B8209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>Foreman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with NFQ level 4 National Certificate (Matric) with 5 years or more experience - 10 points.</w:t>
            </w:r>
          </w:p>
          <w:p w14:paraId="59885D4C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</w:p>
          <w:p w14:paraId="5F701821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/>
                <w:bCs/>
                <w:snapToGrid w:val="0"/>
                <w:lang w:val="en-US" w:eastAsia="en-GB"/>
              </w:rPr>
              <w:t>Foreman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with NFQ level 4 National Certificate (Matric) with 1 - 4 years’ experience 5 points.</w:t>
            </w:r>
          </w:p>
          <w:p w14:paraId="6A5A9CED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</w:p>
        </w:tc>
        <w:tc>
          <w:tcPr>
            <w:tcW w:w="1255" w:type="dxa"/>
          </w:tcPr>
          <w:p w14:paraId="3143225D" w14:textId="77777777" w:rsidR="003176B7" w:rsidRPr="003176B7" w:rsidRDefault="003176B7" w:rsidP="003176B7">
            <w:pPr>
              <w:jc w:val="center"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  <w:lastRenderedPageBreak/>
              <w:t>20</w:t>
            </w:r>
          </w:p>
        </w:tc>
      </w:tr>
      <w:tr w:rsidR="003176B7" w:rsidRPr="003176B7" w14:paraId="03582235" w14:textId="77777777" w:rsidTr="007A022B">
        <w:tc>
          <w:tcPr>
            <w:tcW w:w="2873" w:type="dxa"/>
          </w:tcPr>
          <w:p w14:paraId="098862AC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</w:p>
          <w:p w14:paraId="503E0F77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>Methodology</w:t>
            </w:r>
          </w:p>
          <w:p w14:paraId="77E41DCC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u w:val="single"/>
                <w:lang w:val="en-US" w:eastAsia="en-GB"/>
              </w:rPr>
            </w:pPr>
          </w:p>
        </w:tc>
        <w:tc>
          <w:tcPr>
            <w:tcW w:w="5222" w:type="dxa"/>
          </w:tcPr>
          <w:p w14:paraId="05580596" w14:textId="77777777" w:rsidR="003176B7" w:rsidRPr="003176B7" w:rsidRDefault="003176B7" w:rsidP="003176B7">
            <w:pPr>
              <w:widowControl w:val="0"/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The method statement demonstrates a clear technical methodology in terms of sequencing to meet the project deliverables - </w:t>
            </w:r>
            <w:r w:rsidRPr="003176B7">
              <w:rPr>
                <w:rFonts w:ascii="Arial" w:eastAsia="Times New Roman" w:hAnsi="Arial" w:cs="Arial"/>
                <w:b/>
                <w:bCs/>
                <w:snapToGrid w:val="0"/>
                <w:lang w:val="en-US" w:eastAsia="en-GB"/>
              </w:rPr>
              <w:t>10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points.</w:t>
            </w:r>
          </w:p>
          <w:p w14:paraId="1CDB0351" w14:textId="77777777" w:rsidR="003176B7" w:rsidRPr="003176B7" w:rsidRDefault="003176B7" w:rsidP="003176B7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The key components relating to time, risks and cost management have been clearly addressed – </w:t>
            </w: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>10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points. </w:t>
            </w:r>
          </w:p>
          <w:p w14:paraId="191AFA44" w14:textId="77777777" w:rsidR="003176B7" w:rsidRPr="003176B7" w:rsidRDefault="003176B7" w:rsidP="003176B7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Supervision and quality control processes with regards to planning and control have been clearly addressed – </w:t>
            </w:r>
            <w:r w:rsidRPr="003176B7">
              <w:rPr>
                <w:rFonts w:ascii="Arial" w:eastAsia="Times New Roman" w:hAnsi="Arial" w:cs="Arial"/>
                <w:b/>
                <w:snapToGrid w:val="0"/>
                <w:lang w:val="en-US" w:eastAsia="en-GB"/>
              </w:rPr>
              <w:t>10</w:t>
            </w:r>
            <w:r w:rsidRPr="003176B7">
              <w:rPr>
                <w:rFonts w:ascii="Arial" w:eastAsia="Times New Roman" w:hAnsi="Arial" w:cs="Arial"/>
                <w:bCs/>
                <w:snapToGrid w:val="0"/>
                <w:lang w:val="en-US" w:eastAsia="en-GB"/>
              </w:rPr>
              <w:t xml:space="preserve"> points. </w:t>
            </w:r>
          </w:p>
        </w:tc>
        <w:tc>
          <w:tcPr>
            <w:tcW w:w="1255" w:type="dxa"/>
          </w:tcPr>
          <w:p w14:paraId="3AFFD340" w14:textId="77777777" w:rsidR="003176B7" w:rsidRPr="003176B7" w:rsidRDefault="003176B7" w:rsidP="003176B7">
            <w:pPr>
              <w:jc w:val="center"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  <w:t>30</w:t>
            </w:r>
          </w:p>
        </w:tc>
      </w:tr>
      <w:tr w:rsidR="003176B7" w:rsidRPr="003176B7" w14:paraId="0222CD4B" w14:textId="77777777" w:rsidTr="007A022B">
        <w:tc>
          <w:tcPr>
            <w:tcW w:w="8095" w:type="dxa"/>
            <w:gridSpan w:val="2"/>
          </w:tcPr>
          <w:p w14:paraId="67250A91" w14:textId="77777777" w:rsidR="003176B7" w:rsidRPr="003176B7" w:rsidRDefault="003176B7" w:rsidP="003176B7">
            <w:pPr>
              <w:rPr>
                <w:rFonts w:ascii="Arial" w:eastAsia="Times New Roman" w:hAnsi="Arial" w:cs="Arial"/>
                <w:b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/>
                <w:caps/>
                <w:snapToGrid w:val="0"/>
                <w:lang w:val="en-US" w:eastAsia="en-GB"/>
              </w:rPr>
              <w:t xml:space="preserve">TOTAL POINTS FOR FUnCTIONALITY </w:t>
            </w:r>
          </w:p>
          <w:p w14:paraId="1313492D" w14:textId="77777777" w:rsidR="003176B7" w:rsidRPr="003176B7" w:rsidRDefault="003176B7" w:rsidP="003176B7">
            <w:pPr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</w:p>
        </w:tc>
        <w:tc>
          <w:tcPr>
            <w:tcW w:w="1255" w:type="dxa"/>
          </w:tcPr>
          <w:p w14:paraId="65EAF76C" w14:textId="77777777" w:rsidR="003176B7" w:rsidRPr="003176B7" w:rsidRDefault="003176B7" w:rsidP="003176B7">
            <w:pPr>
              <w:jc w:val="center"/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</w:pPr>
            <w:r w:rsidRPr="003176B7">
              <w:rPr>
                <w:rFonts w:ascii="Arial" w:eastAsia="Times New Roman" w:hAnsi="Arial" w:cs="Arial"/>
                <w:bCs/>
                <w:caps/>
                <w:snapToGrid w:val="0"/>
                <w:lang w:val="en-US" w:eastAsia="en-GB"/>
              </w:rPr>
              <w:t>100</w:t>
            </w:r>
          </w:p>
        </w:tc>
      </w:tr>
    </w:tbl>
    <w:p w14:paraId="7CF6DEC4" w14:textId="77777777" w:rsidR="00E5477F" w:rsidRPr="0093705D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p w14:paraId="080F8467" w14:textId="18C88B7A" w:rsidR="00D70135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sz w:val="16"/>
          <w:szCs w:val="16"/>
          <w:lang w:eastAsia="en-ZA"/>
        </w:rPr>
      </w:pP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</w:t>
      </w:r>
      <w:r w:rsidRPr="0093705D">
        <w:rPr>
          <w:rFonts w:ascii="Arial" w:hAnsi="Arial" w:cs="Arial"/>
          <w:color w:val="070707"/>
          <w:spacing w:val="4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 that 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ores</w:t>
      </w:r>
      <w:r w:rsidRPr="0093705D">
        <w:rPr>
          <w:rFonts w:ascii="Arial" w:hAnsi="Arial" w:cs="Arial"/>
          <w:color w:val="070707"/>
          <w:spacing w:val="2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less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than</w:t>
      </w:r>
      <w:r w:rsidRPr="0093705D">
        <w:rPr>
          <w:rFonts w:ascii="Arial" w:hAnsi="Arial" w:cs="Arial"/>
          <w:color w:val="070707"/>
          <w:spacing w:val="2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171717"/>
          <w:sz w:val="16"/>
          <w:szCs w:val="16"/>
          <w:lang w:eastAsia="en-ZA"/>
        </w:rPr>
        <w:t>(</w:t>
      </w:r>
      <w:r w:rsidR="00F57507">
        <w:rPr>
          <w:rFonts w:ascii="Arial" w:hAnsi="Arial" w:cs="Arial"/>
          <w:b/>
          <w:color w:val="070707"/>
          <w:sz w:val="16"/>
          <w:szCs w:val="16"/>
          <w:lang w:eastAsia="en-ZA"/>
        </w:rPr>
        <w:t>8</w:t>
      </w:r>
      <w:r w:rsidR="00FB0D25">
        <w:rPr>
          <w:rFonts w:ascii="Arial" w:hAnsi="Arial" w:cs="Arial"/>
          <w:b/>
          <w:color w:val="070707"/>
          <w:sz w:val="16"/>
          <w:szCs w:val="16"/>
          <w:lang w:eastAsia="en-ZA"/>
        </w:rPr>
        <w:t>0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)</w:t>
      </w:r>
      <w:r w:rsidRPr="0093705D">
        <w:rPr>
          <w:rFonts w:ascii="Arial" w:hAnsi="Arial" w:cs="Arial"/>
          <w:b/>
          <w:color w:val="070707"/>
          <w:spacing w:val="-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b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b/>
          <w:color w:val="070707"/>
          <w:spacing w:val="39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100</w:t>
      </w:r>
      <w:r w:rsidRPr="0093705D">
        <w:rPr>
          <w:rFonts w:ascii="Arial" w:hAnsi="Arial" w:cs="Arial"/>
          <w:color w:val="070707"/>
          <w:spacing w:val="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po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Pr="0093705D">
        <w:rPr>
          <w:rFonts w:ascii="Arial" w:hAnsi="Arial" w:cs="Arial"/>
          <w:color w:val="171717"/>
          <w:spacing w:val="10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allocated </w:t>
      </w:r>
      <w:r w:rsidR="00105FA2" w:rsidRPr="0093705D">
        <w:rPr>
          <w:rFonts w:ascii="Arial" w:hAnsi="Arial" w:cs="Arial"/>
          <w:color w:val="070707"/>
          <w:spacing w:val="29"/>
          <w:sz w:val="16"/>
          <w:szCs w:val="16"/>
          <w:lang w:eastAsia="en-ZA"/>
        </w:rPr>
        <w:t>in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r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esp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ec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282828"/>
          <w:spacing w:val="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func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ona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l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ity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282828"/>
          <w:spacing w:val="-1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ll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be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regarded</w:t>
      </w:r>
      <w:r w:rsidRPr="0093705D">
        <w:rPr>
          <w:rFonts w:ascii="Arial" w:hAnsi="Arial" w:cs="Arial"/>
          <w:color w:val="070707"/>
          <w:spacing w:val="6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as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submitting</w:t>
      </w:r>
      <w:r w:rsidRPr="0093705D">
        <w:rPr>
          <w:rFonts w:ascii="Arial" w:hAnsi="Arial" w:cs="Arial"/>
          <w:color w:val="070707"/>
          <w:spacing w:val="64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 </w:t>
      </w:r>
      <w:r w:rsidR="00105FA2" w:rsidRPr="0093705D">
        <w:rPr>
          <w:rFonts w:ascii="Arial" w:hAnsi="Arial" w:cs="Arial"/>
          <w:color w:val="070707"/>
          <w:spacing w:val="21"/>
          <w:sz w:val="16"/>
          <w:szCs w:val="16"/>
          <w:lang w:eastAsia="en-ZA"/>
        </w:rPr>
        <w:t>non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-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>re</w:t>
      </w:r>
      <w:r w:rsidR="00105FA2"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ponsive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>bid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and </w:t>
      </w:r>
      <w:r w:rsidR="00105FA2" w:rsidRPr="0093705D">
        <w:rPr>
          <w:rFonts w:ascii="Arial" w:hAnsi="Arial" w:cs="Arial"/>
          <w:color w:val="070707"/>
          <w:spacing w:val="6"/>
          <w:sz w:val="16"/>
          <w:szCs w:val="16"/>
          <w:lang w:eastAsia="en-ZA"/>
        </w:rPr>
        <w:t>will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be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disqualified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therefore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not</w:t>
      </w:r>
      <w:r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be</w:t>
      </w:r>
      <w:r w:rsidRPr="0093705D">
        <w:rPr>
          <w:rFonts w:ascii="Arial" w:hAnsi="Arial" w:cs="Arial"/>
          <w:color w:val="070707"/>
          <w:spacing w:val="1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cons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dered for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last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phase</w:t>
      </w:r>
      <w:r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evaluat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,</w:t>
      </w:r>
      <w:r w:rsidRPr="0093705D">
        <w:rPr>
          <w:rFonts w:ascii="Arial" w:hAnsi="Arial" w:cs="Arial"/>
          <w:color w:val="282828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where</w:t>
      </w:r>
      <w:r w:rsidRPr="0093705D">
        <w:rPr>
          <w:rFonts w:ascii="Arial" w:hAnsi="Arial" w:cs="Arial"/>
          <w:color w:val="070707"/>
          <w:spacing w:val="9"/>
          <w:sz w:val="16"/>
          <w:szCs w:val="16"/>
          <w:lang w:eastAsia="en-ZA"/>
        </w:rPr>
        <w:t xml:space="preserve"> </w:t>
      </w:r>
    </w:p>
    <w:p w14:paraId="25CD0EB3" w14:textId="6F3CBC45" w:rsidR="00E5477F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n-ZA"/>
        </w:rPr>
      </w:pP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h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 xml:space="preserve">e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suc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essful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bidders</w:t>
      </w:r>
      <w:r w:rsidRPr="0093705D">
        <w:rPr>
          <w:rFonts w:ascii="Arial" w:hAnsi="Arial" w:cs="Arial"/>
          <w:color w:val="070707"/>
          <w:spacing w:val="-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be scored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on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price</w:t>
      </w:r>
      <w:r w:rsidRPr="0093705D">
        <w:rPr>
          <w:rFonts w:ascii="Arial" w:hAnsi="Arial" w:cs="Arial"/>
          <w:color w:val="171717"/>
          <w:spacing w:val="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BBB</w:t>
      </w:r>
      <w:r w:rsidRPr="0093705D">
        <w:rPr>
          <w:rFonts w:ascii="Arial" w:hAnsi="Arial" w:cs="Arial"/>
          <w:color w:val="070707"/>
          <w:spacing w:val="-1"/>
          <w:sz w:val="16"/>
          <w:szCs w:val="16"/>
          <w:lang w:eastAsia="en-ZA"/>
        </w:rPr>
        <w:t>E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</w:t>
      </w:r>
      <w:r w:rsidRPr="0093705D">
        <w:rPr>
          <w:rFonts w:ascii="Arial" w:hAnsi="Arial" w:cs="Arial"/>
          <w:color w:val="171717"/>
          <w:spacing w:val="-10"/>
          <w:sz w:val="16"/>
          <w:szCs w:val="16"/>
          <w:lang w:eastAsia="en-ZA"/>
        </w:rPr>
        <w:t xml:space="preserve"> status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.</w:t>
      </w:r>
    </w:p>
    <w:p w14:paraId="5B81BDD7" w14:textId="77777777" w:rsidR="00E5477F" w:rsidRPr="0093705D" w:rsidRDefault="00E5477F" w:rsidP="003D378A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1B5CD9AB" w14:textId="77777777" w:rsidR="00886632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Bids Documents Av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ailable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at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KwaZulu – Natal Sharks Board,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Umhlanga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="005C2F30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</w:t>
      </w:r>
      <w:r w:rsidR="00EF1F07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 </w:t>
      </w:r>
    </w:p>
    <w:p w14:paraId="54173290" w14:textId="77777777" w:rsidR="00063026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Submission of Bids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: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Sealed envelopes clearly marked with the relevant bid 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n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umber, </w:t>
      </w:r>
      <w:r w:rsidR="00637296" w:rsidRPr="0093705D">
        <w:rPr>
          <w:rFonts w:ascii="Arial" w:eastAsia="Calibri" w:hAnsi="Arial" w:cs="Arial"/>
          <w:b/>
          <w:sz w:val="16"/>
          <w:szCs w:val="16"/>
          <w:lang w:val="en-US"/>
        </w:rPr>
        <w:t>closing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date and time and Bidders name must be deposited into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the bid box at the Sharks Board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premises at the Ground Floo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r,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 Mhlanga, 4320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18FB960E" w14:textId="485D2123" w:rsidR="007C6EA3" w:rsidRPr="0093705D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NB: A</w:t>
      </w:r>
      <w:r w:rsidR="00C94B2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non – refundable deposit of R30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0.00 for the tender document is payable into KwaZulu – Natal Sharks Board bank account as mentioned below with reference “Tender”</w:t>
      </w:r>
      <w:r w:rsidR="009D5F86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.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tend</w:t>
      </w:r>
      <w:r w:rsidR="003909B1">
        <w:rPr>
          <w:rFonts w:ascii="Arial" w:eastAsia="Calibri" w:hAnsi="Arial" w:cs="Arial"/>
          <w:b/>
          <w:sz w:val="16"/>
          <w:szCs w:val="16"/>
          <w:lang w:val="en-US"/>
        </w:rPr>
        <w:t xml:space="preserve">er document will be available </w:t>
      </w:r>
      <w:r w:rsidR="003176B7">
        <w:rPr>
          <w:rFonts w:ascii="Arial" w:eastAsia="Calibri" w:hAnsi="Arial" w:cs="Arial"/>
          <w:b/>
          <w:sz w:val="16"/>
          <w:szCs w:val="16"/>
          <w:lang w:val="en-US"/>
        </w:rPr>
        <w:t>2</w:t>
      </w:r>
      <w:r w:rsidR="00020F27">
        <w:rPr>
          <w:rFonts w:ascii="Arial" w:eastAsia="Calibri" w:hAnsi="Arial" w:cs="Arial"/>
          <w:b/>
          <w:sz w:val="16"/>
          <w:szCs w:val="16"/>
          <w:lang w:val="en-US"/>
        </w:rPr>
        <w:t>7</w:t>
      </w:r>
      <w:r w:rsidR="00E25F08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</w:t>
      </w:r>
      <w:r w:rsidR="003176B7">
        <w:rPr>
          <w:rFonts w:ascii="Arial" w:eastAsia="Calibri" w:hAnsi="Arial" w:cs="Arial"/>
          <w:b/>
          <w:sz w:val="16"/>
          <w:szCs w:val="16"/>
          <w:lang w:val="en-US"/>
        </w:rPr>
        <w:t>October</w:t>
      </w:r>
      <w:r w:rsidR="0049389F">
        <w:rPr>
          <w:rFonts w:ascii="Arial" w:eastAsia="Calibri" w:hAnsi="Arial" w:cs="Arial"/>
          <w:b/>
          <w:sz w:val="16"/>
          <w:szCs w:val="16"/>
          <w:lang w:val="en-US"/>
        </w:rPr>
        <w:t xml:space="preserve"> 2022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and may be collected upon </w:t>
      </w:r>
      <w:r w:rsidR="009454CA" w:rsidRPr="0093705D">
        <w:rPr>
          <w:rFonts w:ascii="Arial" w:eastAsia="Calibri" w:hAnsi="Arial" w:cs="Arial"/>
          <w:b/>
          <w:sz w:val="16"/>
          <w:szCs w:val="16"/>
          <w:lang w:val="en-US"/>
        </w:rPr>
        <w:t>producing proof of payment (deposit slip: no cash will be accepted)</w:t>
      </w:r>
    </w:p>
    <w:p w14:paraId="06B86577" w14:textId="77777777" w:rsidR="009D5F86" w:rsidRPr="0093705D" w:rsidRDefault="009D5F86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Banking details are as follows: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Bank: ABSA, Account Number 1012341080,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Account Holder: KZN Sharks Board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Branch: La Lucia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Ridge</w:t>
      </w:r>
      <w:r w:rsidR="00E25F08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6B19398E" w14:textId="13F377DF" w:rsidR="00C94B22" w:rsidRDefault="00C94B22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An original valid Tax Clearance Certificate and valid B-BBEE Status Level Verification Certificate </w:t>
      </w:r>
      <w:r w:rsidR="00247C1F" w:rsidRPr="0093705D">
        <w:rPr>
          <w:rFonts w:ascii="Arial" w:eastAsia="Calibri" w:hAnsi="Arial" w:cs="Arial"/>
          <w:b/>
          <w:sz w:val="16"/>
          <w:szCs w:val="16"/>
          <w:lang w:val="en-US"/>
        </w:rPr>
        <w:t>must accompany the bid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46BBA935" w14:textId="195FC7BB" w:rsidR="00A21880" w:rsidRPr="0093705D" w:rsidRDefault="00A21880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/>
        </w:rPr>
        <w:t xml:space="preserve">Tender documents will not be </w:t>
      </w:r>
      <w:r w:rsidR="00C81D72">
        <w:rPr>
          <w:rFonts w:ascii="Arial" w:eastAsia="Calibri" w:hAnsi="Arial" w:cs="Arial"/>
          <w:b/>
          <w:sz w:val="16"/>
          <w:szCs w:val="16"/>
          <w:lang w:val="en-US"/>
        </w:rPr>
        <w:t>i</w:t>
      </w:r>
      <w:r>
        <w:rPr>
          <w:rFonts w:ascii="Arial" w:eastAsia="Calibri" w:hAnsi="Arial" w:cs="Arial"/>
          <w:b/>
          <w:sz w:val="16"/>
          <w:szCs w:val="16"/>
          <w:lang w:val="en-US"/>
        </w:rPr>
        <w:t>s</w:t>
      </w:r>
      <w:r w:rsidR="00C81D72">
        <w:rPr>
          <w:rFonts w:ascii="Arial" w:eastAsia="Calibri" w:hAnsi="Arial" w:cs="Arial"/>
          <w:b/>
          <w:sz w:val="16"/>
          <w:szCs w:val="16"/>
          <w:lang w:val="en-US"/>
        </w:rPr>
        <w:t>sued</w:t>
      </w:r>
      <w:r>
        <w:rPr>
          <w:rFonts w:ascii="Arial" w:eastAsia="Calibri" w:hAnsi="Arial" w:cs="Arial"/>
          <w:b/>
          <w:sz w:val="16"/>
          <w:szCs w:val="16"/>
          <w:lang w:val="en-US"/>
        </w:rPr>
        <w:t xml:space="preserve"> on the date of the briefing. </w:t>
      </w:r>
    </w:p>
    <w:p w14:paraId="285723BB" w14:textId="77777777" w:rsidR="00C94B22" w:rsidRPr="0093705D" w:rsidRDefault="00C94B22" w:rsidP="003D378A">
      <w:pPr>
        <w:jc w:val="both"/>
        <w:rPr>
          <w:rFonts w:ascii="Arial" w:hAnsi="Arial" w:cs="Arial"/>
          <w:sz w:val="16"/>
          <w:szCs w:val="16"/>
        </w:rPr>
      </w:pPr>
    </w:p>
    <w:p w14:paraId="32028FBB" w14:textId="77777777" w:rsidR="00C94B22" w:rsidRPr="0093705D" w:rsidRDefault="00C94B22">
      <w:pPr>
        <w:rPr>
          <w:rFonts w:ascii="Arial" w:hAnsi="Arial" w:cs="Arial"/>
          <w:sz w:val="16"/>
          <w:szCs w:val="16"/>
        </w:rPr>
      </w:pPr>
    </w:p>
    <w:sectPr w:rsidR="00C94B22" w:rsidRPr="0093705D" w:rsidSect="00794965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8FA0" w14:textId="77777777" w:rsidR="0059573B" w:rsidRDefault="0059573B" w:rsidP="00711471">
      <w:pPr>
        <w:spacing w:after="0" w:line="240" w:lineRule="auto"/>
      </w:pPr>
      <w:r>
        <w:separator/>
      </w:r>
    </w:p>
  </w:endnote>
  <w:endnote w:type="continuationSeparator" w:id="0">
    <w:p w14:paraId="0D6C184D" w14:textId="77777777" w:rsidR="0059573B" w:rsidRDefault="0059573B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EF9425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80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3F132A7B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F6D8" w14:textId="77777777" w:rsidR="0059573B" w:rsidRDefault="0059573B" w:rsidP="00711471">
      <w:pPr>
        <w:spacing w:after="0" w:line="240" w:lineRule="auto"/>
      </w:pPr>
      <w:r>
        <w:separator/>
      </w:r>
    </w:p>
  </w:footnote>
  <w:footnote w:type="continuationSeparator" w:id="0">
    <w:p w14:paraId="3F6BF170" w14:textId="77777777" w:rsidR="0059573B" w:rsidRDefault="0059573B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DC"/>
    <w:multiLevelType w:val="hybridMultilevel"/>
    <w:tmpl w:val="024C77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950"/>
    <w:multiLevelType w:val="hybridMultilevel"/>
    <w:tmpl w:val="B6E0536E"/>
    <w:lvl w:ilvl="0" w:tplc="283AA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02E"/>
    <w:multiLevelType w:val="hybridMultilevel"/>
    <w:tmpl w:val="78F619DA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1E72B6E"/>
    <w:multiLevelType w:val="hybridMultilevel"/>
    <w:tmpl w:val="D0A6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D0C"/>
    <w:multiLevelType w:val="hybridMultilevel"/>
    <w:tmpl w:val="30C69640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341509B"/>
    <w:multiLevelType w:val="hybridMultilevel"/>
    <w:tmpl w:val="34DE8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044F"/>
    <w:multiLevelType w:val="hybridMultilevel"/>
    <w:tmpl w:val="9A3EDF5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083C1D"/>
    <w:multiLevelType w:val="hybridMultilevel"/>
    <w:tmpl w:val="A9A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23A56"/>
    <w:multiLevelType w:val="hybridMultilevel"/>
    <w:tmpl w:val="8FE82472"/>
    <w:lvl w:ilvl="0" w:tplc="05E0B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CE64972"/>
    <w:multiLevelType w:val="hybridMultilevel"/>
    <w:tmpl w:val="BEBE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02033">
    <w:abstractNumId w:val="6"/>
  </w:num>
  <w:num w:numId="2" w16cid:durableId="1271471547">
    <w:abstractNumId w:val="8"/>
  </w:num>
  <w:num w:numId="3" w16cid:durableId="931402503">
    <w:abstractNumId w:val="4"/>
  </w:num>
  <w:num w:numId="4" w16cid:durableId="120803842">
    <w:abstractNumId w:val="2"/>
  </w:num>
  <w:num w:numId="5" w16cid:durableId="1285842455">
    <w:abstractNumId w:val="7"/>
  </w:num>
  <w:num w:numId="6" w16cid:durableId="456262611">
    <w:abstractNumId w:val="3"/>
  </w:num>
  <w:num w:numId="7" w16cid:durableId="431316580">
    <w:abstractNumId w:val="9"/>
  </w:num>
  <w:num w:numId="8" w16cid:durableId="1603149039">
    <w:abstractNumId w:val="0"/>
  </w:num>
  <w:num w:numId="9" w16cid:durableId="825900991">
    <w:abstractNumId w:val="5"/>
  </w:num>
  <w:num w:numId="10" w16cid:durableId="5474513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19FC"/>
    <w:rsid w:val="00020F27"/>
    <w:rsid w:val="0002234A"/>
    <w:rsid w:val="00037E7F"/>
    <w:rsid w:val="000405E4"/>
    <w:rsid w:val="000472B5"/>
    <w:rsid w:val="00055A02"/>
    <w:rsid w:val="00060F84"/>
    <w:rsid w:val="00063026"/>
    <w:rsid w:val="0006427C"/>
    <w:rsid w:val="00065B59"/>
    <w:rsid w:val="000666FE"/>
    <w:rsid w:val="00084018"/>
    <w:rsid w:val="00095515"/>
    <w:rsid w:val="000C0B69"/>
    <w:rsid w:val="000C3EF7"/>
    <w:rsid w:val="000C4421"/>
    <w:rsid w:val="000C5637"/>
    <w:rsid w:val="000C5944"/>
    <w:rsid w:val="000C7ECC"/>
    <w:rsid w:val="000E0A27"/>
    <w:rsid w:val="000F3CEE"/>
    <w:rsid w:val="0010333A"/>
    <w:rsid w:val="00105743"/>
    <w:rsid w:val="00105FA2"/>
    <w:rsid w:val="00105FCA"/>
    <w:rsid w:val="00122481"/>
    <w:rsid w:val="001261CE"/>
    <w:rsid w:val="0013252F"/>
    <w:rsid w:val="00133947"/>
    <w:rsid w:val="00133F31"/>
    <w:rsid w:val="00135F18"/>
    <w:rsid w:val="00143DC3"/>
    <w:rsid w:val="001456C2"/>
    <w:rsid w:val="001633B1"/>
    <w:rsid w:val="001645BB"/>
    <w:rsid w:val="00170007"/>
    <w:rsid w:val="001A2DB2"/>
    <w:rsid w:val="001B57C0"/>
    <w:rsid w:val="001C7357"/>
    <w:rsid w:val="001D6643"/>
    <w:rsid w:val="001E614E"/>
    <w:rsid w:val="00205EFB"/>
    <w:rsid w:val="002161F4"/>
    <w:rsid w:val="00231A2B"/>
    <w:rsid w:val="002419B8"/>
    <w:rsid w:val="00243179"/>
    <w:rsid w:val="00243D71"/>
    <w:rsid w:val="00247C1F"/>
    <w:rsid w:val="00262BB8"/>
    <w:rsid w:val="002637AA"/>
    <w:rsid w:val="00284919"/>
    <w:rsid w:val="002A004E"/>
    <w:rsid w:val="002A1DB5"/>
    <w:rsid w:val="002A584E"/>
    <w:rsid w:val="002A761A"/>
    <w:rsid w:val="002B4957"/>
    <w:rsid w:val="002B515C"/>
    <w:rsid w:val="002B5F11"/>
    <w:rsid w:val="002E0907"/>
    <w:rsid w:val="002E3336"/>
    <w:rsid w:val="002E37AB"/>
    <w:rsid w:val="002E5B54"/>
    <w:rsid w:val="002F40E4"/>
    <w:rsid w:val="002F48F8"/>
    <w:rsid w:val="003176B7"/>
    <w:rsid w:val="00320A88"/>
    <w:rsid w:val="003300A6"/>
    <w:rsid w:val="00334CCA"/>
    <w:rsid w:val="003418B4"/>
    <w:rsid w:val="00380CE6"/>
    <w:rsid w:val="003823C3"/>
    <w:rsid w:val="00382EED"/>
    <w:rsid w:val="00384E91"/>
    <w:rsid w:val="003909B1"/>
    <w:rsid w:val="003A1EAE"/>
    <w:rsid w:val="003A45B0"/>
    <w:rsid w:val="003C56D4"/>
    <w:rsid w:val="003D378A"/>
    <w:rsid w:val="003D61A1"/>
    <w:rsid w:val="00400332"/>
    <w:rsid w:val="004050A4"/>
    <w:rsid w:val="00405E0A"/>
    <w:rsid w:val="00425F55"/>
    <w:rsid w:val="00431709"/>
    <w:rsid w:val="00456972"/>
    <w:rsid w:val="00471D0A"/>
    <w:rsid w:val="004763B5"/>
    <w:rsid w:val="00476BA0"/>
    <w:rsid w:val="0048321B"/>
    <w:rsid w:val="00492D60"/>
    <w:rsid w:val="0049389F"/>
    <w:rsid w:val="004B6271"/>
    <w:rsid w:val="004C5241"/>
    <w:rsid w:val="004E649E"/>
    <w:rsid w:val="004F09F5"/>
    <w:rsid w:val="004F259B"/>
    <w:rsid w:val="005104C6"/>
    <w:rsid w:val="00521339"/>
    <w:rsid w:val="005315D0"/>
    <w:rsid w:val="00534CED"/>
    <w:rsid w:val="00562948"/>
    <w:rsid w:val="00571282"/>
    <w:rsid w:val="0057304D"/>
    <w:rsid w:val="0059573B"/>
    <w:rsid w:val="005A2B7E"/>
    <w:rsid w:val="005B3813"/>
    <w:rsid w:val="005B4B0F"/>
    <w:rsid w:val="005C2F30"/>
    <w:rsid w:val="005C4AB1"/>
    <w:rsid w:val="005C609C"/>
    <w:rsid w:val="005C7990"/>
    <w:rsid w:val="005D46F8"/>
    <w:rsid w:val="005E564C"/>
    <w:rsid w:val="005E75A8"/>
    <w:rsid w:val="005E7EB9"/>
    <w:rsid w:val="005F2466"/>
    <w:rsid w:val="005F506C"/>
    <w:rsid w:val="0060741F"/>
    <w:rsid w:val="0061164A"/>
    <w:rsid w:val="00614D03"/>
    <w:rsid w:val="00615854"/>
    <w:rsid w:val="006212BA"/>
    <w:rsid w:val="0062358A"/>
    <w:rsid w:val="00626170"/>
    <w:rsid w:val="00637296"/>
    <w:rsid w:val="00644A53"/>
    <w:rsid w:val="0064687F"/>
    <w:rsid w:val="0066023F"/>
    <w:rsid w:val="00660FF2"/>
    <w:rsid w:val="00667972"/>
    <w:rsid w:val="006828D4"/>
    <w:rsid w:val="00692E5E"/>
    <w:rsid w:val="006B5E1D"/>
    <w:rsid w:val="006C4A67"/>
    <w:rsid w:val="006D5B6C"/>
    <w:rsid w:val="006F24A2"/>
    <w:rsid w:val="006F4D64"/>
    <w:rsid w:val="006F674B"/>
    <w:rsid w:val="00704A5B"/>
    <w:rsid w:val="00711471"/>
    <w:rsid w:val="0072250F"/>
    <w:rsid w:val="00724195"/>
    <w:rsid w:val="00725B62"/>
    <w:rsid w:val="00730F60"/>
    <w:rsid w:val="00731F2A"/>
    <w:rsid w:val="00756FCB"/>
    <w:rsid w:val="0077118D"/>
    <w:rsid w:val="00773D84"/>
    <w:rsid w:val="00794965"/>
    <w:rsid w:val="007B08AE"/>
    <w:rsid w:val="007B65AB"/>
    <w:rsid w:val="007C29AE"/>
    <w:rsid w:val="007C6EA3"/>
    <w:rsid w:val="007C7BC1"/>
    <w:rsid w:val="007D22AF"/>
    <w:rsid w:val="007D3FA7"/>
    <w:rsid w:val="007D4A14"/>
    <w:rsid w:val="007E7F6D"/>
    <w:rsid w:val="007F0EE5"/>
    <w:rsid w:val="007F5D3E"/>
    <w:rsid w:val="00804BFD"/>
    <w:rsid w:val="00825B9B"/>
    <w:rsid w:val="0084051F"/>
    <w:rsid w:val="00840780"/>
    <w:rsid w:val="0084367A"/>
    <w:rsid w:val="008457E2"/>
    <w:rsid w:val="0084630F"/>
    <w:rsid w:val="00885F9C"/>
    <w:rsid w:val="00886632"/>
    <w:rsid w:val="00890AF1"/>
    <w:rsid w:val="008948A3"/>
    <w:rsid w:val="008A39DD"/>
    <w:rsid w:val="008C7598"/>
    <w:rsid w:val="008D1F11"/>
    <w:rsid w:val="008D616A"/>
    <w:rsid w:val="008F1680"/>
    <w:rsid w:val="008F30E6"/>
    <w:rsid w:val="00906193"/>
    <w:rsid w:val="0091263F"/>
    <w:rsid w:val="00914E57"/>
    <w:rsid w:val="009173CC"/>
    <w:rsid w:val="00922786"/>
    <w:rsid w:val="009257F7"/>
    <w:rsid w:val="00926D94"/>
    <w:rsid w:val="00933C43"/>
    <w:rsid w:val="009368B6"/>
    <w:rsid w:val="0093705D"/>
    <w:rsid w:val="00941318"/>
    <w:rsid w:val="00941A00"/>
    <w:rsid w:val="009454CA"/>
    <w:rsid w:val="0098346E"/>
    <w:rsid w:val="00994467"/>
    <w:rsid w:val="009C14BF"/>
    <w:rsid w:val="009D4895"/>
    <w:rsid w:val="009D5F86"/>
    <w:rsid w:val="009D69DF"/>
    <w:rsid w:val="009E64CE"/>
    <w:rsid w:val="009F54A1"/>
    <w:rsid w:val="00A12BB7"/>
    <w:rsid w:val="00A214AD"/>
    <w:rsid w:val="00A21880"/>
    <w:rsid w:val="00A24F43"/>
    <w:rsid w:val="00A36839"/>
    <w:rsid w:val="00A676F0"/>
    <w:rsid w:val="00A71D76"/>
    <w:rsid w:val="00A72DC9"/>
    <w:rsid w:val="00A9230A"/>
    <w:rsid w:val="00A943DB"/>
    <w:rsid w:val="00AA063A"/>
    <w:rsid w:val="00AA57CE"/>
    <w:rsid w:val="00AB2445"/>
    <w:rsid w:val="00AB36D7"/>
    <w:rsid w:val="00AB4357"/>
    <w:rsid w:val="00AB538E"/>
    <w:rsid w:val="00AC4957"/>
    <w:rsid w:val="00AC58E6"/>
    <w:rsid w:val="00AE1D3A"/>
    <w:rsid w:val="00AE235A"/>
    <w:rsid w:val="00AE7E93"/>
    <w:rsid w:val="00B03F3A"/>
    <w:rsid w:val="00B05063"/>
    <w:rsid w:val="00B13FA0"/>
    <w:rsid w:val="00B22838"/>
    <w:rsid w:val="00B248E8"/>
    <w:rsid w:val="00B30534"/>
    <w:rsid w:val="00B3267C"/>
    <w:rsid w:val="00B372AB"/>
    <w:rsid w:val="00B400EE"/>
    <w:rsid w:val="00B533C7"/>
    <w:rsid w:val="00B63117"/>
    <w:rsid w:val="00B7399D"/>
    <w:rsid w:val="00BA232A"/>
    <w:rsid w:val="00BB05C4"/>
    <w:rsid w:val="00BC5943"/>
    <w:rsid w:val="00BD5481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3BAA"/>
    <w:rsid w:val="00C45418"/>
    <w:rsid w:val="00C5434F"/>
    <w:rsid w:val="00C56F6D"/>
    <w:rsid w:val="00C57CDA"/>
    <w:rsid w:val="00C81D72"/>
    <w:rsid w:val="00C82FB8"/>
    <w:rsid w:val="00C844C2"/>
    <w:rsid w:val="00C94B22"/>
    <w:rsid w:val="00CB61FC"/>
    <w:rsid w:val="00CC0A06"/>
    <w:rsid w:val="00CC225D"/>
    <w:rsid w:val="00CC2FF9"/>
    <w:rsid w:val="00CC55BC"/>
    <w:rsid w:val="00CD29C2"/>
    <w:rsid w:val="00CD715D"/>
    <w:rsid w:val="00CE793D"/>
    <w:rsid w:val="00CF096E"/>
    <w:rsid w:val="00CF4E7E"/>
    <w:rsid w:val="00D01C66"/>
    <w:rsid w:val="00D1223F"/>
    <w:rsid w:val="00D37273"/>
    <w:rsid w:val="00D422DD"/>
    <w:rsid w:val="00D50D86"/>
    <w:rsid w:val="00D5448F"/>
    <w:rsid w:val="00D57F38"/>
    <w:rsid w:val="00D61B76"/>
    <w:rsid w:val="00D70135"/>
    <w:rsid w:val="00D70511"/>
    <w:rsid w:val="00D75F7C"/>
    <w:rsid w:val="00D85E91"/>
    <w:rsid w:val="00D93C23"/>
    <w:rsid w:val="00DA21F0"/>
    <w:rsid w:val="00DB073B"/>
    <w:rsid w:val="00DB0AE4"/>
    <w:rsid w:val="00DB39D8"/>
    <w:rsid w:val="00DE4180"/>
    <w:rsid w:val="00DE76CC"/>
    <w:rsid w:val="00E00595"/>
    <w:rsid w:val="00E06F8E"/>
    <w:rsid w:val="00E25F08"/>
    <w:rsid w:val="00E269B3"/>
    <w:rsid w:val="00E5477F"/>
    <w:rsid w:val="00E60D5D"/>
    <w:rsid w:val="00E61CDE"/>
    <w:rsid w:val="00E62E58"/>
    <w:rsid w:val="00E665AD"/>
    <w:rsid w:val="00E736F5"/>
    <w:rsid w:val="00E74F6C"/>
    <w:rsid w:val="00E829BF"/>
    <w:rsid w:val="00E940E8"/>
    <w:rsid w:val="00EB34F0"/>
    <w:rsid w:val="00EB6FD6"/>
    <w:rsid w:val="00ED4EB7"/>
    <w:rsid w:val="00EF1F07"/>
    <w:rsid w:val="00EF359C"/>
    <w:rsid w:val="00EF7588"/>
    <w:rsid w:val="00F207D0"/>
    <w:rsid w:val="00F3508E"/>
    <w:rsid w:val="00F40D72"/>
    <w:rsid w:val="00F422C8"/>
    <w:rsid w:val="00F55C32"/>
    <w:rsid w:val="00F57507"/>
    <w:rsid w:val="00F67372"/>
    <w:rsid w:val="00F75FC4"/>
    <w:rsid w:val="00F77C1B"/>
    <w:rsid w:val="00F85A19"/>
    <w:rsid w:val="00F85CEA"/>
    <w:rsid w:val="00FB0D25"/>
    <w:rsid w:val="00FB24CF"/>
    <w:rsid w:val="00FB5B9A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7062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aliases w:val="PRI Bullets,lp1,Bulletted,Table of contents numbered,Figure_name,Standard Paragraph"/>
    <w:basedOn w:val="Normal"/>
    <w:link w:val="ListParagraphChar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F4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1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RI Bullets Char,lp1 Char,Bulletted Char,Table of contents numbered Char,Figure_name Char,Standard Paragraph Char"/>
    <w:link w:val="ListParagraph"/>
    <w:uiPriority w:val="34"/>
    <w:locked/>
    <w:rsid w:val="008F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tando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zelemu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F749-6EBA-4AC6-84E5-089D1F22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nonkululeko khumalo</cp:lastModifiedBy>
  <cp:revision>2</cp:revision>
  <cp:lastPrinted>2015-10-23T08:25:00Z</cp:lastPrinted>
  <dcterms:created xsi:type="dcterms:W3CDTF">2022-10-24T07:03:00Z</dcterms:created>
  <dcterms:modified xsi:type="dcterms:W3CDTF">2022-10-24T07:03:00Z</dcterms:modified>
</cp:coreProperties>
</file>