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tblLook w:val="04A0" w:firstRow="1" w:lastRow="0" w:firstColumn="1" w:lastColumn="0" w:noHBand="0" w:noVBand="1"/>
      </w:tblPr>
      <w:tblGrid>
        <w:gridCol w:w="2122"/>
        <w:gridCol w:w="7729"/>
      </w:tblGrid>
      <w:tr w:rsidR="00937CBE" w:rsidRPr="00A919B1" w14:paraId="1B6204BD" w14:textId="77777777" w:rsidTr="00825E5F">
        <w:trPr>
          <w:trHeight w:val="691"/>
        </w:trPr>
        <w:tc>
          <w:tcPr>
            <w:tcW w:w="2122" w:type="dxa"/>
          </w:tcPr>
          <w:p w14:paraId="3193A553" w14:textId="77777777" w:rsidR="00937CBE" w:rsidRPr="00EB6A30" w:rsidRDefault="00937CBE" w:rsidP="00937CBE">
            <w:pPr>
              <w:spacing w:before="60" w:after="60" w:line="276" w:lineRule="auto"/>
              <w:rPr>
                <w:rFonts w:ascii="Arial" w:hAnsi="Arial" w:cs="Arial"/>
                <w:b/>
                <w:sz w:val="22"/>
              </w:rPr>
            </w:pPr>
            <w:r w:rsidRPr="00EB6A30">
              <w:rPr>
                <w:rFonts w:ascii="Arial" w:hAnsi="Arial" w:cs="Arial"/>
                <w:b/>
                <w:sz w:val="22"/>
              </w:rPr>
              <w:t>Description/ Scope of Work</w:t>
            </w:r>
          </w:p>
        </w:tc>
        <w:tc>
          <w:tcPr>
            <w:tcW w:w="7729" w:type="dxa"/>
          </w:tcPr>
          <w:p w14:paraId="6872E903" w14:textId="118AAFF4" w:rsidR="00937CBE" w:rsidRPr="005E1B6E" w:rsidRDefault="00937CBE" w:rsidP="00937CBE">
            <w:pPr>
              <w:jc w:val="both"/>
              <w:rPr>
                <w:rFonts w:ascii="Arial" w:hAnsi="Arial" w:cs="Arial"/>
                <w:sz w:val="20"/>
                <w:lang w:val="en-ZA"/>
              </w:rPr>
            </w:pPr>
            <w:r w:rsidRPr="006A1F0A">
              <w:rPr>
                <w:rFonts w:ascii="Arial" w:hAnsi="Arial" w:cs="Arial"/>
                <w:sz w:val="20"/>
              </w:rPr>
              <w:t>Service Suite Maintenance (Mobility Services)</w:t>
            </w:r>
          </w:p>
        </w:tc>
      </w:tr>
      <w:tr w:rsidR="00937CBE" w:rsidRPr="00A919B1" w14:paraId="2F158825" w14:textId="77777777" w:rsidTr="00825E5F">
        <w:trPr>
          <w:trHeight w:val="489"/>
        </w:trPr>
        <w:tc>
          <w:tcPr>
            <w:tcW w:w="2122" w:type="dxa"/>
          </w:tcPr>
          <w:p w14:paraId="1A5C88AD" w14:textId="77777777" w:rsidR="00937CBE" w:rsidRPr="00EB6A30" w:rsidRDefault="00937CBE" w:rsidP="00937CBE">
            <w:pPr>
              <w:spacing w:before="60" w:after="60" w:line="276" w:lineRule="auto"/>
              <w:rPr>
                <w:rFonts w:ascii="Arial" w:hAnsi="Arial" w:cs="Arial"/>
                <w:b/>
                <w:sz w:val="22"/>
              </w:rPr>
            </w:pPr>
            <w:r w:rsidRPr="00EB6A30">
              <w:rPr>
                <w:rFonts w:ascii="Arial" w:hAnsi="Arial" w:cs="Arial"/>
                <w:b/>
                <w:sz w:val="22"/>
              </w:rPr>
              <w:t>Duration of the Project</w:t>
            </w:r>
          </w:p>
        </w:tc>
        <w:tc>
          <w:tcPr>
            <w:tcW w:w="7729" w:type="dxa"/>
          </w:tcPr>
          <w:p w14:paraId="6AF4094C" w14:textId="06284B72" w:rsidR="00937CBE" w:rsidRPr="00F0521B" w:rsidRDefault="00937CBE" w:rsidP="00937CBE">
            <w:pPr>
              <w:spacing w:before="60" w:after="60" w:line="276" w:lineRule="auto"/>
              <w:jc w:val="both"/>
              <w:rPr>
                <w:rFonts w:ascii="Arial" w:hAnsi="Arial" w:cs="Arial"/>
                <w:sz w:val="20"/>
              </w:rPr>
            </w:pPr>
            <w:r>
              <w:rPr>
                <w:rFonts w:ascii="Arial" w:hAnsi="Arial" w:cs="Arial"/>
                <w:sz w:val="20"/>
              </w:rPr>
              <w:t>2</w:t>
            </w:r>
            <w:r w:rsidRPr="00607031">
              <w:rPr>
                <w:rFonts w:ascii="Arial" w:hAnsi="Arial" w:cs="Arial"/>
                <w:sz w:val="20"/>
              </w:rPr>
              <w:t xml:space="preserve"> years</w:t>
            </w:r>
          </w:p>
        </w:tc>
      </w:tr>
    </w:tbl>
    <w:p w14:paraId="6814BDB1" w14:textId="77777777" w:rsidR="00EB6A30" w:rsidRPr="005B5A73" w:rsidRDefault="00EB6A30" w:rsidP="00EB6A30">
      <w:pPr>
        <w:spacing w:line="276" w:lineRule="auto"/>
        <w:rPr>
          <w:rFonts w:ascii="Arial" w:hAnsi="Arial" w:cs="Arial"/>
          <w:sz w:val="16"/>
          <w:szCs w:val="16"/>
        </w:rPr>
      </w:pPr>
    </w:p>
    <w:p w14:paraId="04A7F72C" w14:textId="77777777" w:rsidR="00DF7DD9" w:rsidRPr="00461D16" w:rsidRDefault="00DF7DD9" w:rsidP="0046680A">
      <w:pPr>
        <w:spacing w:before="60" w:after="60"/>
        <w:rPr>
          <w:rFonts w:ascii="Arial" w:hAnsi="Arial" w:cs="Arial"/>
          <w:b/>
          <w:sz w:val="28"/>
          <w:szCs w:val="28"/>
        </w:rPr>
      </w:pPr>
      <w:r w:rsidRPr="0046680A">
        <w:rPr>
          <w:rFonts w:ascii="Arial" w:hAnsi="Arial" w:cs="Arial"/>
          <w:b/>
          <w:sz w:val="28"/>
          <w:szCs w:val="28"/>
        </w:rPr>
        <w:t>Section 1:</w:t>
      </w:r>
      <w:r w:rsidRPr="00461D16">
        <w:rPr>
          <w:rFonts w:ascii="Arial" w:hAnsi="Arial" w:cs="Arial"/>
          <w:b/>
          <w:sz w:val="28"/>
          <w:szCs w:val="28"/>
        </w:rPr>
        <w:t xml:space="preserve"> Pre-qualification Criteria for set aside Procurement.</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02ED1AC"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77777777" w:rsidR="00DF7DD9" w:rsidRPr="00845A4B" w:rsidRDefault="00DF7DD9" w:rsidP="00461D16">
                  <w:pPr>
                    <w:spacing w:before="60" w:after="60"/>
                    <w:jc w:val="center"/>
                    <w:rPr>
                      <w:rFonts w:ascii="Arial" w:hAnsi="Arial" w:cs="Arial"/>
                      <w:b/>
                      <w:sz w:val="20"/>
                    </w:rPr>
                  </w:pPr>
                  <w:r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7F8C1E56"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27150138"/>
                <w14:checkbox>
                  <w14:checked w14:val="0"/>
                  <w14:checkedState w14:val="0052" w14:font="Wingdings 2"/>
                  <w14:uncheckedState w14:val="2610" w14:font="MS Gothic"/>
                </w14:checkbox>
              </w:sdtPr>
              <w:sdtEndPr/>
              <w:sdtContent>
                <w:r w:rsidR="00DF7DD9">
                  <w:rPr>
                    <w:rFonts w:ascii="MS Gothic" w:eastAsia="MS Gothic" w:hAnsi="MS Gothic" w:cs="Arial" w:hint="eastAsia"/>
                    <w:sz w:val="20"/>
                  </w:rPr>
                  <w:t>☐</w:t>
                </w:r>
              </w:sdtContent>
            </w:sdt>
            <w:r w:rsidR="00DF7DD9" w:rsidRPr="00461D16">
              <w:rPr>
                <w:rFonts w:ascii="Arial" w:hAnsi="Arial" w:cs="Arial"/>
                <w:sz w:val="20"/>
              </w:rPr>
              <w:t xml:space="preserve"> </w:t>
            </w:r>
          </w:p>
          <w:p w14:paraId="3D74C147"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14362970"/>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w:t>
            </w:r>
          </w:p>
          <w:p w14:paraId="43279A55"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000650084"/>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p>
          <w:p w14:paraId="61588B0A"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2407AC">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End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77777777" w:rsidR="00DF7DD9" w:rsidRPr="00CC1324" w:rsidRDefault="00DF7DD9" w:rsidP="00CC1324">
      <w:pPr>
        <w:spacing w:after="200" w:line="360" w:lineRule="auto"/>
        <w:contextualSpacing/>
        <w:jc w:val="both"/>
        <w:rPr>
          <w:rFonts w:ascii="Arial" w:hAnsi="Arial" w:cs="Arial"/>
          <w:bCs/>
          <w:sz w:val="20"/>
          <w:lang w:val="en-ZA"/>
        </w:rPr>
      </w:pPr>
      <w:r w:rsidRPr="00CC1324">
        <w:rPr>
          <w:rFonts w:ascii="Arial" w:hAnsi="Arial" w:cs="Arial"/>
          <w:bCs/>
          <w:sz w:val="20"/>
          <w:lang w:val="en-ZA"/>
        </w:rPr>
        <w:t>A maximum of 10/20 points may be awarded to a tenderer for the specific goal specified for the tender. The points scored for the specific goal must be added to the points scored for price and the total must be rounded off to the nearest two decimal places. Subject to section 2(1)(f) of the Preferential Procurement Policy Framework Act, the contract must be awarded to the tenderer 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4</w:t>
            </w:r>
          </w:p>
        </w:tc>
        <w:tc>
          <w:tcPr>
            <w:tcW w:w="2700" w:type="dxa"/>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700" w:type="dxa"/>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9D33B3" w:rsidRDefault="00DF7DD9" w:rsidP="00DF7DD9">
      <w:pPr>
        <w:autoSpaceDE w:val="0"/>
        <w:autoSpaceDN w:val="0"/>
        <w:adjustRightInd w:val="0"/>
        <w:rPr>
          <w:rFonts w:ascii="Arial" w:hAnsi="Arial" w:cs="Arial"/>
          <w:bCs/>
          <w:sz w:val="22"/>
          <w:szCs w:val="22"/>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3929EECF" w14:textId="277B0BC3" w:rsidR="00DF7DD9" w:rsidRPr="00937CBE" w:rsidRDefault="00DF7DD9" w:rsidP="00DF7DD9">
      <w:pPr>
        <w:autoSpaceDE w:val="0"/>
        <w:autoSpaceDN w:val="0"/>
        <w:adjustRightInd w:val="0"/>
        <w:spacing w:line="360" w:lineRule="auto"/>
        <w:jc w:val="both"/>
        <w:rPr>
          <w:rFonts w:ascii="Arial" w:hAnsi="Arial" w:cs="Arial"/>
          <w:sz w:val="20"/>
        </w:rPr>
      </w:pPr>
      <w:r w:rsidRPr="00937CBE">
        <w:rPr>
          <w:rFonts w:ascii="Arial" w:hAnsi="Arial" w:cs="Arial"/>
          <w:sz w:val="20"/>
        </w:rPr>
        <w:t>The inclusion of objective criteria in an enquiry is not mandatory</w:t>
      </w:r>
      <w:r w:rsidR="00AA24CA" w:rsidRPr="00937CBE">
        <w:rPr>
          <w:rFonts w:ascii="Arial" w:hAnsi="Arial" w:cs="Arial"/>
          <w:sz w:val="20"/>
        </w:rPr>
        <w:t xml:space="preserve"> at tender closing</w:t>
      </w:r>
      <w:r w:rsidRPr="00937CBE">
        <w:rPr>
          <w:rFonts w:ascii="Arial" w:hAnsi="Arial" w:cs="Arial"/>
          <w:sz w:val="20"/>
        </w:rPr>
        <w:t xml:space="preserve">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18BB5E68" w14:textId="77777777" w:rsidR="00DF7DD9" w:rsidRPr="006E2D39" w:rsidRDefault="00DF7DD9" w:rsidP="00DF7DD9">
      <w:pPr>
        <w:autoSpaceDE w:val="0"/>
        <w:autoSpaceDN w:val="0"/>
        <w:adjustRightInd w:val="0"/>
        <w:spacing w:line="360" w:lineRule="auto"/>
        <w:jc w:val="both"/>
        <w:rPr>
          <w:rFonts w:ascii="Arial" w:hAnsi="Arial" w:cs="Arial"/>
          <w:sz w:val="16"/>
          <w:szCs w:val="16"/>
        </w:rPr>
      </w:pPr>
    </w:p>
    <w:p w14:paraId="67218223" w14:textId="77777777" w:rsidR="00DF7DD9" w:rsidRPr="00996EEC" w:rsidRDefault="00DF7DD9" w:rsidP="00DF7DD9">
      <w:pPr>
        <w:spacing w:before="120" w:after="120" w:line="276" w:lineRule="auto"/>
        <w:rPr>
          <w:rFonts w:ascii="Arial" w:hAnsi="Arial" w:cs="Arial"/>
          <w:b/>
          <w:szCs w:val="24"/>
        </w:rPr>
      </w:pPr>
      <w:r>
        <w:rPr>
          <w:rFonts w:ascii="Arial" w:hAnsi="Arial" w:cs="Arial"/>
          <w:b/>
          <w:szCs w:val="24"/>
        </w:rPr>
        <w:t>3</w:t>
      </w:r>
      <w:r w:rsidRPr="00996EEC">
        <w:rPr>
          <w:rFonts w:ascii="Arial" w:hAnsi="Arial" w:cs="Arial"/>
          <w:b/>
          <w:szCs w:val="24"/>
        </w:rPr>
        <w:t>.1 Designated Sectors (Not Applicable)</w:t>
      </w:r>
    </w:p>
    <w:p w14:paraId="57C6DE24" w14:textId="77777777" w:rsidR="00DF7DD9" w:rsidRPr="00996EEC" w:rsidRDefault="00DF7DD9" w:rsidP="00DF7DD9">
      <w:pPr>
        <w:spacing w:before="120" w:after="120" w:line="276" w:lineRule="auto"/>
        <w:rPr>
          <w:rFonts w:ascii="Arial" w:hAnsi="Arial" w:cs="Arial"/>
          <w:b/>
          <w:szCs w:val="24"/>
        </w:rPr>
      </w:pPr>
      <w:r w:rsidRPr="00CC1324">
        <w:rPr>
          <w:rFonts w:ascii="Arial" w:hAnsi="Arial" w:cs="Arial"/>
          <w:b/>
          <w:szCs w:val="24"/>
        </w:rPr>
        <w:t xml:space="preserve">3.2 CIDB </w:t>
      </w:r>
      <w:r w:rsidRPr="00996EEC">
        <w:rPr>
          <w:rFonts w:ascii="Arial" w:hAnsi="Arial" w:cs="Arial"/>
          <w:b/>
          <w:szCs w:val="24"/>
        </w:rPr>
        <w:t>(Not Applicable)</w:t>
      </w:r>
    </w:p>
    <w:p w14:paraId="05F7B292" w14:textId="5964012E" w:rsidR="00DF7DD9" w:rsidRPr="00CC1324" w:rsidRDefault="00DF7DD9" w:rsidP="00CC1324">
      <w:pPr>
        <w:spacing w:before="120" w:after="120" w:line="276" w:lineRule="auto"/>
        <w:rPr>
          <w:rFonts w:ascii="Arial" w:hAnsi="Arial" w:cs="Arial"/>
          <w:b/>
          <w:szCs w:val="24"/>
        </w:rPr>
      </w:pPr>
      <w:r w:rsidRPr="00CC1324">
        <w:rPr>
          <w:rFonts w:ascii="Arial" w:hAnsi="Arial" w:cs="Arial"/>
          <w:b/>
          <w:szCs w:val="24"/>
        </w:rPr>
        <w:t>3.3 National Industrial Participation Programme (NIPP)</w:t>
      </w:r>
      <w:r w:rsidR="00CF0607" w:rsidRPr="00CC1324">
        <w:rPr>
          <w:rFonts w:ascii="Arial" w:hAnsi="Arial" w:cs="Arial"/>
          <w:b/>
          <w:szCs w:val="24"/>
        </w:rPr>
        <w:t xml:space="preserve"> </w:t>
      </w:r>
      <w:r w:rsidR="00CC1324">
        <w:rPr>
          <w:rFonts w:ascii="Arial" w:hAnsi="Arial" w:cs="Arial"/>
          <w:b/>
          <w:szCs w:val="24"/>
        </w:rPr>
        <w:t>–</w:t>
      </w:r>
      <w:r w:rsidR="00CF0607" w:rsidRPr="00CC1324">
        <w:rPr>
          <w:rFonts w:ascii="Arial" w:hAnsi="Arial" w:cs="Arial"/>
          <w:b/>
          <w:szCs w:val="24"/>
        </w:rPr>
        <w:t xml:space="preserve"> </w:t>
      </w:r>
      <w:r w:rsidR="00CC1324">
        <w:rPr>
          <w:rFonts w:ascii="Arial" w:hAnsi="Arial" w:cs="Arial"/>
          <w:b/>
          <w:szCs w:val="24"/>
        </w:rPr>
        <w:t xml:space="preserve">Not </w:t>
      </w:r>
      <w:r w:rsidR="00CF0607" w:rsidRPr="00CC1324">
        <w:rPr>
          <w:rFonts w:ascii="Arial" w:hAnsi="Arial" w:cs="Arial"/>
          <w:b/>
          <w:szCs w:val="24"/>
        </w:rPr>
        <w:t>Applicable</w:t>
      </w:r>
    </w:p>
    <w:p w14:paraId="18639D1D" w14:textId="1DF3E0B6" w:rsidR="00DF7DD9" w:rsidRPr="00CC1324" w:rsidRDefault="00CC1324" w:rsidP="00CC1324">
      <w:pPr>
        <w:spacing w:before="120" w:after="120" w:line="276" w:lineRule="auto"/>
        <w:rPr>
          <w:rFonts w:ascii="Arial" w:hAnsi="Arial" w:cs="Arial"/>
          <w:b/>
          <w:szCs w:val="24"/>
        </w:rPr>
      </w:pPr>
      <w:r w:rsidRPr="00CC1324">
        <w:rPr>
          <w:rFonts w:ascii="Arial" w:hAnsi="Arial" w:cs="Arial"/>
          <w:b/>
          <w:szCs w:val="24"/>
        </w:rPr>
        <w:t>3</w:t>
      </w:r>
      <w:r w:rsidR="00DF7DD9" w:rsidRPr="00CC1324">
        <w:rPr>
          <w:rFonts w:ascii="Arial" w:hAnsi="Arial" w:cs="Arial"/>
          <w:b/>
          <w:szCs w:val="24"/>
        </w:rPr>
        <w:t>.4 Mandatory Subcontracting as condition of award –</w:t>
      </w:r>
      <w:r w:rsidR="00087ACE" w:rsidRPr="00CC1324">
        <w:rPr>
          <w:rFonts w:ascii="Arial" w:hAnsi="Arial" w:cs="Arial"/>
          <w:b/>
          <w:szCs w:val="24"/>
        </w:rPr>
        <w:t xml:space="preserve"> </w:t>
      </w:r>
      <w:r>
        <w:rPr>
          <w:rFonts w:ascii="Arial" w:hAnsi="Arial" w:cs="Arial"/>
          <w:b/>
          <w:szCs w:val="24"/>
        </w:rPr>
        <w:t xml:space="preserve">Not </w:t>
      </w:r>
      <w:r w:rsidR="00087ACE" w:rsidRPr="00CC1324">
        <w:rPr>
          <w:rFonts w:ascii="Arial" w:hAnsi="Arial" w:cs="Arial"/>
          <w:b/>
          <w:szCs w:val="24"/>
        </w:rPr>
        <w:t>Applicable</w:t>
      </w:r>
    </w:p>
    <w:p w14:paraId="0BE64841" w14:textId="77777777" w:rsidR="00DF7DD9" w:rsidRDefault="00DF7DD9" w:rsidP="00DF7DD9">
      <w:pPr>
        <w:ind w:right="-283"/>
        <w:contextualSpacing/>
        <w:jc w:val="both"/>
        <w:rPr>
          <w:rFonts w:ascii="Arial" w:hAnsi="Arial" w:cs="Arial"/>
          <w:b/>
          <w:sz w:val="16"/>
          <w:szCs w:val="16"/>
        </w:rPr>
      </w:pPr>
    </w:p>
    <w:p w14:paraId="6DFE5D9B" w14:textId="77777777" w:rsidR="00CC1324" w:rsidRDefault="00CC1324" w:rsidP="00DF7DD9">
      <w:pPr>
        <w:ind w:right="-283"/>
        <w:contextualSpacing/>
        <w:jc w:val="both"/>
        <w:rPr>
          <w:rFonts w:ascii="Arial" w:hAnsi="Arial" w:cs="Arial"/>
          <w:b/>
          <w:sz w:val="16"/>
          <w:szCs w:val="16"/>
        </w:rPr>
      </w:pPr>
    </w:p>
    <w:p w14:paraId="5F266E4A" w14:textId="77777777" w:rsidR="00CC1324" w:rsidRDefault="00CC1324" w:rsidP="00DF7DD9">
      <w:pPr>
        <w:ind w:right="-283"/>
        <w:contextualSpacing/>
        <w:jc w:val="both"/>
        <w:rPr>
          <w:rFonts w:ascii="Arial" w:hAnsi="Arial" w:cs="Arial"/>
          <w:b/>
          <w:sz w:val="16"/>
          <w:szCs w:val="16"/>
        </w:rPr>
      </w:pPr>
    </w:p>
    <w:p w14:paraId="71B5AD46" w14:textId="77777777" w:rsidR="00CC1324" w:rsidRDefault="00CC1324" w:rsidP="00DF7DD9">
      <w:pPr>
        <w:ind w:right="-283"/>
        <w:contextualSpacing/>
        <w:jc w:val="both"/>
        <w:rPr>
          <w:rFonts w:ascii="Arial" w:hAnsi="Arial" w:cs="Arial"/>
          <w:b/>
          <w:sz w:val="16"/>
          <w:szCs w:val="16"/>
        </w:rPr>
      </w:pPr>
    </w:p>
    <w:p w14:paraId="62EB29C2" w14:textId="77777777" w:rsidR="00CC1324" w:rsidRDefault="00CC1324" w:rsidP="00DF7DD9">
      <w:pPr>
        <w:ind w:right="-283"/>
        <w:contextualSpacing/>
        <w:jc w:val="both"/>
        <w:rPr>
          <w:rFonts w:ascii="Arial" w:hAnsi="Arial" w:cs="Arial"/>
          <w:b/>
          <w:sz w:val="16"/>
          <w:szCs w:val="16"/>
        </w:rPr>
      </w:pPr>
    </w:p>
    <w:p w14:paraId="582482F8" w14:textId="77777777" w:rsidR="00CC1324" w:rsidRDefault="00CC1324" w:rsidP="00DF7DD9">
      <w:pPr>
        <w:ind w:right="-283"/>
        <w:contextualSpacing/>
        <w:jc w:val="both"/>
        <w:rPr>
          <w:rFonts w:ascii="Arial" w:hAnsi="Arial" w:cs="Arial"/>
          <w:b/>
          <w:sz w:val="16"/>
          <w:szCs w:val="16"/>
        </w:rPr>
      </w:pPr>
    </w:p>
    <w:p w14:paraId="6D673579" w14:textId="77777777" w:rsidR="00CC1324" w:rsidRDefault="00CC1324" w:rsidP="00DF7DD9">
      <w:pPr>
        <w:ind w:right="-283"/>
        <w:contextualSpacing/>
        <w:jc w:val="both"/>
        <w:rPr>
          <w:rFonts w:ascii="Arial" w:hAnsi="Arial" w:cs="Arial"/>
          <w:b/>
          <w:sz w:val="16"/>
          <w:szCs w:val="16"/>
        </w:rPr>
      </w:pPr>
    </w:p>
    <w:p w14:paraId="240E6476" w14:textId="77777777" w:rsidR="00CC1324" w:rsidRDefault="00CC1324" w:rsidP="00DF7DD9">
      <w:pPr>
        <w:ind w:right="-283"/>
        <w:contextualSpacing/>
        <w:jc w:val="both"/>
        <w:rPr>
          <w:rFonts w:ascii="Arial" w:hAnsi="Arial" w:cs="Arial"/>
          <w:b/>
          <w:sz w:val="16"/>
          <w:szCs w:val="16"/>
        </w:rPr>
      </w:pPr>
    </w:p>
    <w:p w14:paraId="62787B3E" w14:textId="77777777" w:rsidR="00CC1324" w:rsidRDefault="00CC1324" w:rsidP="00DF7DD9">
      <w:pPr>
        <w:ind w:right="-283"/>
        <w:contextualSpacing/>
        <w:jc w:val="both"/>
        <w:rPr>
          <w:rFonts w:ascii="Arial" w:hAnsi="Arial" w:cs="Arial"/>
          <w:b/>
          <w:sz w:val="16"/>
          <w:szCs w:val="16"/>
        </w:rPr>
      </w:pPr>
    </w:p>
    <w:p w14:paraId="004B4083" w14:textId="77777777" w:rsidR="00CC1324" w:rsidRDefault="00CC1324" w:rsidP="00DF7DD9">
      <w:pPr>
        <w:ind w:right="-283"/>
        <w:contextualSpacing/>
        <w:jc w:val="both"/>
        <w:rPr>
          <w:rFonts w:ascii="Arial" w:hAnsi="Arial" w:cs="Arial"/>
          <w:b/>
          <w:sz w:val="16"/>
          <w:szCs w:val="16"/>
        </w:rPr>
      </w:pPr>
    </w:p>
    <w:p w14:paraId="7BDA87EA" w14:textId="77777777" w:rsidR="00CC1324" w:rsidRDefault="00CC1324" w:rsidP="00DF7DD9">
      <w:pPr>
        <w:ind w:right="-283"/>
        <w:contextualSpacing/>
        <w:jc w:val="both"/>
        <w:rPr>
          <w:rFonts w:ascii="Arial" w:hAnsi="Arial" w:cs="Arial"/>
          <w:b/>
          <w:sz w:val="16"/>
          <w:szCs w:val="16"/>
        </w:rPr>
      </w:pPr>
    </w:p>
    <w:p w14:paraId="21B2114E" w14:textId="77777777" w:rsidR="00CC1324" w:rsidRDefault="00CC1324" w:rsidP="00DF7DD9">
      <w:pPr>
        <w:ind w:right="-283"/>
        <w:contextualSpacing/>
        <w:jc w:val="both"/>
        <w:rPr>
          <w:rFonts w:ascii="Arial" w:hAnsi="Arial" w:cs="Arial"/>
          <w:b/>
          <w:sz w:val="16"/>
          <w:szCs w:val="16"/>
        </w:rPr>
      </w:pPr>
    </w:p>
    <w:p w14:paraId="6DD46022" w14:textId="77777777" w:rsidR="00CC1324" w:rsidRDefault="00CC1324" w:rsidP="00DF7DD9">
      <w:pPr>
        <w:ind w:right="-283"/>
        <w:contextualSpacing/>
        <w:jc w:val="both"/>
        <w:rPr>
          <w:rFonts w:ascii="Arial" w:hAnsi="Arial" w:cs="Arial"/>
          <w:b/>
          <w:sz w:val="16"/>
          <w:szCs w:val="16"/>
        </w:rPr>
      </w:pPr>
    </w:p>
    <w:p w14:paraId="651C8F81" w14:textId="77777777" w:rsidR="00CC1324" w:rsidRDefault="00CC1324" w:rsidP="00DF7DD9">
      <w:pPr>
        <w:ind w:right="-283"/>
        <w:contextualSpacing/>
        <w:jc w:val="both"/>
        <w:rPr>
          <w:rFonts w:ascii="Arial" w:hAnsi="Arial" w:cs="Arial"/>
          <w:b/>
          <w:sz w:val="16"/>
          <w:szCs w:val="16"/>
        </w:rPr>
      </w:pPr>
    </w:p>
    <w:p w14:paraId="2936CFD6" w14:textId="77777777" w:rsidR="00CC1324" w:rsidRDefault="00CC1324" w:rsidP="00DF7DD9">
      <w:pPr>
        <w:ind w:right="-283"/>
        <w:contextualSpacing/>
        <w:jc w:val="both"/>
        <w:rPr>
          <w:rFonts w:ascii="Arial" w:hAnsi="Arial" w:cs="Arial"/>
          <w:b/>
          <w:sz w:val="16"/>
          <w:szCs w:val="16"/>
        </w:rPr>
      </w:pPr>
    </w:p>
    <w:p w14:paraId="4699CE52" w14:textId="77777777" w:rsidR="00CC1324" w:rsidRPr="00C70B8D" w:rsidRDefault="00CC1324" w:rsidP="00DF7DD9">
      <w:pPr>
        <w:ind w:right="-283"/>
        <w:contextualSpacing/>
        <w:jc w:val="both"/>
        <w:rPr>
          <w:rFonts w:ascii="Arial" w:hAnsi="Arial" w:cs="Arial"/>
          <w:b/>
          <w:sz w:val="16"/>
          <w:szCs w:val="16"/>
        </w:rPr>
      </w:pPr>
    </w:p>
    <w:p w14:paraId="609E26E1" w14:textId="77777777" w:rsidR="00DF7DD9" w:rsidRPr="00461D16" w:rsidRDefault="00DF7DD9" w:rsidP="00DF7DD9">
      <w:pPr>
        <w:spacing w:after="200" w:line="276" w:lineRule="auto"/>
        <w:rPr>
          <w:rFonts w:ascii="Arial" w:hAnsi="Arial" w:cs="Arial"/>
          <w:b/>
          <w:sz w:val="28"/>
          <w:szCs w:val="28"/>
        </w:rPr>
      </w:pPr>
      <w:bookmarkStart w:id="0" w:name="_Hlk125111733"/>
      <w:r w:rsidRPr="00461D16">
        <w:rPr>
          <w:rFonts w:ascii="Arial" w:hAnsi="Arial" w:cs="Arial"/>
          <w:b/>
          <w:sz w:val="28"/>
          <w:szCs w:val="28"/>
        </w:rPr>
        <w:lastRenderedPageBreak/>
        <w:t>Section 4: 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CC1324" w:rsidRPr="007C175A" w14:paraId="5824D41F" w14:textId="77777777" w:rsidTr="00461D16">
        <w:trPr>
          <w:trHeight w:val="723"/>
        </w:trPr>
        <w:tc>
          <w:tcPr>
            <w:tcW w:w="9016" w:type="dxa"/>
            <w:shd w:val="clear" w:color="auto" w:fill="FFFFFF" w:themeFill="background1"/>
          </w:tcPr>
          <w:p w14:paraId="20E942DF" w14:textId="77777777" w:rsidR="00CC1324" w:rsidRPr="0054313C" w:rsidRDefault="00CC1324" w:rsidP="00CC1324">
            <w:pPr>
              <w:pStyle w:val="ListParagraph"/>
              <w:numPr>
                <w:ilvl w:val="0"/>
                <w:numId w:val="10"/>
              </w:numPr>
              <w:spacing w:after="200" w:line="276" w:lineRule="auto"/>
              <w:jc w:val="both"/>
              <w:rPr>
                <w:rFonts w:ascii="Arial" w:hAnsi="Arial" w:cs="Arial"/>
                <w:b/>
                <w:bCs/>
                <w:color w:val="000000" w:themeColor="text1"/>
                <w:sz w:val="20"/>
                <w:lang w:val="en-GB"/>
              </w:rPr>
            </w:pPr>
            <w:r w:rsidRPr="0054313C">
              <w:rPr>
                <w:rFonts w:ascii="Arial" w:hAnsi="Arial" w:cs="Arial"/>
                <w:b/>
                <w:sz w:val="20"/>
              </w:rPr>
              <w:t xml:space="preserve">Transformation – BBBEE Improvement or Retention Plan </w:t>
            </w:r>
          </w:p>
          <w:p w14:paraId="2FB72EAB" w14:textId="77777777" w:rsidR="00CC1324" w:rsidRPr="0054313C" w:rsidRDefault="00CC1324" w:rsidP="00CC1324">
            <w:pPr>
              <w:pStyle w:val="ListParagraph"/>
              <w:spacing w:after="200" w:line="276" w:lineRule="auto"/>
              <w:jc w:val="both"/>
              <w:rPr>
                <w:rFonts w:ascii="Arial" w:hAnsi="Arial" w:cs="Arial"/>
                <w:b/>
                <w:bCs/>
                <w:color w:val="000000" w:themeColor="text1"/>
                <w:sz w:val="20"/>
                <w:lang w:val="en-GB"/>
              </w:rPr>
            </w:pPr>
          </w:p>
          <w:p w14:paraId="21861ECE" w14:textId="77777777" w:rsidR="00CC1324" w:rsidRPr="0054313C" w:rsidRDefault="00CC1324" w:rsidP="00CC1324">
            <w:pPr>
              <w:pStyle w:val="ListParagraph"/>
              <w:spacing w:after="200" w:line="360" w:lineRule="auto"/>
              <w:ind w:left="0"/>
              <w:jc w:val="both"/>
              <w:rPr>
                <w:rFonts w:ascii="Arial" w:eastAsiaTheme="minorHAnsi" w:hAnsi="Arial" w:cs="Arial"/>
                <w:sz w:val="20"/>
              </w:rPr>
            </w:pPr>
            <w:r w:rsidRPr="0054313C">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1587FA8" w14:textId="77777777" w:rsidR="00CC1324" w:rsidRPr="0054313C" w:rsidRDefault="00CC1324" w:rsidP="00CC1324">
            <w:pPr>
              <w:pStyle w:val="ListParagraph"/>
              <w:spacing w:after="200" w:line="360" w:lineRule="auto"/>
              <w:ind w:left="0"/>
              <w:jc w:val="both"/>
              <w:rPr>
                <w:rFonts w:ascii="Arial" w:hAnsi="Arial" w:cs="Arial"/>
                <w:sz w:val="20"/>
              </w:rPr>
            </w:pPr>
          </w:p>
          <w:p w14:paraId="2B261A10" w14:textId="2C858AFA" w:rsidR="00CC1324" w:rsidRPr="0054313C" w:rsidRDefault="00CC1324" w:rsidP="00CC1324">
            <w:pPr>
              <w:pStyle w:val="ListParagraph"/>
              <w:spacing w:after="200" w:line="360" w:lineRule="auto"/>
              <w:ind w:left="0"/>
              <w:jc w:val="both"/>
              <w:rPr>
                <w:rFonts w:ascii="Arial" w:hAnsi="Arial" w:cs="Arial"/>
                <w:sz w:val="20"/>
              </w:rPr>
            </w:pPr>
            <w:r w:rsidRPr="0054313C">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 their B-BBEE improvement or retention plan within 30 days of signing the contract. </w:t>
            </w:r>
          </w:p>
          <w:p w14:paraId="6FC29CF8" w14:textId="77777777" w:rsidR="00CC1324" w:rsidRPr="0054313C" w:rsidRDefault="00CC1324" w:rsidP="00CC1324">
            <w:pPr>
              <w:pStyle w:val="ListParagraph"/>
              <w:spacing w:after="200" w:line="360" w:lineRule="auto"/>
              <w:ind w:left="0"/>
              <w:jc w:val="both"/>
              <w:rPr>
                <w:rFonts w:ascii="Arial" w:hAnsi="Arial" w:cs="Arial"/>
                <w:sz w:val="20"/>
              </w:rPr>
            </w:pPr>
          </w:p>
          <w:p w14:paraId="180CC909" w14:textId="77777777" w:rsidR="00CC1324" w:rsidRPr="0054313C" w:rsidRDefault="00CC1324" w:rsidP="00CC1324">
            <w:pPr>
              <w:pStyle w:val="ListParagraph"/>
              <w:spacing w:after="200" w:line="360" w:lineRule="auto"/>
              <w:ind w:left="0"/>
              <w:jc w:val="both"/>
              <w:rPr>
                <w:rFonts w:ascii="Arial" w:hAnsi="Arial" w:cs="Arial"/>
                <w:sz w:val="20"/>
              </w:rPr>
            </w:pPr>
            <w:r w:rsidRPr="0054313C">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D892A52" w14:textId="77777777" w:rsidR="00CC1324" w:rsidRPr="0054313C" w:rsidRDefault="00CC1324" w:rsidP="00CC1324">
            <w:pPr>
              <w:pStyle w:val="ListParagraph"/>
              <w:spacing w:after="200" w:line="360" w:lineRule="auto"/>
              <w:ind w:left="0"/>
              <w:jc w:val="both"/>
              <w:rPr>
                <w:rFonts w:ascii="Arial" w:hAnsi="Arial" w:cs="Arial"/>
                <w:sz w:val="20"/>
              </w:rPr>
            </w:pPr>
          </w:p>
          <w:p w14:paraId="522973A4" w14:textId="77777777" w:rsidR="00CC1324" w:rsidRPr="0054313C" w:rsidRDefault="00CC1324" w:rsidP="00CC1324">
            <w:pPr>
              <w:pStyle w:val="ListParagraph"/>
              <w:spacing w:after="200" w:line="360" w:lineRule="auto"/>
              <w:ind w:left="0"/>
              <w:jc w:val="both"/>
              <w:rPr>
                <w:rFonts w:ascii="Arial" w:hAnsi="Arial" w:cs="Arial"/>
                <w:sz w:val="20"/>
              </w:rPr>
            </w:pPr>
            <w:r w:rsidRPr="0054313C">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B462AFB" w14:textId="77777777" w:rsidR="00CC1324" w:rsidRPr="0054313C" w:rsidRDefault="00CC1324" w:rsidP="00CC1324">
            <w:pPr>
              <w:pStyle w:val="ListParagraph"/>
              <w:spacing w:after="200" w:line="360" w:lineRule="auto"/>
              <w:ind w:left="0"/>
              <w:jc w:val="both"/>
              <w:rPr>
                <w:rFonts w:ascii="Arial" w:hAnsi="Arial" w:cs="Arial"/>
                <w:sz w:val="20"/>
              </w:rPr>
            </w:pPr>
          </w:p>
          <w:p w14:paraId="6DEB8ED6" w14:textId="77777777" w:rsidR="00CC1324" w:rsidRPr="0054313C" w:rsidRDefault="00CC1324" w:rsidP="00CC1324">
            <w:pPr>
              <w:pStyle w:val="ListParagraph"/>
              <w:spacing w:after="200" w:line="360" w:lineRule="auto"/>
              <w:ind w:left="0"/>
              <w:jc w:val="both"/>
              <w:rPr>
                <w:rFonts w:ascii="Arial" w:hAnsi="Arial" w:cs="Arial"/>
                <w:sz w:val="20"/>
              </w:rPr>
            </w:pPr>
            <w:r w:rsidRPr="0054313C">
              <w:rPr>
                <w:rFonts w:ascii="Arial" w:hAnsi="Arial" w:cs="Arial"/>
                <w:sz w:val="20"/>
              </w:rPr>
              <w:t xml:space="preserve">Tenderer/s are requested to submit their B-BBEE Improvement Plan as an essential document within 30 days of signing the contract. </w:t>
            </w:r>
          </w:p>
          <w:p w14:paraId="00D395AB" w14:textId="77777777" w:rsidR="00CC1324" w:rsidRDefault="00CC1324" w:rsidP="00CC1324">
            <w:pPr>
              <w:spacing w:line="360" w:lineRule="auto"/>
              <w:jc w:val="both"/>
              <w:rPr>
                <w:rFonts w:ascii="Arial" w:hAnsi="Arial" w:cs="Arial"/>
                <w:sz w:val="20"/>
              </w:rPr>
            </w:pPr>
            <w:r w:rsidRPr="0054313C">
              <w:rPr>
                <w:rFonts w:ascii="Arial" w:hAnsi="Arial" w:cs="Arial"/>
                <w:b/>
                <w:bCs/>
                <w:sz w:val="20"/>
              </w:rPr>
              <w:t xml:space="preserve">NB: </w:t>
            </w:r>
            <w:r w:rsidRPr="0054313C">
              <w:rPr>
                <w:rFonts w:ascii="Arial" w:hAnsi="Arial" w:cs="Arial"/>
                <w:sz w:val="20"/>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54313C">
              <w:rPr>
                <w:rFonts w:ascii="Arial" w:hAnsi="Arial" w:cs="Arial"/>
                <w:sz w:val="20"/>
              </w:rPr>
              <w:t>all of</w:t>
            </w:r>
            <w:proofErr w:type="gramEnd"/>
            <w:r w:rsidRPr="0054313C">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Pr>
                <w:rFonts w:ascii="Arial" w:hAnsi="Arial" w:cs="Arial"/>
                <w:sz w:val="20"/>
              </w:rPr>
              <w:t>.</w:t>
            </w:r>
          </w:p>
          <w:p w14:paraId="50216037" w14:textId="77777777" w:rsidR="00CC1324" w:rsidRDefault="00CC1324" w:rsidP="00CC1324">
            <w:pPr>
              <w:spacing w:line="360" w:lineRule="auto"/>
              <w:jc w:val="both"/>
              <w:rPr>
                <w:rFonts w:ascii="Arial" w:hAnsi="Arial" w:cs="Arial"/>
                <w:sz w:val="20"/>
                <w:lang w:eastAsia="en-ZA"/>
              </w:rPr>
            </w:pPr>
          </w:p>
          <w:p w14:paraId="21A05A23" w14:textId="77777777" w:rsidR="00CC1324" w:rsidRDefault="00CC1324" w:rsidP="00CC1324">
            <w:pPr>
              <w:spacing w:line="360" w:lineRule="auto"/>
              <w:jc w:val="both"/>
              <w:rPr>
                <w:rFonts w:ascii="Arial" w:hAnsi="Arial" w:cs="Arial"/>
                <w:sz w:val="20"/>
                <w:lang w:eastAsia="en-ZA"/>
              </w:rPr>
            </w:pPr>
          </w:p>
          <w:p w14:paraId="59CDB50D" w14:textId="77777777" w:rsidR="00CC1324" w:rsidRPr="0054313C" w:rsidRDefault="00CC1324" w:rsidP="00CC1324">
            <w:pPr>
              <w:spacing w:line="360" w:lineRule="auto"/>
              <w:jc w:val="both"/>
              <w:rPr>
                <w:rFonts w:ascii="Arial" w:hAnsi="Arial" w:cs="Arial"/>
                <w:sz w:val="20"/>
                <w:lang w:eastAsia="en-ZA"/>
              </w:rPr>
            </w:pPr>
          </w:p>
          <w:p w14:paraId="2B75066F" w14:textId="77777777" w:rsidR="00CC1324" w:rsidRPr="0054313C" w:rsidRDefault="00CC1324" w:rsidP="00CC1324">
            <w:pPr>
              <w:pStyle w:val="ListParagraph"/>
              <w:numPr>
                <w:ilvl w:val="0"/>
                <w:numId w:val="10"/>
              </w:numPr>
              <w:ind w:right="-283"/>
              <w:jc w:val="both"/>
              <w:rPr>
                <w:rFonts w:ascii="Arial" w:hAnsi="Arial" w:cs="Arial"/>
                <w:b/>
                <w:iCs/>
                <w:sz w:val="20"/>
                <w:lang w:val="en-GB"/>
              </w:rPr>
            </w:pPr>
            <w:r w:rsidRPr="0054313C">
              <w:rPr>
                <w:rFonts w:ascii="Arial" w:hAnsi="Arial" w:cs="Arial"/>
                <w:b/>
                <w:sz w:val="20"/>
                <w:lang w:val="en-ZA"/>
              </w:rPr>
              <w:t xml:space="preserve">Local Procurement Content </w:t>
            </w:r>
          </w:p>
          <w:p w14:paraId="43849735" w14:textId="77777777" w:rsidR="00CC1324" w:rsidRPr="0054313C" w:rsidRDefault="00CC1324" w:rsidP="00CC1324">
            <w:pPr>
              <w:tabs>
                <w:tab w:val="left" w:pos="720"/>
              </w:tabs>
              <w:spacing w:line="360" w:lineRule="auto"/>
              <w:jc w:val="both"/>
              <w:rPr>
                <w:rFonts w:ascii="Arial" w:hAnsi="Arial" w:cs="Arial"/>
                <w:b/>
                <w:sz w:val="20"/>
                <w:lang w:val="en-ZA"/>
              </w:rPr>
            </w:pPr>
          </w:p>
          <w:p w14:paraId="50A99FA6" w14:textId="77777777" w:rsidR="00CC1324" w:rsidRPr="0054313C" w:rsidRDefault="00CC1324" w:rsidP="00CC1324">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65E8384" w14:textId="77777777" w:rsidR="00CC1324" w:rsidRPr="0054313C" w:rsidRDefault="00CC1324" w:rsidP="00CC1324">
            <w:pPr>
              <w:tabs>
                <w:tab w:val="left" w:pos="720"/>
              </w:tabs>
              <w:spacing w:line="360" w:lineRule="auto"/>
              <w:ind w:left="360"/>
              <w:jc w:val="both"/>
              <w:rPr>
                <w:rFonts w:ascii="Arial" w:hAnsi="Arial" w:cs="Arial"/>
                <w:sz w:val="20"/>
                <w:lang w:val="en-ZA"/>
              </w:rPr>
            </w:pPr>
          </w:p>
          <w:p w14:paraId="42E81B1F" w14:textId="77777777" w:rsidR="00CC1324" w:rsidRPr="0054313C" w:rsidRDefault="00CC1324" w:rsidP="00CC1324">
            <w:pPr>
              <w:tabs>
                <w:tab w:val="left" w:pos="720"/>
              </w:tabs>
              <w:spacing w:line="360" w:lineRule="auto"/>
              <w:ind w:left="360"/>
              <w:jc w:val="both"/>
              <w:rPr>
                <w:rFonts w:ascii="Arial" w:hAnsi="Arial" w:cs="Arial"/>
                <w:sz w:val="20"/>
                <w:lang w:val="en-ZA"/>
              </w:rPr>
            </w:pPr>
            <w:r w:rsidRPr="0054313C">
              <w:rPr>
                <w:rFonts w:ascii="Arial" w:hAnsi="Arial" w:cs="Arial"/>
                <w:sz w:val="20"/>
                <w:lang w:val="en-ZA"/>
              </w:rPr>
              <w:t>Tenderers are required to submit their proposals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C1324" w:rsidRPr="0054313C" w14:paraId="74D7334E" w14:textId="77777777" w:rsidTr="006C20FF">
              <w:trPr>
                <w:trHeight w:val="153"/>
                <w:jc w:val="center"/>
              </w:trPr>
              <w:tc>
                <w:tcPr>
                  <w:tcW w:w="2798" w:type="dxa"/>
                  <w:vMerge w:val="restart"/>
                  <w:tcBorders>
                    <w:top w:val="single" w:sz="4" w:space="0" w:color="auto"/>
                    <w:left w:val="single" w:sz="4" w:space="0" w:color="auto"/>
                    <w:bottom w:val="single" w:sz="4" w:space="0" w:color="auto"/>
                    <w:right w:val="single" w:sz="4" w:space="0" w:color="auto"/>
                  </w:tcBorders>
                  <w:hideMark/>
                </w:tcPr>
                <w:p w14:paraId="5D6548A1" w14:textId="77777777" w:rsidR="00CC1324" w:rsidRPr="0054313C" w:rsidRDefault="00CC1324" w:rsidP="00CC1324">
                  <w:pPr>
                    <w:spacing w:line="276" w:lineRule="auto"/>
                    <w:rPr>
                      <w:rFonts w:ascii="Arial" w:hAnsi="Arial" w:cs="Arial"/>
                      <w:b/>
                      <w:sz w:val="20"/>
                    </w:rPr>
                  </w:pPr>
                  <w:r w:rsidRPr="0054313C">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1A03690" w14:textId="77777777" w:rsidR="00CC1324" w:rsidRPr="0054313C" w:rsidRDefault="00CC1324" w:rsidP="00CC1324">
                  <w:pPr>
                    <w:spacing w:line="276" w:lineRule="auto"/>
                    <w:jc w:val="center"/>
                    <w:rPr>
                      <w:rFonts w:ascii="Arial" w:hAnsi="Arial" w:cs="Arial"/>
                      <w:b/>
                      <w:sz w:val="20"/>
                    </w:rPr>
                  </w:pPr>
                  <w:r w:rsidRPr="0054313C">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A59DF45" w14:textId="77777777" w:rsidR="00CC1324" w:rsidRPr="0054313C" w:rsidRDefault="00CC1324" w:rsidP="00CC1324">
                  <w:pPr>
                    <w:spacing w:line="276" w:lineRule="auto"/>
                    <w:jc w:val="center"/>
                    <w:rPr>
                      <w:rFonts w:ascii="Arial" w:hAnsi="Arial" w:cs="Arial"/>
                      <w:b/>
                      <w:sz w:val="20"/>
                    </w:rPr>
                  </w:pPr>
                  <w:r w:rsidRPr="0054313C">
                    <w:rPr>
                      <w:rFonts w:ascii="Arial" w:hAnsi="Arial" w:cs="Arial"/>
                      <w:b/>
                      <w:sz w:val="20"/>
                    </w:rPr>
                    <w:t>Tenderer Proposal</w:t>
                  </w:r>
                </w:p>
              </w:tc>
            </w:tr>
            <w:tr w:rsidR="00CC1324" w:rsidRPr="0054313C" w14:paraId="7270FFCD" w14:textId="77777777" w:rsidTr="006C20FF">
              <w:trPr>
                <w:trHeight w:val="378"/>
                <w:jc w:val="center"/>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7ED81DFC" w14:textId="77777777" w:rsidR="00CC1324" w:rsidRPr="0054313C" w:rsidRDefault="00CC1324" w:rsidP="00CC1324">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403470E" w14:textId="77777777" w:rsidR="00CC1324" w:rsidRPr="0054313C" w:rsidRDefault="00CC1324" w:rsidP="00CC1324">
                  <w:pPr>
                    <w:spacing w:line="276" w:lineRule="auto"/>
                    <w:jc w:val="center"/>
                    <w:rPr>
                      <w:rFonts w:ascii="Arial" w:hAnsi="Arial" w:cs="Arial"/>
                      <w:sz w:val="20"/>
                    </w:rPr>
                  </w:pPr>
                  <w:r w:rsidRPr="0054313C">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4CC9BD53" w14:textId="77777777" w:rsidR="00CC1324" w:rsidRPr="0054313C" w:rsidRDefault="00CC1324" w:rsidP="00CC1324">
                  <w:pPr>
                    <w:spacing w:line="276" w:lineRule="auto"/>
                    <w:jc w:val="both"/>
                    <w:rPr>
                      <w:rFonts w:ascii="Arial" w:hAnsi="Arial" w:cs="Arial"/>
                      <w:sz w:val="20"/>
                    </w:rPr>
                  </w:pPr>
                </w:p>
              </w:tc>
            </w:tr>
          </w:tbl>
          <w:p w14:paraId="741255D4" w14:textId="77777777" w:rsidR="00CC1324" w:rsidRPr="0054313C" w:rsidRDefault="00CC1324" w:rsidP="00CC1324">
            <w:pPr>
              <w:tabs>
                <w:tab w:val="left" w:pos="720"/>
              </w:tabs>
              <w:spacing w:line="276" w:lineRule="auto"/>
              <w:jc w:val="both"/>
              <w:rPr>
                <w:rFonts w:ascii="Arial" w:hAnsi="Arial" w:cs="Arial"/>
                <w:sz w:val="20"/>
                <w:lang w:val="en-ZA"/>
              </w:rPr>
            </w:pPr>
          </w:p>
          <w:p w14:paraId="7E7397AE" w14:textId="77777777" w:rsidR="00CC1324" w:rsidRPr="0054313C" w:rsidRDefault="00CC1324" w:rsidP="00CC1324">
            <w:pPr>
              <w:pStyle w:val="ListParagraph"/>
              <w:ind w:left="360"/>
              <w:rPr>
                <w:rFonts w:ascii="Arial" w:hAnsi="Arial" w:cs="Arial"/>
                <w:sz w:val="20"/>
                <w:lang w:val="en-ZA"/>
              </w:rPr>
            </w:pPr>
            <w:r w:rsidRPr="0054313C">
              <w:rPr>
                <w:rFonts w:ascii="Arial" w:hAnsi="Arial" w:cs="Arial"/>
                <w:sz w:val="20"/>
                <w:lang w:val="en-ZA"/>
              </w:rPr>
              <w:t>The proposal above should consider the source of origin of the scope of work as detailed below:</w:t>
            </w:r>
          </w:p>
          <w:p w14:paraId="338EDD2E" w14:textId="77777777" w:rsidR="00CC1324" w:rsidRPr="0054313C" w:rsidRDefault="00CC1324" w:rsidP="00CC1324">
            <w:pPr>
              <w:tabs>
                <w:tab w:val="left" w:pos="720"/>
              </w:tabs>
              <w:spacing w:line="276" w:lineRule="auto"/>
              <w:jc w:val="both"/>
              <w:rPr>
                <w:rFonts w:ascii="Arial" w:hAnsi="Arial" w:cs="Arial"/>
                <w:sz w:val="20"/>
                <w:lang w:val="en-ZA"/>
              </w:rPr>
            </w:pPr>
          </w:p>
          <w:tbl>
            <w:tblPr>
              <w:tblW w:w="8542" w:type="dxa"/>
              <w:jc w:val="center"/>
              <w:tblLook w:val="04A0" w:firstRow="1" w:lastRow="0" w:firstColumn="1" w:lastColumn="0" w:noHBand="0" w:noVBand="1"/>
            </w:tblPr>
            <w:tblGrid>
              <w:gridCol w:w="3160"/>
              <w:gridCol w:w="2356"/>
              <w:gridCol w:w="3026"/>
            </w:tblGrid>
            <w:tr w:rsidR="00CC1324" w:rsidRPr="0054313C" w14:paraId="3AFC6A92" w14:textId="77777777" w:rsidTr="006C20FF">
              <w:trPr>
                <w:trHeight w:val="560"/>
                <w:jc w:val="center"/>
              </w:trPr>
              <w:tc>
                <w:tcPr>
                  <w:tcW w:w="3160" w:type="dxa"/>
                  <w:tcBorders>
                    <w:top w:val="single" w:sz="8" w:space="0" w:color="auto"/>
                    <w:left w:val="single" w:sz="8" w:space="0" w:color="auto"/>
                    <w:bottom w:val="single" w:sz="8" w:space="0" w:color="auto"/>
                    <w:right w:val="single" w:sz="8" w:space="0" w:color="auto"/>
                  </w:tcBorders>
                  <w:vAlign w:val="center"/>
                  <w:hideMark/>
                </w:tcPr>
                <w:p w14:paraId="0AC80801" w14:textId="77777777" w:rsidR="00CC1324" w:rsidRPr="0054313C" w:rsidRDefault="00CC1324" w:rsidP="00CC1324">
                  <w:pPr>
                    <w:jc w:val="center"/>
                    <w:rPr>
                      <w:rFonts w:ascii="Arial" w:hAnsi="Arial" w:cs="Arial"/>
                      <w:b/>
                      <w:sz w:val="20"/>
                    </w:rPr>
                  </w:pPr>
                  <w:r w:rsidRPr="0054313C">
                    <w:rPr>
                      <w:rFonts w:ascii="Arial" w:hAnsi="Arial" w:cs="Arial"/>
                      <w:b/>
                      <w:sz w:val="20"/>
                    </w:rPr>
                    <w:t>Scope of Work</w:t>
                  </w:r>
                </w:p>
              </w:tc>
              <w:tc>
                <w:tcPr>
                  <w:tcW w:w="2356" w:type="dxa"/>
                  <w:tcBorders>
                    <w:top w:val="single" w:sz="8" w:space="0" w:color="auto"/>
                    <w:left w:val="nil"/>
                    <w:bottom w:val="single" w:sz="8" w:space="0" w:color="auto"/>
                    <w:right w:val="single" w:sz="8" w:space="0" w:color="auto"/>
                  </w:tcBorders>
                  <w:vAlign w:val="center"/>
                  <w:hideMark/>
                </w:tcPr>
                <w:p w14:paraId="36E7BD1F" w14:textId="77777777" w:rsidR="00CC1324" w:rsidRPr="0054313C" w:rsidRDefault="00CC1324" w:rsidP="00CC1324">
                  <w:pPr>
                    <w:jc w:val="center"/>
                    <w:rPr>
                      <w:rFonts w:ascii="Arial" w:hAnsi="Arial" w:cs="Arial"/>
                      <w:b/>
                      <w:sz w:val="20"/>
                    </w:rPr>
                  </w:pPr>
                  <w:r w:rsidRPr="0054313C">
                    <w:rPr>
                      <w:rFonts w:ascii="Arial" w:hAnsi="Arial" w:cs="Arial"/>
                      <w:b/>
                      <w:sz w:val="20"/>
                    </w:rPr>
                    <w:t>Import content percentage</w:t>
                  </w:r>
                </w:p>
              </w:tc>
              <w:tc>
                <w:tcPr>
                  <w:tcW w:w="3026" w:type="dxa"/>
                  <w:tcBorders>
                    <w:top w:val="single" w:sz="8" w:space="0" w:color="auto"/>
                    <w:left w:val="nil"/>
                    <w:bottom w:val="single" w:sz="8" w:space="0" w:color="auto"/>
                    <w:right w:val="single" w:sz="8" w:space="0" w:color="auto"/>
                  </w:tcBorders>
                  <w:vAlign w:val="center"/>
                  <w:hideMark/>
                </w:tcPr>
                <w:p w14:paraId="734F0EEC" w14:textId="77777777" w:rsidR="00CC1324" w:rsidRPr="0054313C" w:rsidRDefault="00CC1324" w:rsidP="00CC1324">
                  <w:pPr>
                    <w:jc w:val="center"/>
                    <w:rPr>
                      <w:rFonts w:ascii="Arial" w:hAnsi="Arial" w:cs="Arial"/>
                      <w:b/>
                      <w:sz w:val="20"/>
                    </w:rPr>
                  </w:pPr>
                  <w:r w:rsidRPr="0054313C">
                    <w:rPr>
                      <w:rFonts w:ascii="Arial" w:hAnsi="Arial" w:cs="Arial"/>
                      <w:b/>
                      <w:sz w:val="20"/>
                    </w:rPr>
                    <w:t>Local content percentage</w:t>
                  </w:r>
                </w:p>
              </w:tc>
            </w:tr>
            <w:tr w:rsidR="00CC1324" w:rsidRPr="0054313C" w14:paraId="1B240862" w14:textId="77777777" w:rsidTr="006C20F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0091402E" w14:textId="77777777" w:rsidR="00CC1324" w:rsidRPr="0054313C" w:rsidRDefault="00CC1324" w:rsidP="00CC1324">
                  <w:pPr>
                    <w:rPr>
                      <w:rFonts w:ascii="Arial" w:hAnsi="Arial" w:cs="Arial"/>
                      <w:bCs/>
                      <w:sz w:val="20"/>
                    </w:rPr>
                  </w:pPr>
                  <w:r w:rsidRPr="0054313C">
                    <w:rPr>
                      <w:rFonts w:ascii="Arial" w:hAnsi="Arial" w:cs="Arial"/>
                      <w:bCs/>
                      <w:sz w:val="20"/>
                    </w:rPr>
                    <w:t>Professional services</w:t>
                  </w:r>
                </w:p>
              </w:tc>
              <w:tc>
                <w:tcPr>
                  <w:tcW w:w="2356" w:type="dxa"/>
                  <w:tcBorders>
                    <w:top w:val="nil"/>
                    <w:left w:val="nil"/>
                    <w:bottom w:val="single" w:sz="8" w:space="0" w:color="auto"/>
                    <w:right w:val="single" w:sz="8" w:space="0" w:color="auto"/>
                  </w:tcBorders>
                  <w:vAlign w:val="center"/>
                </w:tcPr>
                <w:p w14:paraId="5F57CFB8" w14:textId="77777777" w:rsidR="00CC1324" w:rsidRPr="0054313C" w:rsidRDefault="00CC1324" w:rsidP="00CC1324">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46C8A9B9" w14:textId="77777777" w:rsidR="00CC1324" w:rsidRPr="0054313C" w:rsidRDefault="00CC1324" w:rsidP="00CC1324">
                  <w:pPr>
                    <w:jc w:val="right"/>
                    <w:rPr>
                      <w:rFonts w:ascii="Arial" w:hAnsi="Arial" w:cs="Arial"/>
                      <w:bCs/>
                      <w:sz w:val="20"/>
                    </w:rPr>
                  </w:pPr>
                </w:p>
              </w:tc>
            </w:tr>
            <w:tr w:rsidR="00CC1324" w:rsidRPr="0054313C" w14:paraId="0DF60AF0" w14:textId="77777777" w:rsidTr="006C20F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506259D6" w14:textId="77777777" w:rsidR="00CC1324" w:rsidRPr="0054313C" w:rsidRDefault="00CC1324" w:rsidP="00CC1324">
                  <w:pPr>
                    <w:rPr>
                      <w:rFonts w:ascii="Arial" w:hAnsi="Arial" w:cs="Arial"/>
                      <w:bCs/>
                      <w:sz w:val="20"/>
                    </w:rPr>
                  </w:pPr>
                  <w:r w:rsidRPr="0054313C">
                    <w:rPr>
                      <w:rFonts w:ascii="Arial" w:hAnsi="Arial" w:cs="Arial"/>
                      <w:bCs/>
                      <w:sz w:val="20"/>
                    </w:rPr>
                    <w:t>Hardware</w:t>
                  </w:r>
                </w:p>
              </w:tc>
              <w:tc>
                <w:tcPr>
                  <w:tcW w:w="2356" w:type="dxa"/>
                  <w:tcBorders>
                    <w:top w:val="nil"/>
                    <w:left w:val="nil"/>
                    <w:bottom w:val="single" w:sz="8" w:space="0" w:color="auto"/>
                    <w:right w:val="single" w:sz="8" w:space="0" w:color="auto"/>
                  </w:tcBorders>
                  <w:vAlign w:val="center"/>
                </w:tcPr>
                <w:p w14:paraId="681D5675" w14:textId="77777777" w:rsidR="00CC1324" w:rsidRPr="0054313C" w:rsidRDefault="00CC1324" w:rsidP="00CC1324">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488AC00A" w14:textId="77777777" w:rsidR="00CC1324" w:rsidRPr="0054313C" w:rsidRDefault="00CC1324" w:rsidP="00CC1324">
                  <w:pPr>
                    <w:rPr>
                      <w:rFonts w:ascii="Arial" w:hAnsi="Arial" w:cs="Arial"/>
                      <w:bCs/>
                      <w:sz w:val="20"/>
                    </w:rPr>
                  </w:pPr>
                </w:p>
              </w:tc>
            </w:tr>
            <w:tr w:rsidR="00CC1324" w:rsidRPr="0054313C" w14:paraId="483B93E6" w14:textId="77777777" w:rsidTr="006C20F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330E61B8" w14:textId="77777777" w:rsidR="00CC1324" w:rsidRPr="0054313C" w:rsidRDefault="00CC1324" w:rsidP="00CC1324">
                  <w:pPr>
                    <w:rPr>
                      <w:rFonts w:ascii="Arial" w:hAnsi="Arial" w:cs="Arial"/>
                      <w:bCs/>
                      <w:sz w:val="20"/>
                    </w:rPr>
                  </w:pPr>
                  <w:r w:rsidRPr="0054313C">
                    <w:rPr>
                      <w:rFonts w:ascii="Arial" w:hAnsi="Arial" w:cs="Arial"/>
                      <w:bCs/>
                      <w:sz w:val="20"/>
                    </w:rPr>
                    <w:t>Software licenses subscription</w:t>
                  </w:r>
                </w:p>
              </w:tc>
              <w:tc>
                <w:tcPr>
                  <w:tcW w:w="2356" w:type="dxa"/>
                  <w:tcBorders>
                    <w:top w:val="nil"/>
                    <w:left w:val="nil"/>
                    <w:bottom w:val="single" w:sz="8" w:space="0" w:color="auto"/>
                    <w:right w:val="single" w:sz="8" w:space="0" w:color="auto"/>
                  </w:tcBorders>
                  <w:vAlign w:val="center"/>
                </w:tcPr>
                <w:p w14:paraId="49C7A317" w14:textId="77777777" w:rsidR="00CC1324" w:rsidRPr="0054313C" w:rsidRDefault="00CC1324" w:rsidP="00CC1324">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0AC87BA1" w14:textId="77777777" w:rsidR="00CC1324" w:rsidRPr="0054313C" w:rsidRDefault="00CC1324" w:rsidP="00CC1324">
                  <w:pPr>
                    <w:jc w:val="right"/>
                    <w:rPr>
                      <w:rFonts w:ascii="Arial" w:hAnsi="Arial" w:cs="Arial"/>
                      <w:bCs/>
                      <w:sz w:val="20"/>
                    </w:rPr>
                  </w:pPr>
                </w:p>
              </w:tc>
            </w:tr>
            <w:tr w:rsidR="00CC1324" w:rsidRPr="0054313C" w14:paraId="66F9BCBE" w14:textId="77777777" w:rsidTr="006C20FF">
              <w:trPr>
                <w:trHeight w:val="560"/>
                <w:jc w:val="center"/>
              </w:trPr>
              <w:tc>
                <w:tcPr>
                  <w:tcW w:w="3160" w:type="dxa"/>
                  <w:tcBorders>
                    <w:top w:val="nil"/>
                    <w:left w:val="single" w:sz="8" w:space="0" w:color="auto"/>
                    <w:bottom w:val="single" w:sz="8" w:space="0" w:color="auto"/>
                    <w:right w:val="single" w:sz="8" w:space="0" w:color="auto"/>
                  </w:tcBorders>
                  <w:vAlign w:val="center"/>
                  <w:hideMark/>
                </w:tcPr>
                <w:p w14:paraId="30A5B22D" w14:textId="77777777" w:rsidR="00CC1324" w:rsidRPr="0054313C" w:rsidRDefault="00CC1324" w:rsidP="00CC1324">
                  <w:pPr>
                    <w:rPr>
                      <w:rFonts w:ascii="Arial" w:hAnsi="Arial" w:cs="Arial"/>
                      <w:bCs/>
                      <w:sz w:val="20"/>
                    </w:rPr>
                  </w:pPr>
                  <w:r w:rsidRPr="0054313C">
                    <w:rPr>
                      <w:rFonts w:ascii="Arial" w:hAnsi="Arial" w:cs="Arial"/>
                      <w:bCs/>
                      <w:sz w:val="20"/>
                    </w:rPr>
                    <w:t>Software maintenance and support</w:t>
                  </w:r>
                </w:p>
              </w:tc>
              <w:tc>
                <w:tcPr>
                  <w:tcW w:w="2356" w:type="dxa"/>
                  <w:tcBorders>
                    <w:top w:val="nil"/>
                    <w:left w:val="nil"/>
                    <w:bottom w:val="single" w:sz="8" w:space="0" w:color="auto"/>
                    <w:right w:val="single" w:sz="8" w:space="0" w:color="auto"/>
                  </w:tcBorders>
                  <w:vAlign w:val="center"/>
                </w:tcPr>
                <w:p w14:paraId="5FB13718" w14:textId="77777777" w:rsidR="00CC1324" w:rsidRPr="0054313C" w:rsidRDefault="00CC1324" w:rsidP="00CC1324">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2C9B9040" w14:textId="77777777" w:rsidR="00CC1324" w:rsidRPr="0054313C" w:rsidRDefault="00CC1324" w:rsidP="00CC1324">
                  <w:pPr>
                    <w:rPr>
                      <w:rFonts w:ascii="Arial" w:hAnsi="Arial" w:cs="Arial"/>
                      <w:bCs/>
                      <w:sz w:val="20"/>
                    </w:rPr>
                  </w:pPr>
                </w:p>
              </w:tc>
            </w:tr>
            <w:tr w:rsidR="00CC1324" w:rsidRPr="0054313C" w14:paraId="04DA6814" w14:textId="77777777" w:rsidTr="006C20FF">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15CAA888" w14:textId="77777777" w:rsidR="00CC1324" w:rsidRPr="0054313C" w:rsidRDefault="00CC1324" w:rsidP="00CC1324">
                  <w:pPr>
                    <w:rPr>
                      <w:rFonts w:ascii="Arial" w:hAnsi="Arial" w:cs="Arial"/>
                      <w:bCs/>
                      <w:sz w:val="20"/>
                    </w:rPr>
                  </w:pPr>
                  <w:r w:rsidRPr="0054313C">
                    <w:rPr>
                      <w:rFonts w:ascii="Arial" w:hAnsi="Arial" w:cs="Arial"/>
                      <w:bCs/>
                      <w:sz w:val="20"/>
                    </w:rPr>
                    <w:t>Other expenses</w:t>
                  </w:r>
                </w:p>
              </w:tc>
              <w:tc>
                <w:tcPr>
                  <w:tcW w:w="2356" w:type="dxa"/>
                  <w:tcBorders>
                    <w:top w:val="nil"/>
                    <w:left w:val="nil"/>
                    <w:bottom w:val="single" w:sz="8" w:space="0" w:color="auto"/>
                    <w:right w:val="single" w:sz="8" w:space="0" w:color="auto"/>
                  </w:tcBorders>
                  <w:vAlign w:val="center"/>
                </w:tcPr>
                <w:p w14:paraId="1AB02547" w14:textId="77777777" w:rsidR="00CC1324" w:rsidRPr="0054313C" w:rsidRDefault="00CC1324" w:rsidP="00CC1324">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292CD49" w14:textId="77777777" w:rsidR="00CC1324" w:rsidRPr="0054313C" w:rsidRDefault="00CC1324" w:rsidP="00CC1324">
                  <w:pPr>
                    <w:jc w:val="right"/>
                    <w:rPr>
                      <w:rFonts w:ascii="Arial" w:hAnsi="Arial" w:cs="Arial"/>
                      <w:bCs/>
                      <w:sz w:val="20"/>
                    </w:rPr>
                  </w:pPr>
                </w:p>
              </w:tc>
            </w:tr>
          </w:tbl>
          <w:p w14:paraId="49D772CC" w14:textId="77777777" w:rsidR="00CC1324" w:rsidRPr="0054313C" w:rsidRDefault="00CC1324" w:rsidP="00CC1324">
            <w:pPr>
              <w:tabs>
                <w:tab w:val="left" w:pos="720"/>
              </w:tabs>
              <w:spacing w:line="276" w:lineRule="auto"/>
              <w:jc w:val="both"/>
              <w:rPr>
                <w:rFonts w:ascii="Arial" w:hAnsi="Arial" w:cs="Arial"/>
                <w:sz w:val="20"/>
                <w:lang w:val="en-ZA"/>
              </w:rPr>
            </w:pPr>
          </w:p>
          <w:p w14:paraId="695BEA67" w14:textId="77777777" w:rsidR="00CC1324" w:rsidRPr="0054313C" w:rsidRDefault="00CC1324" w:rsidP="00CC1324">
            <w:pPr>
              <w:numPr>
                <w:ilvl w:val="0"/>
                <w:numId w:val="10"/>
              </w:numPr>
              <w:tabs>
                <w:tab w:val="left" w:pos="720"/>
              </w:tabs>
              <w:spacing w:line="360" w:lineRule="auto"/>
              <w:jc w:val="both"/>
              <w:rPr>
                <w:rFonts w:ascii="Arial" w:hAnsi="Arial" w:cs="Arial"/>
                <w:b/>
                <w:sz w:val="20"/>
                <w:lang w:val="en-ZA"/>
              </w:rPr>
            </w:pPr>
            <w:r w:rsidRPr="0054313C">
              <w:rPr>
                <w:rFonts w:ascii="Arial" w:hAnsi="Arial" w:cs="Arial"/>
                <w:b/>
                <w:sz w:val="20"/>
                <w:lang w:val="en-ZA"/>
              </w:rPr>
              <w:t xml:space="preserve">Procurement </w:t>
            </w:r>
            <w:proofErr w:type="gramStart"/>
            <w:r w:rsidRPr="0054313C">
              <w:rPr>
                <w:rFonts w:ascii="Arial" w:hAnsi="Arial" w:cs="Arial"/>
                <w:b/>
                <w:sz w:val="20"/>
                <w:lang w:val="en-ZA"/>
              </w:rPr>
              <w:t>spend</w:t>
            </w:r>
            <w:proofErr w:type="gramEnd"/>
            <w:r w:rsidRPr="0054313C">
              <w:rPr>
                <w:rFonts w:ascii="Arial" w:hAnsi="Arial" w:cs="Arial"/>
                <w:b/>
                <w:sz w:val="20"/>
                <w:lang w:val="en-ZA"/>
              </w:rPr>
              <w:t xml:space="preserve"> on</w:t>
            </w:r>
            <w:r w:rsidRPr="0054313C">
              <w:rPr>
                <w:rFonts w:ascii="Arial" w:hAnsi="Arial" w:cs="Arial"/>
                <w:b/>
                <w:sz w:val="20"/>
              </w:rPr>
              <w:t xml:space="preserve"> entities with a minimum 51% black ownership</w:t>
            </w:r>
          </w:p>
          <w:p w14:paraId="063C59A6" w14:textId="77777777" w:rsidR="00CC1324" w:rsidRPr="0054313C" w:rsidRDefault="00CC1324" w:rsidP="00CC1324">
            <w:pPr>
              <w:spacing w:before="160" w:line="360" w:lineRule="auto"/>
              <w:ind w:left="360"/>
              <w:jc w:val="both"/>
              <w:rPr>
                <w:rFonts w:ascii="Arial" w:hAnsi="Arial" w:cs="Arial"/>
                <w:sz w:val="20"/>
                <w:lang w:val="en-ZA"/>
              </w:rPr>
            </w:pPr>
            <w:r w:rsidRPr="0054313C">
              <w:rPr>
                <w:rFonts w:ascii="Arial" w:hAnsi="Arial" w:cs="Arial"/>
                <w:sz w:val="20"/>
                <w:lang w:val="en-ZA"/>
              </w:rPr>
              <w:t>The supplier is encouraged to procure from the designated groups, as shown in a table below, on the following paid invoices for both:</w:t>
            </w:r>
          </w:p>
          <w:p w14:paraId="5447DBD1" w14:textId="77777777" w:rsidR="00CC1324" w:rsidRPr="0054313C" w:rsidRDefault="00CC1324" w:rsidP="00CC1324">
            <w:pPr>
              <w:spacing w:before="160" w:line="276" w:lineRule="auto"/>
              <w:ind w:left="360"/>
              <w:jc w:val="both"/>
              <w:rPr>
                <w:rFonts w:ascii="Arial" w:hAnsi="Arial" w:cs="Arial"/>
                <w:sz w:val="20"/>
                <w:lang w:val="en-ZA"/>
              </w:rPr>
            </w:pPr>
            <w:r w:rsidRPr="0054313C">
              <w:rPr>
                <w:rFonts w:ascii="Arial" w:hAnsi="Arial" w:cs="Arial"/>
                <w:sz w:val="20"/>
                <w:lang w:val="en-ZA"/>
              </w:rPr>
              <w:t>•</w:t>
            </w:r>
            <w:r w:rsidRPr="0054313C">
              <w:rPr>
                <w:rFonts w:ascii="Arial" w:hAnsi="Arial" w:cs="Arial"/>
                <w:sz w:val="20"/>
                <w:lang w:val="en-ZA"/>
              </w:rPr>
              <w:tab/>
              <w:t>the indirect expenses (e.g. overheads) on goods and services supplied to the contractor/supplier by designated groups; and</w:t>
            </w:r>
          </w:p>
          <w:p w14:paraId="63C8C8B3" w14:textId="77777777" w:rsidR="00CC1324" w:rsidRPr="0054313C" w:rsidRDefault="00CC1324" w:rsidP="00CC1324">
            <w:pPr>
              <w:spacing w:before="160" w:line="276" w:lineRule="auto"/>
              <w:ind w:left="360"/>
              <w:jc w:val="both"/>
              <w:rPr>
                <w:rFonts w:ascii="Arial" w:hAnsi="Arial" w:cs="Arial"/>
                <w:sz w:val="20"/>
                <w:lang w:val="en-ZA"/>
              </w:rPr>
            </w:pPr>
            <w:r w:rsidRPr="0054313C">
              <w:rPr>
                <w:rFonts w:ascii="Arial" w:hAnsi="Arial" w:cs="Arial"/>
                <w:sz w:val="20"/>
                <w:lang w:val="en-ZA"/>
              </w:rPr>
              <w:t>•</w:t>
            </w:r>
            <w:r w:rsidRPr="0054313C">
              <w:rPr>
                <w:rFonts w:ascii="Arial" w:hAnsi="Arial" w:cs="Arial"/>
                <w:sz w:val="20"/>
                <w:lang w:val="en-ZA"/>
              </w:rPr>
              <w:tab/>
              <w:t xml:space="preserve">direct spend on goods and services supplied by the subcontractors for the execution of the scope of work. </w:t>
            </w:r>
          </w:p>
          <w:p w14:paraId="28C86AD2" w14:textId="77777777" w:rsidR="00CC1324" w:rsidRPr="0054313C" w:rsidRDefault="00CC1324" w:rsidP="00CC1324">
            <w:pPr>
              <w:tabs>
                <w:tab w:val="left" w:pos="720"/>
              </w:tabs>
              <w:spacing w:line="360" w:lineRule="auto"/>
              <w:ind w:left="360"/>
              <w:jc w:val="both"/>
              <w:rPr>
                <w:rFonts w:ascii="Arial" w:hAnsi="Arial" w:cs="Arial"/>
                <w:sz w:val="20"/>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tblGrid>
            <w:tr w:rsidR="00CC1324" w:rsidRPr="0054313C" w14:paraId="45B61F59" w14:textId="77777777" w:rsidTr="006C20FF">
              <w:trPr>
                <w:trHeight w:val="364"/>
                <w:jc w:val="center"/>
              </w:trPr>
              <w:tc>
                <w:tcPr>
                  <w:tcW w:w="3291" w:type="dxa"/>
                  <w:shd w:val="clear" w:color="auto" w:fill="D9D9D9" w:themeFill="background1" w:themeFillShade="D9"/>
                </w:tcPr>
                <w:p w14:paraId="2BB6D46E" w14:textId="77777777" w:rsidR="00CC1324" w:rsidRPr="0054313C" w:rsidRDefault="00CC1324" w:rsidP="00CC1324">
                  <w:pPr>
                    <w:tabs>
                      <w:tab w:val="left" w:pos="720"/>
                    </w:tabs>
                    <w:jc w:val="both"/>
                    <w:rPr>
                      <w:rFonts w:ascii="Arial" w:hAnsi="Arial" w:cs="Arial"/>
                      <w:b/>
                      <w:sz w:val="20"/>
                    </w:rPr>
                  </w:pPr>
                  <w:r w:rsidRPr="0054313C">
                    <w:rPr>
                      <w:rFonts w:ascii="Arial" w:hAnsi="Arial" w:cs="Arial"/>
                      <w:b/>
                      <w:sz w:val="20"/>
                    </w:rPr>
                    <w:t>Procurement from Designated Group</w:t>
                  </w:r>
                </w:p>
              </w:tc>
              <w:tc>
                <w:tcPr>
                  <w:tcW w:w="2119" w:type="dxa"/>
                  <w:shd w:val="clear" w:color="auto" w:fill="D9D9D9" w:themeFill="background1" w:themeFillShade="D9"/>
                </w:tcPr>
                <w:p w14:paraId="20004725" w14:textId="77777777" w:rsidR="00CC1324" w:rsidRPr="0054313C" w:rsidRDefault="00CC1324" w:rsidP="00CC1324">
                  <w:pPr>
                    <w:tabs>
                      <w:tab w:val="left" w:pos="720"/>
                    </w:tabs>
                    <w:jc w:val="center"/>
                    <w:rPr>
                      <w:rFonts w:ascii="Arial" w:hAnsi="Arial" w:cs="Arial"/>
                      <w:b/>
                      <w:sz w:val="20"/>
                    </w:rPr>
                  </w:pPr>
                  <w:r w:rsidRPr="0054313C">
                    <w:rPr>
                      <w:rFonts w:ascii="Arial" w:hAnsi="Arial" w:cs="Arial"/>
                      <w:b/>
                      <w:sz w:val="20"/>
                    </w:rPr>
                    <w:t>Obligation</w:t>
                  </w:r>
                </w:p>
              </w:tc>
            </w:tr>
            <w:tr w:rsidR="00CC1324" w:rsidRPr="0054313C" w14:paraId="4A6D9F41" w14:textId="77777777" w:rsidTr="006C20FF">
              <w:trPr>
                <w:trHeight w:val="427"/>
                <w:jc w:val="center"/>
              </w:trPr>
              <w:tc>
                <w:tcPr>
                  <w:tcW w:w="3291" w:type="dxa"/>
                </w:tcPr>
                <w:p w14:paraId="76DD690D" w14:textId="77777777" w:rsidR="00CC1324" w:rsidRPr="0054313C" w:rsidRDefault="00CC1324" w:rsidP="00CC1324">
                  <w:pPr>
                    <w:tabs>
                      <w:tab w:val="left" w:pos="720"/>
                    </w:tabs>
                    <w:jc w:val="both"/>
                    <w:rPr>
                      <w:rFonts w:ascii="Arial" w:hAnsi="Arial" w:cs="Arial"/>
                      <w:sz w:val="20"/>
                    </w:rPr>
                  </w:pPr>
                  <w:r w:rsidRPr="0054313C">
                    <w:rPr>
                      <w:rFonts w:ascii="Arial" w:hAnsi="Arial" w:cs="Arial"/>
                      <w:sz w:val="20"/>
                    </w:rPr>
                    <w:t xml:space="preserve">Black Owned </w:t>
                  </w:r>
                </w:p>
              </w:tc>
              <w:tc>
                <w:tcPr>
                  <w:tcW w:w="2119" w:type="dxa"/>
                </w:tcPr>
                <w:p w14:paraId="2714221E" w14:textId="77777777" w:rsidR="00CC1324" w:rsidRPr="0054313C" w:rsidRDefault="00CC1324" w:rsidP="00CC1324">
                  <w:pPr>
                    <w:tabs>
                      <w:tab w:val="left" w:pos="720"/>
                    </w:tabs>
                    <w:jc w:val="center"/>
                    <w:rPr>
                      <w:rFonts w:ascii="Arial" w:hAnsi="Arial" w:cs="Arial"/>
                      <w:sz w:val="20"/>
                    </w:rPr>
                  </w:pPr>
                  <w:r w:rsidRPr="0054313C">
                    <w:rPr>
                      <w:rFonts w:ascii="Arial" w:hAnsi="Arial" w:cs="Arial"/>
                      <w:sz w:val="20"/>
                    </w:rPr>
                    <w:t>5.0%</w:t>
                  </w:r>
                </w:p>
              </w:tc>
            </w:tr>
            <w:tr w:rsidR="00CC1324" w:rsidRPr="0054313C" w14:paraId="523AEC92" w14:textId="77777777" w:rsidTr="006C20FF">
              <w:trPr>
                <w:trHeight w:val="427"/>
                <w:jc w:val="center"/>
              </w:trPr>
              <w:tc>
                <w:tcPr>
                  <w:tcW w:w="3291" w:type="dxa"/>
                </w:tcPr>
                <w:p w14:paraId="6A836FF4" w14:textId="77777777" w:rsidR="00CC1324" w:rsidRPr="0054313C" w:rsidRDefault="00CC1324" w:rsidP="00CC1324">
                  <w:pPr>
                    <w:tabs>
                      <w:tab w:val="left" w:pos="720"/>
                    </w:tabs>
                    <w:jc w:val="both"/>
                    <w:rPr>
                      <w:rFonts w:ascii="Arial" w:hAnsi="Arial" w:cs="Arial"/>
                      <w:sz w:val="20"/>
                    </w:rPr>
                  </w:pPr>
                  <w:r w:rsidRPr="0054313C">
                    <w:rPr>
                      <w:rFonts w:ascii="Arial" w:hAnsi="Arial" w:cs="Arial"/>
                      <w:sz w:val="20"/>
                    </w:rPr>
                    <w:t>Black Women Owned</w:t>
                  </w:r>
                </w:p>
              </w:tc>
              <w:tc>
                <w:tcPr>
                  <w:tcW w:w="2119" w:type="dxa"/>
                </w:tcPr>
                <w:p w14:paraId="4F6AE0B2" w14:textId="77777777" w:rsidR="00CC1324" w:rsidRPr="0054313C" w:rsidRDefault="00CC1324" w:rsidP="00CC1324">
                  <w:pPr>
                    <w:tabs>
                      <w:tab w:val="left" w:pos="720"/>
                    </w:tabs>
                    <w:jc w:val="center"/>
                    <w:rPr>
                      <w:rFonts w:ascii="Arial" w:hAnsi="Arial" w:cs="Arial"/>
                      <w:sz w:val="20"/>
                    </w:rPr>
                  </w:pPr>
                  <w:r w:rsidRPr="0054313C">
                    <w:rPr>
                      <w:rFonts w:ascii="Arial" w:hAnsi="Arial" w:cs="Arial"/>
                      <w:sz w:val="20"/>
                    </w:rPr>
                    <w:t>3.0%</w:t>
                  </w:r>
                </w:p>
              </w:tc>
            </w:tr>
            <w:tr w:rsidR="00CC1324" w:rsidRPr="0054313C" w14:paraId="08E0E48C" w14:textId="77777777" w:rsidTr="006C20FF">
              <w:trPr>
                <w:trHeight w:val="427"/>
                <w:jc w:val="center"/>
              </w:trPr>
              <w:tc>
                <w:tcPr>
                  <w:tcW w:w="3291" w:type="dxa"/>
                </w:tcPr>
                <w:p w14:paraId="39928A0F" w14:textId="77777777" w:rsidR="00CC1324" w:rsidRPr="0054313C" w:rsidRDefault="00CC1324" w:rsidP="00CC1324">
                  <w:pPr>
                    <w:tabs>
                      <w:tab w:val="left" w:pos="720"/>
                    </w:tabs>
                    <w:jc w:val="both"/>
                    <w:rPr>
                      <w:rFonts w:ascii="Arial" w:hAnsi="Arial" w:cs="Arial"/>
                      <w:sz w:val="20"/>
                    </w:rPr>
                  </w:pPr>
                  <w:r w:rsidRPr="0054313C">
                    <w:rPr>
                      <w:rFonts w:ascii="Arial" w:hAnsi="Arial" w:cs="Arial"/>
                      <w:sz w:val="20"/>
                    </w:rPr>
                    <w:t>Black Youth Owned</w:t>
                  </w:r>
                </w:p>
              </w:tc>
              <w:tc>
                <w:tcPr>
                  <w:tcW w:w="2119" w:type="dxa"/>
                </w:tcPr>
                <w:p w14:paraId="45C7464D" w14:textId="77777777" w:rsidR="00CC1324" w:rsidRPr="0054313C" w:rsidRDefault="00CC1324" w:rsidP="00CC1324">
                  <w:pPr>
                    <w:tabs>
                      <w:tab w:val="left" w:pos="720"/>
                    </w:tabs>
                    <w:jc w:val="center"/>
                    <w:rPr>
                      <w:rFonts w:ascii="Arial" w:hAnsi="Arial" w:cs="Arial"/>
                      <w:sz w:val="20"/>
                    </w:rPr>
                  </w:pPr>
                  <w:r w:rsidRPr="0054313C">
                    <w:rPr>
                      <w:rFonts w:ascii="Arial" w:hAnsi="Arial" w:cs="Arial"/>
                      <w:sz w:val="20"/>
                    </w:rPr>
                    <w:t>2.0%</w:t>
                  </w:r>
                </w:p>
              </w:tc>
            </w:tr>
            <w:tr w:rsidR="00CC1324" w:rsidRPr="0054313C" w14:paraId="0D72275C" w14:textId="77777777" w:rsidTr="006C20FF">
              <w:trPr>
                <w:trHeight w:val="427"/>
                <w:jc w:val="center"/>
              </w:trPr>
              <w:tc>
                <w:tcPr>
                  <w:tcW w:w="3291" w:type="dxa"/>
                </w:tcPr>
                <w:p w14:paraId="36AC89E7" w14:textId="77777777" w:rsidR="00CC1324" w:rsidRPr="0054313C" w:rsidRDefault="00CC1324" w:rsidP="00CC1324">
                  <w:pPr>
                    <w:tabs>
                      <w:tab w:val="left" w:pos="720"/>
                    </w:tabs>
                    <w:jc w:val="both"/>
                    <w:rPr>
                      <w:rFonts w:ascii="Arial" w:hAnsi="Arial" w:cs="Arial"/>
                      <w:sz w:val="20"/>
                    </w:rPr>
                  </w:pPr>
                  <w:r w:rsidRPr="0054313C">
                    <w:rPr>
                      <w:rFonts w:ascii="Arial" w:hAnsi="Arial" w:cs="Arial"/>
                      <w:sz w:val="20"/>
                    </w:rPr>
                    <w:t>Black Persons with Disability</w:t>
                  </w:r>
                </w:p>
              </w:tc>
              <w:tc>
                <w:tcPr>
                  <w:tcW w:w="2119" w:type="dxa"/>
                </w:tcPr>
                <w:p w14:paraId="143341DB" w14:textId="77777777" w:rsidR="00CC1324" w:rsidRPr="0054313C" w:rsidRDefault="00CC1324" w:rsidP="00CC1324">
                  <w:pPr>
                    <w:tabs>
                      <w:tab w:val="left" w:pos="720"/>
                    </w:tabs>
                    <w:jc w:val="center"/>
                    <w:rPr>
                      <w:rFonts w:ascii="Arial" w:hAnsi="Arial" w:cs="Arial"/>
                      <w:sz w:val="20"/>
                    </w:rPr>
                  </w:pPr>
                  <w:r w:rsidRPr="0054313C">
                    <w:rPr>
                      <w:rFonts w:ascii="Arial" w:hAnsi="Arial" w:cs="Arial"/>
                      <w:sz w:val="20"/>
                    </w:rPr>
                    <w:t>1.0%</w:t>
                  </w:r>
                </w:p>
              </w:tc>
            </w:tr>
          </w:tbl>
          <w:p w14:paraId="6F5C9BC2" w14:textId="77777777" w:rsidR="00CC1324" w:rsidRDefault="00CC1324" w:rsidP="00CC1324">
            <w:pPr>
              <w:pStyle w:val="ListParagraph"/>
              <w:ind w:left="360" w:right="-283"/>
              <w:jc w:val="both"/>
              <w:rPr>
                <w:rFonts w:ascii="Arial" w:hAnsi="Arial" w:cs="Arial"/>
                <w:b/>
                <w:sz w:val="20"/>
                <w:lang w:val="en-ZA"/>
              </w:rPr>
            </w:pPr>
          </w:p>
          <w:p w14:paraId="67D95A6B" w14:textId="77777777" w:rsidR="00CC1324" w:rsidRPr="0054313C" w:rsidRDefault="00CC1324" w:rsidP="00CC1324">
            <w:pPr>
              <w:pStyle w:val="ListParagraph"/>
              <w:ind w:left="360" w:right="-283"/>
              <w:jc w:val="both"/>
              <w:rPr>
                <w:rFonts w:ascii="Arial" w:hAnsi="Arial" w:cs="Arial"/>
                <w:b/>
                <w:sz w:val="20"/>
                <w:lang w:val="en-ZA"/>
              </w:rPr>
            </w:pPr>
          </w:p>
          <w:p w14:paraId="4ED0492D" w14:textId="77777777" w:rsidR="00CC1324" w:rsidRPr="0054313C" w:rsidRDefault="00CC1324" w:rsidP="00CC1324">
            <w:pPr>
              <w:pStyle w:val="ListParagraph"/>
              <w:numPr>
                <w:ilvl w:val="0"/>
                <w:numId w:val="10"/>
              </w:numPr>
              <w:ind w:right="-283"/>
              <w:jc w:val="both"/>
              <w:rPr>
                <w:rFonts w:ascii="Arial" w:hAnsi="Arial" w:cs="Arial"/>
                <w:b/>
                <w:sz w:val="20"/>
                <w:lang w:val="en-ZA"/>
              </w:rPr>
            </w:pPr>
            <w:r w:rsidRPr="0054313C">
              <w:rPr>
                <w:rFonts w:ascii="Arial" w:hAnsi="Arial" w:cs="Arial"/>
                <w:b/>
                <w:sz w:val="20"/>
                <w:lang w:val="en-ZA"/>
              </w:rPr>
              <w:lastRenderedPageBreak/>
              <w:t xml:space="preserve">Jobs </w:t>
            </w:r>
          </w:p>
          <w:p w14:paraId="27942C2D" w14:textId="77777777" w:rsidR="00CC1324" w:rsidRPr="0054313C" w:rsidRDefault="00CC1324" w:rsidP="00CC1324">
            <w:pPr>
              <w:pStyle w:val="ListParagraph"/>
              <w:ind w:right="-283"/>
              <w:jc w:val="both"/>
              <w:rPr>
                <w:rFonts w:ascii="Arial" w:hAnsi="Arial" w:cs="Arial"/>
                <w:b/>
                <w:sz w:val="20"/>
                <w:lang w:val="en-ZA"/>
              </w:rPr>
            </w:pPr>
          </w:p>
          <w:p w14:paraId="7A6F723E" w14:textId="77777777" w:rsidR="00CC1324" w:rsidRPr="0054313C" w:rsidRDefault="00CC1324" w:rsidP="00CC1324">
            <w:pPr>
              <w:pStyle w:val="ListParagraph"/>
              <w:tabs>
                <w:tab w:val="left" w:pos="720"/>
              </w:tabs>
              <w:spacing w:line="360" w:lineRule="auto"/>
              <w:jc w:val="both"/>
              <w:rPr>
                <w:rFonts w:ascii="Arial" w:hAnsi="Arial" w:cs="Arial"/>
                <w:b/>
                <w:sz w:val="20"/>
                <w:lang w:val="en-ZA"/>
              </w:rPr>
            </w:pPr>
            <w:r w:rsidRPr="0054313C">
              <w:rPr>
                <w:rFonts w:ascii="Arial" w:hAnsi="Arial" w:cs="Arial"/>
                <w:sz w:val="20"/>
                <w:lang w:val="en-ZA"/>
              </w:rPr>
              <w:t>Tenderers are required to submit proposals for the type and number of jobs that will be created and retained in South Africa as a direct result of being awarded a contract.</w:t>
            </w:r>
          </w:p>
          <w:p w14:paraId="207EA1B2" w14:textId="77777777" w:rsidR="00CC1324" w:rsidRPr="0054313C" w:rsidRDefault="00CC1324" w:rsidP="00CC1324">
            <w:pPr>
              <w:tabs>
                <w:tab w:val="left" w:pos="720"/>
              </w:tabs>
              <w:spacing w:line="360" w:lineRule="auto"/>
              <w:ind w:left="360"/>
              <w:jc w:val="both"/>
              <w:rPr>
                <w:rFonts w:ascii="Arial" w:hAnsi="Arial" w:cs="Arial"/>
                <w:bCs/>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C1324" w:rsidRPr="0054313C" w14:paraId="4BB4E99F" w14:textId="77777777" w:rsidTr="006C20FF">
              <w:trPr>
                <w:trHeight w:val="323"/>
              </w:trPr>
              <w:tc>
                <w:tcPr>
                  <w:tcW w:w="3783" w:type="dxa"/>
                  <w:shd w:val="clear" w:color="auto" w:fill="D9D9D9" w:themeFill="background1" w:themeFillShade="D9"/>
                </w:tcPr>
                <w:p w14:paraId="350DF62B" w14:textId="77777777" w:rsidR="00CC1324" w:rsidRPr="0054313C" w:rsidRDefault="00CC1324" w:rsidP="00CC1324">
                  <w:pPr>
                    <w:tabs>
                      <w:tab w:val="left" w:pos="720"/>
                    </w:tabs>
                    <w:spacing w:line="276" w:lineRule="auto"/>
                    <w:jc w:val="center"/>
                    <w:rPr>
                      <w:rFonts w:ascii="Arial" w:hAnsi="Arial" w:cs="Arial"/>
                      <w:b/>
                      <w:sz w:val="20"/>
                    </w:rPr>
                  </w:pPr>
                  <w:r w:rsidRPr="0054313C">
                    <w:rPr>
                      <w:rFonts w:ascii="Arial" w:hAnsi="Arial" w:cs="Arial"/>
                      <w:b/>
                      <w:sz w:val="20"/>
                    </w:rPr>
                    <w:t>Type of Jobs to be created</w:t>
                  </w:r>
                </w:p>
              </w:tc>
              <w:tc>
                <w:tcPr>
                  <w:tcW w:w="3783" w:type="dxa"/>
                  <w:shd w:val="clear" w:color="auto" w:fill="D9D9D9" w:themeFill="background1" w:themeFillShade="D9"/>
                </w:tcPr>
                <w:p w14:paraId="73A9948D" w14:textId="77777777" w:rsidR="00CC1324" w:rsidRPr="0054313C" w:rsidRDefault="00CC1324" w:rsidP="00CC1324">
                  <w:pPr>
                    <w:tabs>
                      <w:tab w:val="left" w:pos="720"/>
                    </w:tabs>
                    <w:spacing w:line="276" w:lineRule="auto"/>
                    <w:jc w:val="center"/>
                    <w:rPr>
                      <w:rFonts w:ascii="Arial" w:hAnsi="Arial" w:cs="Arial"/>
                      <w:b/>
                      <w:sz w:val="20"/>
                    </w:rPr>
                  </w:pPr>
                  <w:r w:rsidRPr="0054313C">
                    <w:rPr>
                      <w:rFonts w:ascii="Arial" w:hAnsi="Arial" w:cs="Arial"/>
                      <w:b/>
                      <w:sz w:val="20"/>
                    </w:rPr>
                    <w:t>Number of Jobs to be created</w:t>
                  </w:r>
                </w:p>
              </w:tc>
            </w:tr>
            <w:tr w:rsidR="00CC1324" w:rsidRPr="0054313C" w14:paraId="7FC1D41F" w14:textId="77777777" w:rsidTr="006C20FF">
              <w:trPr>
                <w:trHeight w:val="340"/>
              </w:trPr>
              <w:tc>
                <w:tcPr>
                  <w:tcW w:w="3783" w:type="dxa"/>
                </w:tcPr>
                <w:p w14:paraId="76735119" w14:textId="77777777" w:rsidR="00CC1324" w:rsidRPr="0054313C" w:rsidRDefault="00CC1324" w:rsidP="00CC1324">
                  <w:pPr>
                    <w:tabs>
                      <w:tab w:val="left" w:pos="720"/>
                    </w:tabs>
                    <w:spacing w:line="276" w:lineRule="auto"/>
                    <w:jc w:val="both"/>
                    <w:rPr>
                      <w:rFonts w:ascii="Arial" w:hAnsi="Arial" w:cs="Arial"/>
                      <w:sz w:val="20"/>
                    </w:rPr>
                  </w:pPr>
                </w:p>
              </w:tc>
              <w:tc>
                <w:tcPr>
                  <w:tcW w:w="3783" w:type="dxa"/>
                </w:tcPr>
                <w:p w14:paraId="40FB3234" w14:textId="77777777" w:rsidR="00CC1324" w:rsidRPr="0054313C" w:rsidRDefault="00CC1324" w:rsidP="00CC1324">
                  <w:pPr>
                    <w:tabs>
                      <w:tab w:val="left" w:pos="720"/>
                    </w:tabs>
                    <w:spacing w:line="276" w:lineRule="auto"/>
                    <w:jc w:val="both"/>
                    <w:rPr>
                      <w:rFonts w:ascii="Arial" w:hAnsi="Arial" w:cs="Arial"/>
                      <w:sz w:val="20"/>
                    </w:rPr>
                  </w:pPr>
                </w:p>
              </w:tc>
            </w:tr>
          </w:tbl>
          <w:p w14:paraId="49F3A44B" w14:textId="77777777" w:rsidR="00CC1324" w:rsidRPr="0054313C" w:rsidRDefault="00CC1324" w:rsidP="00CC1324">
            <w:pPr>
              <w:tabs>
                <w:tab w:val="left" w:pos="720"/>
              </w:tabs>
              <w:spacing w:line="360" w:lineRule="auto"/>
              <w:ind w:left="360"/>
              <w:jc w:val="both"/>
              <w:rPr>
                <w:rFonts w:ascii="Arial" w:hAnsi="Arial" w:cs="Arial"/>
                <w:b/>
                <w:sz w:val="20"/>
                <w:lang w:val="en-ZA"/>
              </w:rPr>
            </w:pPr>
          </w:p>
          <w:p w14:paraId="22F2B4FA" w14:textId="77777777" w:rsidR="00CC1324" w:rsidRPr="0054313C" w:rsidRDefault="00CC1324" w:rsidP="00CC1324">
            <w:pPr>
              <w:tabs>
                <w:tab w:val="left" w:pos="720"/>
              </w:tabs>
              <w:spacing w:line="360" w:lineRule="auto"/>
              <w:ind w:left="360"/>
              <w:jc w:val="both"/>
              <w:rPr>
                <w:rFonts w:ascii="Arial" w:hAnsi="Arial" w:cs="Arial"/>
                <w:b/>
                <w:sz w:val="20"/>
                <w:lang w:val="en-ZA"/>
              </w:rPr>
            </w:pPr>
          </w:p>
          <w:p w14:paraId="5415AB98" w14:textId="77777777" w:rsidR="00CC1324" w:rsidRPr="0054313C" w:rsidRDefault="00CC1324" w:rsidP="00CC1324">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C1324" w:rsidRPr="0054313C" w14:paraId="33F6E25E" w14:textId="77777777" w:rsidTr="006C20FF">
              <w:trPr>
                <w:trHeight w:val="323"/>
              </w:trPr>
              <w:tc>
                <w:tcPr>
                  <w:tcW w:w="3783" w:type="dxa"/>
                  <w:shd w:val="clear" w:color="auto" w:fill="D9D9D9" w:themeFill="background1" w:themeFillShade="D9"/>
                </w:tcPr>
                <w:p w14:paraId="5E64B8B7" w14:textId="77777777" w:rsidR="00CC1324" w:rsidRPr="0054313C" w:rsidRDefault="00CC1324" w:rsidP="00CC1324">
                  <w:pPr>
                    <w:tabs>
                      <w:tab w:val="left" w:pos="720"/>
                    </w:tabs>
                    <w:spacing w:line="276" w:lineRule="auto"/>
                    <w:jc w:val="center"/>
                    <w:rPr>
                      <w:rFonts w:ascii="Arial" w:hAnsi="Arial" w:cs="Arial"/>
                      <w:b/>
                      <w:sz w:val="20"/>
                    </w:rPr>
                  </w:pPr>
                  <w:r w:rsidRPr="0054313C">
                    <w:rPr>
                      <w:rFonts w:ascii="Arial" w:hAnsi="Arial" w:cs="Arial"/>
                      <w:b/>
                      <w:sz w:val="20"/>
                    </w:rPr>
                    <w:t>Type of Jobs to be retained</w:t>
                  </w:r>
                </w:p>
              </w:tc>
              <w:tc>
                <w:tcPr>
                  <w:tcW w:w="3783" w:type="dxa"/>
                  <w:shd w:val="clear" w:color="auto" w:fill="D9D9D9" w:themeFill="background1" w:themeFillShade="D9"/>
                </w:tcPr>
                <w:p w14:paraId="590F1DCB" w14:textId="77777777" w:rsidR="00CC1324" w:rsidRPr="0054313C" w:rsidRDefault="00CC1324" w:rsidP="00CC1324">
                  <w:pPr>
                    <w:tabs>
                      <w:tab w:val="left" w:pos="720"/>
                    </w:tabs>
                    <w:spacing w:line="276" w:lineRule="auto"/>
                    <w:jc w:val="center"/>
                    <w:rPr>
                      <w:rFonts w:ascii="Arial" w:hAnsi="Arial" w:cs="Arial"/>
                      <w:b/>
                      <w:sz w:val="20"/>
                    </w:rPr>
                  </w:pPr>
                  <w:r w:rsidRPr="0054313C">
                    <w:rPr>
                      <w:rFonts w:ascii="Arial" w:hAnsi="Arial" w:cs="Arial"/>
                      <w:b/>
                      <w:sz w:val="20"/>
                    </w:rPr>
                    <w:t>Number of Jobs to be retained</w:t>
                  </w:r>
                </w:p>
              </w:tc>
            </w:tr>
            <w:tr w:rsidR="00CC1324" w:rsidRPr="0054313C" w14:paraId="5FB92A0F" w14:textId="77777777" w:rsidTr="006C20FF">
              <w:trPr>
                <w:trHeight w:val="340"/>
              </w:trPr>
              <w:tc>
                <w:tcPr>
                  <w:tcW w:w="3783" w:type="dxa"/>
                </w:tcPr>
                <w:p w14:paraId="21570006" w14:textId="77777777" w:rsidR="00CC1324" w:rsidRPr="0054313C" w:rsidRDefault="00CC1324" w:rsidP="00CC1324">
                  <w:pPr>
                    <w:tabs>
                      <w:tab w:val="left" w:pos="720"/>
                    </w:tabs>
                    <w:spacing w:line="276" w:lineRule="auto"/>
                    <w:jc w:val="both"/>
                    <w:rPr>
                      <w:rFonts w:ascii="Arial" w:hAnsi="Arial" w:cs="Arial"/>
                      <w:sz w:val="20"/>
                    </w:rPr>
                  </w:pPr>
                </w:p>
              </w:tc>
              <w:tc>
                <w:tcPr>
                  <w:tcW w:w="3783" w:type="dxa"/>
                </w:tcPr>
                <w:p w14:paraId="21A8B1C9" w14:textId="77777777" w:rsidR="00CC1324" w:rsidRPr="0054313C" w:rsidRDefault="00CC1324" w:rsidP="00CC1324">
                  <w:pPr>
                    <w:tabs>
                      <w:tab w:val="left" w:pos="720"/>
                    </w:tabs>
                    <w:spacing w:line="276" w:lineRule="auto"/>
                    <w:jc w:val="both"/>
                    <w:rPr>
                      <w:rFonts w:ascii="Arial" w:hAnsi="Arial" w:cs="Arial"/>
                      <w:sz w:val="20"/>
                    </w:rPr>
                  </w:pPr>
                </w:p>
              </w:tc>
            </w:tr>
          </w:tbl>
          <w:p w14:paraId="5D8F6A92" w14:textId="77777777" w:rsidR="00CC1324" w:rsidRPr="0054313C" w:rsidRDefault="00CC1324" w:rsidP="00CC1324">
            <w:pPr>
              <w:pStyle w:val="ListParagraph"/>
              <w:rPr>
                <w:rFonts w:ascii="Arial" w:hAnsi="Arial" w:cs="Arial"/>
                <w:b/>
                <w:sz w:val="20"/>
                <w:lang w:val="en-ZA"/>
              </w:rPr>
            </w:pPr>
          </w:p>
          <w:p w14:paraId="61F85D2C" w14:textId="77777777" w:rsidR="00CC1324" w:rsidRPr="0054313C" w:rsidRDefault="00CC1324" w:rsidP="00CC1324">
            <w:pPr>
              <w:pStyle w:val="ListParagraph"/>
              <w:rPr>
                <w:rFonts w:ascii="Arial" w:hAnsi="Arial" w:cs="Arial"/>
                <w:b/>
                <w:sz w:val="20"/>
                <w:lang w:val="en-ZA"/>
              </w:rPr>
            </w:pPr>
          </w:p>
          <w:p w14:paraId="101B3DAD" w14:textId="77777777" w:rsidR="00CC1324" w:rsidRPr="0054313C" w:rsidRDefault="00CC1324" w:rsidP="00CC1324">
            <w:pPr>
              <w:pStyle w:val="ListParagraph"/>
              <w:rPr>
                <w:rFonts w:ascii="Arial" w:hAnsi="Arial" w:cs="Arial"/>
                <w:b/>
                <w:sz w:val="20"/>
                <w:lang w:val="en-ZA"/>
              </w:rPr>
            </w:pPr>
          </w:p>
          <w:p w14:paraId="0019BD6A" w14:textId="77777777" w:rsidR="00CC1324" w:rsidRPr="0054313C" w:rsidRDefault="00CC1324" w:rsidP="00CC1324">
            <w:pPr>
              <w:tabs>
                <w:tab w:val="left" w:pos="720"/>
              </w:tabs>
              <w:spacing w:line="276" w:lineRule="auto"/>
              <w:jc w:val="both"/>
              <w:rPr>
                <w:rFonts w:ascii="Arial" w:hAnsi="Arial" w:cs="Arial"/>
                <w:sz w:val="20"/>
                <w:lang w:val="en-ZA"/>
              </w:rPr>
            </w:pPr>
          </w:p>
          <w:p w14:paraId="76843B62" w14:textId="77777777" w:rsidR="00CC1324" w:rsidRPr="0054313C" w:rsidRDefault="00CC1324" w:rsidP="00CC1324">
            <w:pPr>
              <w:pStyle w:val="ListParagraph"/>
              <w:numPr>
                <w:ilvl w:val="0"/>
                <w:numId w:val="10"/>
              </w:numPr>
              <w:tabs>
                <w:tab w:val="left" w:pos="720"/>
              </w:tabs>
              <w:jc w:val="both"/>
              <w:rPr>
                <w:rFonts w:ascii="Arial" w:hAnsi="Arial" w:cs="Arial"/>
                <w:b/>
                <w:bCs/>
                <w:sz w:val="20"/>
                <w:lang w:val="en-ZA"/>
              </w:rPr>
            </w:pPr>
            <w:r w:rsidRPr="0054313C">
              <w:rPr>
                <w:rFonts w:ascii="Arial" w:hAnsi="Arial" w:cs="Arial"/>
                <w:b/>
                <w:bCs/>
                <w:sz w:val="20"/>
                <w:lang w:val="en-ZA"/>
              </w:rPr>
              <w:t>Skills Development</w:t>
            </w:r>
          </w:p>
          <w:p w14:paraId="49E7216D" w14:textId="77777777" w:rsidR="00CC1324" w:rsidRPr="0054313C" w:rsidRDefault="00CC1324" w:rsidP="00CC1324">
            <w:pPr>
              <w:pStyle w:val="ListParagraph"/>
              <w:tabs>
                <w:tab w:val="left" w:pos="720"/>
              </w:tabs>
              <w:jc w:val="both"/>
              <w:rPr>
                <w:rFonts w:ascii="Arial" w:hAnsi="Arial" w:cs="Arial"/>
                <w:sz w:val="20"/>
                <w:lang w:val="en-ZA"/>
              </w:rPr>
            </w:pPr>
          </w:p>
          <w:p w14:paraId="42FA3FC5" w14:textId="77777777" w:rsidR="00CC1324" w:rsidRPr="0054313C" w:rsidRDefault="00CC1324" w:rsidP="00CC1324">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156D34FF" w14:textId="77777777" w:rsidR="00CC1324" w:rsidRPr="0054313C" w:rsidRDefault="00CC1324" w:rsidP="00CC1324">
            <w:pPr>
              <w:tabs>
                <w:tab w:val="left" w:pos="720"/>
              </w:tabs>
              <w:spacing w:line="360" w:lineRule="auto"/>
              <w:jc w:val="both"/>
              <w:rPr>
                <w:rFonts w:ascii="Arial" w:hAnsi="Arial" w:cs="Arial"/>
                <w:sz w:val="20"/>
                <w:lang w:val="en-ZA"/>
              </w:rPr>
            </w:pPr>
          </w:p>
          <w:p w14:paraId="1996D89B"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4B006E1A"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6A8CB355"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32C8C68E"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5B760708"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59F8A8C1"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336ECEB4"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3CFC9A05"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41AD885C"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39550365"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0D700898"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1E066CF6"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778EE69D"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40321FA7"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5DF52501"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20998150"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3C02ADC2"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4DD0C132"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5C906D36"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2BBA867D"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2DC62308"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253AB789"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589FBD23"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0327D4AA"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2A163548"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3106D57D"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6E38EE14"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19127505"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74200F1D"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0CF0C49F"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0BB3CF9F"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0C30C1A9"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45821B07"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lastRenderedPageBreak/>
              <w:t xml:space="preserve">Service operations practitioners </w:t>
            </w:r>
          </w:p>
          <w:p w14:paraId="2B53C2F2"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476A8ADE"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5D5E2F07"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013F0B38"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6A9E177E"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4DF826CC"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practice management </w:t>
            </w:r>
          </w:p>
          <w:p w14:paraId="43F5463D" w14:textId="77777777" w:rsidR="00CC1324" w:rsidRPr="0054313C" w:rsidRDefault="00CC1324" w:rsidP="00CC1324">
            <w:pPr>
              <w:pStyle w:val="ListParagraph"/>
              <w:numPr>
                <w:ilvl w:val="0"/>
                <w:numId w:val="12"/>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33945BBE" w14:textId="77777777" w:rsidR="00CC1324" w:rsidRPr="0054313C" w:rsidRDefault="00CC1324" w:rsidP="00CC1324">
            <w:pPr>
              <w:tabs>
                <w:tab w:val="left" w:pos="720"/>
              </w:tabs>
              <w:jc w:val="both"/>
              <w:rPr>
                <w:rFonts w:ascii="Arial" w:hAnsi="Arial" w:cs="Arial"/>
                <w:sz w:val="20"/>
                <w:lang w:val="en-ZA"/>
              </w:rPr>
            </w:pPr>
          </w:p>
          <w:p w14:paraId="5D9049BC" w14:textId="77777777" w:rsidR="00CC1324" w:rsidRPr="0054313C" w:rsidRDefault="00CC1324" w:rsidP="00CC1324">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0369969B" w14:textId="77777777" w:rsidR="00CC1324" w:rsidRPr="0054313C" w:rsidRDefault="00CC1324" w:rsidP="00CC1324">
            <w:pPr>
              <w:pStyle w:val="ListParagraph"/>
              <w:tabs>
                <w:tab w:val="left" w:pos="720"/>
              </w:tabs>
              <w:spacing w:line="276" w:lineRule="auto"/>
              <w:jc w:val="both"/>
              <w:rPr>
                <w:rFonts w:ascii="Arial" w:hAnsi="Arial" w:cs="Arial"/>
                <w:bCs/>
                <w:sz w:val="20"/>
                <w:lang w:val="en-ZA"/>
              </w:rPr>
            </w:pPr>
          </w:p>
          <w:p w14:paraId="04C35B9B" w14:textId="77777777" w:rsidR="00CC1324" w:rsidRPr="0054313C" w:rsidRDefault="00CC1324" w:rsidP="00CC1324">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559DEBA0" w14:textId="77777777" w:rsidR="00CC1324" w:rsidRPr="0054313C" w:rsidRDefault="00CC1324" w:rsidP="00CC1324">
            <w:pPr>
              <w:tabs>
                <w:tab w:val="left" w:pos="720"/>
              </w:tabs>
              <w:spacing w:line="276" w:lineRule="auto"/>
              <w:ind w:left="720"/>
              <w:jc w:val="both"/>
              <w:rPr>
                <w:rFonts w:ascii="Arial" w:hAnsi="Arial" w:cs="Arial"/>
                <w:sz w:val="20"/>
              </w:rPr>
            </w:pPr>
          </w:p>
          <w:p w14:paraId="26653A4F" w14:textId="77777777" w:rsidR="00CC1324" w:rsidRPr="0054313C" w:rsidRDefault="00CC1324" w:rsidP="00CC1324">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147AB2BB" w14:textId="77777777" w:rsidR="00CC1324" w:rsidRPr="0054313C" w:rsidRDefault="00CC1324" w:rsidP="00CC1324">
            <w:pPr>
              <w:tabs>
                <w:tab w:val="left" w:pos="720"/>
              </w:tabs>
              <w:spacing w:line="360" w:lineRule="auto"/>
              <w:jc w:val="both"/>
              <w:rPr>
                <w:rFonts w:ascii="Arial" w:hAnsi="Arial" w:cs="Arial"/>
                <w:sz w:val="20"/>
              </w:rPr>
            </w:pPr>
          </w:p>
          <w:p w14:paraId="42277518" w14:textId="77777777" w:rsidR="00CC1324" w:rsidRPr="0054313C" w:rsidRDefault="00CC1324" w:rsidP="00CC1324">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7EC3E64B" w14:textId="77777777" w:rsidR="00CC1324" w:rsidRPr="0054313C" w:rsidRDefault="00CC1324" w:rsidP="00CC1324">
            <w:pPr>
              <w:tabs>
                <w:tab w:val="left" w:pos="720"/>
              </w:tabs>
              <w:jc w:val="both"/>
              <w:rPr>
                <w:rFonts w:ascii="Arial" w:hAnsi="Arial" w:cs="Arial"/>
                <w:sz w:val="20"/>
                <w:lang w:val="en-ZA"/>
              </w:rPr>
            </w:pPr>
          </w:p>
          <w:p w14:paraId="3C66BD83" w14:textId="77777777" w:rsidR="00CC1324" w:rsidRPr="0054313C" w:rsidRDefault="00CC1324" w:rsidP="00CC1324">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4C812494" w14:textId="77777777" w:rsidR="00CC1324" w:rsidRPr="0054313C" w:rsidRDefault="00CC1324" w:rsidP="00CC1324">
            <w:pPr>
              <w:jc w:val="both"/>
              <w:rPr>
                <w:rFonts w:ascii="Arial" w:eastAsiaTheme="minorHAnsi" w:hAnsi="Arial" w:cs="Arial"/>
                <w:sz w:val="20"/>
              </w:rPr>
            </w:pPr>
          </w:p>
          <w:p w14:paraId="3044BD74" w14:textId="11652161" w:rsidR="00CC1324" w:rsidRPr="00465562" w:rsidRDefault="00CC1324" w:rsidP="00CC1324">
            <w:pPr>
              <w:spacing w:after="200" w:line="360" w:lineRule="auto"/>
              <w:contextualSpacing/>
              <w:jc w:val="both"/>
              <w:rPr>
                <w:rFonts w:ascii="Arial" w:hAnsi="Arial" w:cs="Arial"/>
                <w:sz w:val="22"/>
                <w:szCs w:val="22"/>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0"/>
    </w:tbl>
    <w:p w14:paraId="17EA7FF5" w14:textId="77777777" w:rsidR="00DF7DD9" w:rsidRPr="007E05A7" w:rsidRDefault="00DF7DD9" w:rsidP="00DF7DD9">
      <w:pPr>
        <w:spacing w:after="120" w:line="276" w:lineRule="auto"/>
        <w:rPr>
          <w:rFonts w:ascii="Arial" w:hAnsi="Arial" w:cs="Arial"/>
          <w:b/>
          <w:sz w:val="16"/>
          <w:szCs w:val="16"/>
        </w:rPr>
      </w:pPr>
    </w:p>
    <w:p w14:paraId="1A3B938D" w14:textId="77777777" w:rsidR="00DF7DD9" w:rsidRPr="00461D16" w:rsidRDefault="00DF7DD9" w:rsidP="00DF7DD9">
      <w:pPr>
        <w:spacing w:after="120" w:line="276" w:lineRule="auto"/>
        <w:ind w:right="-283"/>
        <w:jc w:val="both"/>
        <w:rPr>
          <w:rFonts w:ascii="Arial" w:hAnsi="Arial" w:cs="Arial"/>
          <w:bCs/>
          <w:sz w:val="28"/>
          <w:szCs w:val="28"/>
        </w:rPr>
      </w:pPr>
      <w:r w:rsidRPr="00461D1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465562" w:rsidRPr="007C175A" w14:paraId="11C296A2" w14:textId="77777777" w:rsidTr="00461D16">
        <w:trPr>
          <w:trHeight w:val="723"/>
        </w:trPr>
        <w:tc>
          <w:tcPr>
            <w:tcW w:w="9050" w:type="dxa"/>
          </w:tcPr>
          <w:p w14:paraId="3A0488F9" w14:textId="4C9A3042" w:rsidR="00465562" w:rsidRPr="00CC1324" w:rsidRDefault="00465562" w:rsidP="00465562">
            <w:pPr>
              <w:spacing w:line="360" w:lineRule="auto"/>
              <w:jc w:val="both"/>
              <w:rPr>
                <w:rFonts w:ascii="Arial" w:hAnsi="Arial" w:cs="Arial"/>
                <w:sz w:val="20"/>
              </w:rPr>
            </w:pPr>
            <w:r w:rsidRPr="00CC1324">
              <w:rPr>
                <w:rFonts w:ascii="Arial" w:hAnsi="Arial" w:cs="Arial"/>
                <w:sz w:val="20"/>
              </w:rPr>
              <w:t xml:space="preserve">As security for the fulfilment of SDL&amp;I obligations, Eskom will apply a retention of 2.5% on every invoice amount (excluding VAT) for failure to submit SDL&amp;I performance reports every </w:t>
            </w:r>
            <w:r w:rsidR="00CC1324">
              <w:rPr>
                <w:rFonts w:ascii="Arial" w:hAnsi="Arial" w:cs="Arial"/>
                <w:sz w:val="20"/>
              </w:rPr>
              <w:t>six months</w:t>
            </w:r>
            <w:r w:rsidRPr="00CC1324">
              <w:rPr>
                <w:rFonts w:ascii="Arial" w:hAnsi="Arial" w:cs="Arial"/>
                <w:sz w:val="20"/>
              </w:rPr>
              <w:t>; or failure to meet the SDL&amp;I obligations in this contract. The retained amounts shall only be released to the contractor upon:</w:t>
            </w:r>
          </w:p>
          <w:p w14:paraId="5B0786AE" w14:textId="04A46B6A" w:rsidR="00465562" w:rsidRPr="00CC1324" w:rsidRDefault="00465562" w:rsidP="00465562">
            <w:pPr>
              <w:pStyle w:val="ListParagraph"/>
              <w:numPr>
                <w:ilvl w:val="0"/>
                <w:numId w:val="8"/>
              </w:numPr>
              <w:spacing w:line="360" w:lineRule="auto"/>
              <w:jc w:val="both"/>
              <w:rPr>
                <w:rFonts w:ascii="Arial" w:hAnsi="Arial" w:cs="Arial"/>
                <w:sz w:val="20"/>
              </w:rPr>
            </w:pPr>
            <w:r w:rsidRPr="00CC1324">
              <w:rPr>
                <w:rFonts w:ascii="Arial" w:hAnsi="Arial" w:cs="Arial"/>
                <w:sz w:val="20"/>
              </w:rPr>
              <w:t>Tendere</w:t>
            </w:r>
            <w:r w:rsidR="00CC1324">
              <w:rPr>
                <w:rFonts w:ascii="Arial" w:hAnsi="Arial" w:cs="Arial"/>
                <w:sz w:val="20"/>
              </w:rPr>
              <w:t>rs</w:t>
            </w:r>
            <w:r w:rsidRPr="00CC1324">
              <w:rPr>
                <w:rFonts w:ascii="Arial" w:hAnsi="Arial" w:cs="Arial"/>
                <w:sz w:val="20"/>
              </w:rPr>
              <w:t xml:space="preserve"> will be expected to submit their performance reports on a </w:t>
            </w:r>
            <w:r w:rsidR="00CC1324">
              <w:rPr>
                <w:rFonts w:ascii="Arial" w:hAnsi="Arial" w:cs="Arial"/>
                <w:sz w:val="20"/>
              </w:rPr>
              <w:t>bia</w:t>
            </w:r>
            <w:r w:rsidR="00671903" w:rsidRPr="00CC1324">
              <w:rPr>
                <w:rFonts w:ascii="Arial" w:hAnsi="Arial" w:cs="Arial"/>
                <w:sz w:val="20"/>
              </w:rPr>
              <w:t>nn</w:t>
            </w:r>
            <w:r w:rsidR="00CC1324">
              <w:rPr>
                <w:rFonts w:ascii="Arial" w:hAnsi="Arial" w:cs="Arial"/>
                <w:sz w:val="20"/>
              </w:rPr>
              <w:t>u</w:t>
            </w:r>
            <w:r w:rsidR="00671903" w:rsidRPr="00CC1324">
              <w:rPr>
                <w:rFonts w:ascii="Arial" w:hAnsi="Arial" w:cs="Arial"/>
                <w:sz w:val="20"/>
              </w:rPr>
              <w:t>al</w:t>
            </w:r>
            <w:r w:rsidRPr="00CC1324">
              <w:rPr>
                <w:rFonts w:ascii="Arial" w:hAnsi="Arial" w:cs="Arial"/>
                <w:sz w:val="20"/>
              </w:rPr>
              <w:t xml:space="preserve"> basis towards SDL&amp;I obligations.</w:t>
            </w:r>
          </w:p>
          <w:p w14:paraId="43DA697E" w14:textId="77777777" w:rsidR="00465562" w:rsidRPr="00CC1324" w:rsidRDefault="00465562" w:rsidP="00465562">
            <w:pPr>
              <w:pStyle w:val="ListParagraph"/>
              <w:numPr>
                <w:ilvl w:val="0"/>
                <w:numId w:val="8"/>
              </w:numPr>
              <w:spacing w:line="360" w:lineRule="auto"/>
              <w:jc w:val="both"/>
              <w:rPr>
                <w:rFonts w:ascii="Arial" w:hAnsi="Arial" w:cs="Arial"/>
                <w:sz w:val="20"/>
              </w:rPr>
            </w:pPr>
            <w:r w:rsidRPr="00CC1324">
              <w:rPr>
                <w:rFonts w:ascii="Arial" w:hAnsi="Arial" w:cs="Arial"/>
                <w:sz w:val="20"/>
              </w:rPr>
              <w:t>Should the report yield non-compliance results, Eskom will retain 2.5% of the invoice amount.</w:t>
            </w:r>
          </w:p>
          <w:p w14:paraId="3B71A48D" w14:textId="2D0DE7A8" w:rsidR="00465562" w:rsidRPr="00CC1324" w:rsidRDefault="00465562" w:rsidP="00465562">
            <w:pPr>
              <w:pStyle w:val="ListParagraph"/>
              <w:numPr>
                <w:ilvl w:val="0"/>
                <w:numId w:val="8"/>
              </w:numPr>
              <w:spacing w:line="360" w:lineRule="auto"/>
              <w:jc w:val="both"/>
              <w:rPr>
                <w:rFonts w:ascii="Arial" w:eastAsia="Calibri" w:hAnsi="Arial" w:cs="Arial"/>
                <w:sz w:val="20"/>
                <w:lang w:val="en-ZA"/>
              </w:rPr>
            </w:pPr>
            <w:r w:rsidRPr="00CC1324">
              <w:rPr>
                <w:rFonts w:ascii="Arial" w:hAnsi="Arial" w:cs="Arial"/>
                <w:sz w:val="20"/>
              </w:rPr>
              <w:lastRenderedPageBreak/>
              <w:t>Should the compliance results be positive, Eskom will release the retained funds to the tenderer.</w:t>
            </w:r>
          </w:p>
        </w:tc>
      </w:tr>
    </w:tbl>
    <w:p w14:paraId="4F71BD53" w14:textId="77777777" w:rsidR="005F42D4" w:rsidRDefault="005F42D4" w:rsidP="00DF7DD9">
      <w:pPr>
        <w:spacing w:after="200" w:line="276" w:lineRule="auto"/>
        <w:rPr>
          <w:rFonts w:ascii="Arial" w:hAnsi="Arial" w:cs="Arial"/>
          <w:b/>
          <w:sz w:val="16"/>
          <w:szCs w:val="16"/>
        </w:rPr>
      </w:pPr>
    </w:p>
    <w:p w14:paraId="79ED7764" w14:textId="77777777" w:rsidR="00DF7DD9" w:rsidRPr="00461D16" w:rsidRDefault="00DF7DD9" w:rsidP="00DF7DD9">
      <w:pPr>
        <w:spacing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CC1324" w:rsidRDefault="00DF7DD9" w:rsidP="00CC1324">
            <w:pPr>
              <w:pStyle w:val="ListParagraph"/>
              <w:numPr>
                <w:ilvl w:val="0"/>
                <w:numId w:val="4"/>
              </w:numPr>
              <w:spacing w:after="200" w:line="360" w:lineRule="auto"/>
              <w:ind w:left="314" w:hanging="218"/>
              <w:jc w:val="both"/>
              <w:rPr>
                <w:rFonts w:ascii="Arial" w:eastAsia="Calibri" w:hAnsi="Arial" w:cs="Arial"/>
                <w:sz w:val="20"/>
                <w:lang w:val="en-GB"/>
              </w:rPr>
            </w:pPr>
            <w:r w:rsidRPr="00CC1324">
              <w:rPr>
                <w:rFonts w:ascii="Arial" w:eastAsia="Calibri" w:hAnsi="Arial" w:cs="Arial"/>
                <w:sz w:val="20"/>
                <w:lang w:val="en-GB"/>
              </w:rPr>
              <w:t>The suppliers shall on a quarterly basis submit a report to Eskom in accordance with Data Collection Template on their compliance with the SDL&amp;I obligations described above.</w:t>
            </w:r>
          </w:p>
          <w:p w14:paraId="136EDADB" w14:textId="77777777" w:rsidR="00DF7DD9" w:rsidRPr="00CC1324" w:rsidRDefault="00DF7DD9" w:rsidP="00CC1324">
            <w:pPr>
              <w:pStyle w:val="ListParagraph"/>
              <w:numPr>
                <w:ilvl w:val="0"/>
                <w:numId w:val="4"/>
              </w:numPr>
              <w:spacing w:after="200" w:line="360" w:lineRule="auto"/>
              <w:ind w:left="314" w:hanging="218"/>
              <w:jc w:val="both"/>
              <w:rPr>
                <w:rFonts w:ascii="Arial" w:eastAsia="Calibri" w:hAnsi="Arial" w:cs="Arial"/>
                <w:sz w:val="20"/>
                <w:lang w:val="en-GB"/>
              </w:rPr>
            </w:pPr>
            <w:r w:rsidRPr="00CC1324">
              <w:rPr>
                <w:rFonts w:ascii="Arial" w:eastAsia="Calibri" w:hAnsi="Arial" w:cs="Arial"/>
                <w:sz w:val="20"/>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CC1324" w:rsidRDefault="00DF7DD9" w:rsidP="00CC1324">
            <w:pPr>
              <w:pStyle w:val="ListParagraph"/>
              <w:numPr>
                <w:ilvl w:val="0"/>
                <w:numId w:val="4"/>
              </w:numPr>
              <w:spacing w:after="200" w:line="360" w:lineRule="auto"/>
              <w:ind w:left="314" w:hanging="218"/>
              <w:jc w:val="both"/>
              <w:rPr>
                <w:rFonts w:ascii="Arial" w:eastAsia="Calibri" w:hAnsi="Arial" w:cs="Arial"/>
                <w:sz w:val="20"/>
                <w:lang w:val="en-ZA"/>
              </w:rPr>
            </w:pPr>
            <w:r w:rsidRPr="00CC1324">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CC1324" w:rsidRDefault="00DF7DD9" w:rsidP="00CC1324">
            <w:pPr>
              <w:pStyle w:val="ListParagraph"/>
              <w:tabs>
                <w:tab w:val="left" w:pos="720"/>
              </w:tabs>
              <w:spacing w:line="360" w:lineRule="auto"/>
              <w:ind w:left="314"/>
              <w:jc w:val="both"/>
              <w:rPr>
                <w:rFonts w:ascii="Arial" w:eastAsia="Calibri" w:hAnsi="Arial" w:cs="Arial"/>
                <w:sz w:val="20"/>
                <w:lang w:val="en-ZA"/>
              </w:rPr>
            </w:pPr>
          </w:p>
        </w:tc>
      </w:tr>
    </w:tbl>
    <w:p w14:paraId="4A740EC2" w14:textId="77777777" w:rsidR="00DF7DD9" w:rsidRPr="007E05A7" w:rsidRDefault="00DF7DD9" w:rsidP="00DF7DD9">
      <w:pPr>
        <w:spacing w:after="120" w:line="276" w:lineRule="auto"/>
        <w:rPr>
          <w:rFonts w:ascii="Arial" w:hAnsi="Arial" w:cs="Arial"/>
          <w:bCs/>
          <w:sz w:val="16"/>
          <w:szCs w:val="16"/>
        </w:rPr>
      </w:pPr>
    </w:p>
    <w:p w14:paraId="6167040A" w14:textId="77777777" w:rsidR="00DF7DD9" w:rsidRPr="00461D16" w:rsidRDefault="00DF7DD9" w:rsidP="00DF7DD9">
      <w:pPr>
        <w:spacing w:before="120" w:after="120" w:line="276" w:lineRule="auto"/>
        <w:rPr>
          <w:rFonts w:ascii="Arial" w:hAnsi="Arial" w:cs="Arial"/>
          <w:b/>
          <w:sz w:val="28"/>
          <w:szCs w:val="28"/>
        </w:rPr>
      </w:pPr>
      <w:r w:rsidRPr="00461D16">
        <w:rPr>
          <w:rFonts w:ascii="Arial" w:hAnsi="Arial" w:cs="Arial"/>
          <w:b/>
          <w:sz w:val="28"/>
          <w:szCs w:val="28"/>
        </w:rPr>
        <w:t>Section 7: General Information on Validity of Sworn Affidavits</w:t>
      </w:r>
    </w:p>
    <w:tbl>
      <w:tblPr>
        <w:tblStyle w:val="TableGrid"/>
        <w:tblW w:w="0" w:type="auto"/>
        <w:tblLook w:val="04A0" w:firstRow="1" w:lastRow="0" w:firstColumn="1" w:lastColumn="0" w:noHBand="0" w:noVBand="1"/>
      </w:tblPr>
      <w:tblGrid>
        <w:gridCol w:w="9016"/>
      </w:tblGrid>
      <w:tr w:rsidR="00DF7DD9" w:rsidRPr="00726078" w14:paraId="142DAEF6" w14:textId="77777777" w:rsidTr="00461D16">
        <w:tc>
          <w:tcPr>
            <w:tcW w:w="9016"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461D16">
        <w:tc>
          <w:tcPr>
            <w:tcW w:w="9016"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DF9076F" w14:textId="259EE154" w:rsidR="00DF7DD9" w:rsidRDefault="00DF7DD9" w:rsidP="00825E5F">
      <w:pPr>
        <w:pBdr>
          <w:bottom w:val="single" w:sz="12" w:space="0" w:color="auto"/>
        </w:pBdr>
        <w:tabs>
          <w:tab w:val="left" w:pos="720"/>
        </w:tabs>
        <w:jc w:val="both"/>
        <w:rPr>
          <w:rFonts w:ascii="Arial" w:hAnsi="Arial" w:cs="Arial"/>
          <w:b/>
          <w:sz w:val="16"/>
          <w:szCs w:val="16"/>
        </w:rPr>
      </w:pPr>
    </w:p>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324D94">
                  <w:pPr>
                    <w:tabs>
                      <w:tab w:val="left" w:pos="720"/>
                    </w:tabs>
                    <w:jc w:val="both"/>
                    <w:rPr>
                      <w:rFonts w:ascii="Arial" w:hAnsi="Arial" w:cs="Arial"/>
                      <w:sz w:val="20"/>
                    </w:rPr>
                  </w:pPr>
                </w:p>
                <w:p w14:paraId="15BDBE6C"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2B3F01BD" w14:textId="77777777" w:rsidR="00324D94" w:rsidRDefault="00324D94" w:rsidP="00324D94">
                  <w:pPr>
                    <w:tabs>
                      <w:tab w:val="left" w:pos="720"/>
                    </w:tabs>
                    <w:jc w:val="both"/>
                    <w:rPr>
                      <w:rFonts w:ascii="Arial" w:hAnsi="Arial" w:cs="Arial"/>
                      <w:sz w:val="20"/>
                    </w:rPr>
                  </w:pPr>
                </w:p>
              </w:tc>
              <w:tc>
                <w:tcPr>
                  <w:tcW w:w="4508" w:type="dxa"/>
                </w:tcPr>
                <w:p w14:paraId="2B327499" w14:textId="77777777" w:rsidR="00324D94" w:rsidRDefault="00324D94" w:rsidP="00324D94">
                  <w:pPr>
                    <w:tabs>
                      <w:tab w:val="left" w:pos="720"/>
                    </w:tabs>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324D94">
                  <w:pPr>
                    <w:tabs>
                      <w:tab w:val="left" w:pos="720"/>
                    </w:tabs>
                    <w:jc w:val="both"/>
                    <w:rPr>
                      <w:rFonts w:ascii="Arial" w:hAnsi="Arial" w:cs="Arial"/>
                      <w:sz w:val="20"/>
                    </w:rPr>
                  </w:pPr>
                </w:p>
                <w:p w14:paraId="65EA8287"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709E5852" w14:textId="77777777" w:rsidR="00324D94" w:rsidRDefault="00324D94" w:rsidP="00324D94">
                  <w:pPr>
                    <w:tabs>
                      <w:tab w:val="left" w:pos="720"/>
                    </w:tabs>
                    <w:jc w:val="both"/>
                    <w:rPr>
                      <w:rFonts w:ascii="Arial" w:hAnsi="Arial" w:cs="Arial"/>
                      <w:sz w:val="20"/>
                    </w:rPr>
                  </w:pPr>
                </w:p>
                <w:p w14:paraId="05AF357B"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324D94">
                  <w:pPr>
                    <w:tabs>
                      <w:tab w:val="left" w:pos="720"/>
                    </w:tabs>
                    <w:jc w:val="both"/>
                    <w:rPr>
                      <w:rFonts w:ascii="Arial" w:hAnsi="Arial" w:cs="Arial"/>
                      <w:sz w:val="20"/>
                    </w:rPr>
                  </w:pPr>
                </w:p>
              </w:tc>
              <w:tc>
                <w:tcPr>
                  <w:tcW w:w="4508" w:type="dxa"/>
                </w:tcPr>
                <w:p w14:paraId="72BACF8F" w14:textId="77777777" w:rsidR="00324D94" w:rsidRDefault="00324D94" w:rsidP="00324D94">
                  <w:pPr>
                    <w:tabs>
                      <w:tab w:val="left" w:pos="720"/>
                    </w:tabs>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324D94">
                  <w:pPr>
                    <w:tabs>
                      <w:tab w:val="left" w:pos="720"/>
                    </w:tabs>
                    <w:jc w:val="both"/>
                    <w:rPr>
                      <w:rFonts w:ascii="Arial" w:hAnsi="Arial" w:cs="Arial"/>
                      <w:sz w:val="20"/>
                    </w:rPr>
                  </w:pPr>
                </w:p>
                <w:p w14:paraId="7303CFA5"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1FC07B5D" w14:textId="77777777" w:rsidR="00637D14" w:rsidRDefault="00637D14" w:rsidP="006E4F88">
            <w:pPr>
              <w:tabs>
                <w:tab w:val="left" w:pos="720"/>
              </w:tabs>
              <w:jc w:val="both"/>
              <w:rPr>
                <w:rFonts w:ascii="Arial" w:hAnsi="Arial" w:cs="Arial"/>
                <w:sz w:val="20"/>
              </w:rPr>
            </w:pPr>
          </w:p>
        </w:tc>
        <w:tc>
          <w:tcPr>
            <w:tcW w:w="222" w:type="dxa"/>
          </w:tcPr>
          <w:p w14:paraId="3649643F" w14:textId="77777777" w:rsidR="00637D14" w:rsidRDefault="00637D14" w:rsidP="00637D14">
            <w:pPr>
              <w:tabs>
                <w:tab w:val="left" w:pos="720"/>
              </w:tabs>
              <w:jc w:val="both"/>
              <w:rPr>
                <w:rFonts w:ascii="Arial" w:hAnsi="Arial" w:cs="Arial"/>
                <w:sz w:val="20"/>
              </w:rPr>
            </w:pPr>
          </w:p>
        </w:tc>
        <w:tc>
          <w:tcPr>
            <w:tcW w:w="222" w:type="dxa"/>
          </w:tcPr>
          <w:p w14:paraId="389786F9" w14:textId="77777777" w:rsidR="00637D14" w:rsidRDefault="00637D14" w:rsidP="00304117">
            <w:pPr>
              <w:tabs>
                <w:tab w:val="left" w:pos="720"/>
              </w:tabs>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DD55" w14:textId="77777777" w:rsidR="005A6B56" w:rsidRDefault="005A6B56" w:rsidP="00201A98">
      <w:r>
        <w:separator/>
      </w:r>
    </w:p>
  </w:endnote>
  <w:endnote w:type="continuationSeparator" w:id="0">
    <w:p w14:paraId="3A2BF188" w14:textId="77777777" w:rsidR="005A6B56" w:rsidRDefault="005A6B5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F722" w14:textId="77777777" w:rsidR="005A6B56" w:rsidRDefault="005A6B56" w:rsidP="00201A98">
      <w:r>
        <w:separator/>
      </w:r>
    </w:p>
  </w:footnote>
  <w:footnote w:type="continuationSeparator" w:id="0">
    <w:p w14:paraId="65FF84F2" w14:textId="77777777" w:rsidR="005A6B56" w:rsidRDefault="005A6B5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2407AC"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2154263"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360" w:hanging="360"/>
      </w:pPr>
      <w:rPr>
        <w:rFonts w:hint="default"/>
        <w:color w:val="auto"/>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0"/>
  </w:num>
  <w:num w:numId="4" w16cid:durableId="356195997">
    <w:abstractNumId w:val="5"/>
  </w:num>
  <w:num w:numId="5" w16cid:durableId="1884098463">
    <w:abstractNumId w:val="1"/>
  </w:num>
  <w:num w:numId="6" w16cid:durableId="189730281">
    <w:abstractNumId w:val="12"/>
  </w:num>
  <w:num w:numId="7" w16cid:durableId="733353706">
    <w:abstractNumId w:val="0"/>
  </w:num>
  <w:num w:numId="8" w16cid:durableId="1979189320">
    <w:abstractNumId w:val="11"/>
  </w:num>
  <w:num w:numId="9" w16cid:durableId="498424033">
    <w:abstractNumId w:val="7"/>
  </w:num>
  <w:num w:numId="10" w16cid:durableId="1867668792">
    <w:abstractNumId w:val="9"/>
  </w:num>
  <w:num w:numId="11" w16cid:durableId="1727996007">
    <w:abstractNumId w:val="8"/>
  </w:num>
  <w:num w:numId="12" w16cid:durableId="1593734665">
    <w:abstractNumId w:val="4"/>
  </w:num>
  <w:num w:numId="13" w16cid:durableId="136401620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87ACE"/>
    <w:rsid w:val="0009108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4EBC"/>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407AC"/>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6589"/>
    <w:rsid w:val="00317372"/>
    <w:rsid w:val="00324D94"/>
    <w:rsid w:val="0032593D"/>
    <w:rsid w:val="00325D2C"/>
    <w:rsid w:val="003317CA"/>
    <w:rsid w:val="00332369"/>
    <w:rsid w:val="00332F05"/>
    <w:rsid w:val="00335572"/>
    <w:rsid w:val="003363BE"/>
    <w:rsid w:val="00336747"/>
    <w:rsid w:val="0034287B"/>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C07F4"/>
    <w:rsid w:val="003D48B8"/>
    <w:rsid w:val="003D66FA"/>
    <w:rsid w:val="003D78F9"/>
    <w:rsid w:val="003E052A"/>
    <w:rsid w:val="003E4D3F"/>
    <w:rsid w:val="003F020F"/>
    <w:rsid w:val="003F2387"/>
    <w:rsid w:val="003F3E07"/>
    <w:rsid w:val="003F59CF"/>
    <w:rsid w:val="003F7B1E"/>
    <w:rsid w:val="0040121D"/>
    <w:rsid w:val="00404772"/>
    <w:rsid w:val="004213A7"/>
    <w:rsid w:val="004251A4"/>
    <w:rsid w:val="004364AE"/>
    <w:rsid w:val="00454663"/>
    <w:rsid w:val="00457274"/>
    <w:rsid w:val="00460577"/>
    <w:rsid w:val="00465562"/>
    <w:rsid w:val="0046680A"/>
    <w:rsid w:val="00470385"/>
    <w:rsid w:val="004705FF"/>
    <w:rsid w:val="00470A92"/>
    <w:rsid w:val="004857A1"/>
    <w:rsid w:val="004954EB"/>
    <w:rsid w:val="004B6474"/>
    <w:rsid w:val="004C0AED"/>
    <w:rsid w:val="004C3176"/>
    <w:rsid w:val="004C38A6"/>
    <w:rsid w:val="004C670E"/>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3AC1"/>
    <w:rsid w:val="00565854"/>
    <w:rsid w:val="005765A0"/>
    <w:rsid w:val="00586532"/>
    <w:rsid w:val="005908DD"/>
    <w:rsid w:val="0059543E"/>
    <w:rsid w:val="00596B3A"/>
    <w:rsid w:val="005A19D5"/>
    <w:rsid w:val="005A39B7"/>
    <w:rsid w:val="005A62CE"/>
    <w:rsid w:val="005A63F7"/>
    <w:rsid w:val="005A6B56"/>
    <w:rsid w:val="005B0B20"/>
    <w:rsid w:val="005B168F"/>
    <w:rsid w:val="005B5A73"/>
    <w:rsid w:val="005C1EEA"/>
    <w:rsid w:val="005C2E51"/>
    <w:rsid w:val="005D7F0D"/>
    <w:rsid w:val="005E0073"/>
    <w:rsid w:val="005E1B6E"/>
    <w:rsid w:val="005E3BE0"/>
    <w:rsid w:val="005E6044"/>
    <w:rsid w:val="005F42D4"/>
    <w:rsid w:val="00602047"/>
    <w:rsid w:val="006067AC"/>
    <w:rsid w:val="00607031"/>
    <w:rsid w:val="00607D65"/>
    <w:rsid w:val="0061034B"/>
    <w:rsid w:val="0061035C"/>
    <w:rsid w:val="00617F6C"/>
    <w:rsid w:val="00625FA2"/>
    <w:rsid w:val="006260D8"/>
    <w:rsid w:val="00627923"/>
    <w:rsid w:val="0063278E"/>
    <w:rsid w:val="00633969"/>
    <w:rsid w:val="00633B8B"/>
    <w:rsid w:val="0063746A"/>
    <w:rsid w:val="00637900"/>
    <w:rsid w:val="00637D14"/>
    <w:rsid w:val="0064741D"/>
    <w:rsid w:val="00655FCF"/>
    <w:rsid w:val="00657B8A"/>
    <w:rsid w:val="006605C6"/>
    <w:rsid w:val="006714A6"/>
    <w:rsid w:val="00671903"/>
    <w:rsid w:val="00686AD4"/>
    <w:rsid w:val="00692B80"/>
    <w:rsid w:val="006A1569"/>
    <w:rsid w:val="006A443E"/>
    <w:rsid w:val="006A55C5"/>
    <w:rsid w:val="006A73A5"/>
    <w:rsid w:val="006B0DF7"/>
    <w:rsid w:val="006B3FA2"/>
    <w:rsid w:val="006B57DF"/>
    <w:rsid w:val="006B6614"/>
    <w:rsid w:val="006C01E5"/>
    <w:rsid w:val="006D07D5"/>
    <w:rsid w:val="006D6104"/>
    <w:rsid w:val="006E07E7"/>
    <w:rsid w:val="006E0940"/>
    <w:rsid w:val="006E14B5"/>
    <w:rsid w:val="006E1BFE"/>
    <w:rsid w:val="006E4F88"/>
    <w:rsid w:val="006E52BA"/>
    <w:rsid w:val="006E5E06"/>
    <w:rsid w:val="006F2D2D"/>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15B3"/>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31EE6"/>
    <w:rsid w:val="00937CBE"/>
    <w:rsid w:val="00941654"/>
    <w:rsid w:val="00944D59"/>
    <w:rsid w:val="00946944"/>
    <w:rsid w:val="00947F95"/>
    <w:rsid w:val="0095525E"/>
    <w:rsid w:val="00962046"/>
    <w:rsid w:val="00965504"/>
    <w:rsid w:val="009677DD"/>
    <w:rsid w:val="00970379"/>
    <w:rsid w:val="00977B70"/>
    <w:rsid w:val="009801BA"/>
    <w:rsid w:val="00990864"/>
    <w:rsid w:val="009A158B"/>
    <w:rsid w:val="009A77EC"/>
    <w:rsid w:val="009F25ED"/>
    <w:rsid w:val="009F3555"/>
    <w:rsid w:val="00A05C1D"/>
    <w:rsid w:val="00A111DA"/>
    <w:rsid w:val="00A16814"/>
    <w:rsid w:val="00A1696D"/>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04D7"/>
    <w:rsid w:val="00AA16F4"/>
    <w:rsid w:val="00AA24CA"/>
    <w:rsid w:val="00AA403D"/>
    <w:rsid w:val="00AB4D3B"/>
    <w:rsid w:val="00AB64E3"/>
    <w:rsid w:val="00AB650A"/>
    <w:rsid w:val="00AC21FB"/>
    <w:rsid w:val="00AC3774"/>
    <w:rsid w:val="00AC60C1"/>
    <w:rsid w:val="00AD784B"/>
    <w:rsid w:val="00AE70E9"/>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E76E6"/>
    <w:rsid w:val="00BF2932"/>
    <w:rsid w:val="00BF476B"/>
    <w:rsid w:val="00BF7560"/>
    <w:rsid w:val="00C12D3D"/>
    <w:rsid w:val="00C147DB"/>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324"/>
    <w:rsid w:val="00CC4080"/>
    <w:rsid w:val="00CD787A"/>
    <w:rsid w:val="00CE00CF"/>
    <w:rsid w:val="00CE5EEE"/>
    <w:rsid w:val="00CF0607"/>
    <w:rsid w:val="00CF781D"/>
    <w:rsid w:val="00D02E71"/>
    <w:rsid w:val="00D04B3C"/>
    <w:rsid w:val="00D129FB"/>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7DD9"/>
    <w:rsid w:val="00E112C5"/>
    <w:rsid w:val="00E21603"/>
    <w:rsid w:val="00E2355B"/>
    <w:rsid w:val="00E238C2"/>
    <w:rsid w:val="00E26D9A"/>
    <w:rsid w:val="00E35EB0"/>
    <w:rsid w:val="00E3774F"/>
    <w:rsid w:val="00E41462"/>
    <w:rsid w:val="00E44D4D"/>
    <w:rsid w:val="00E500CF"/>
    <w:rsid w:val="00E534E2"/>
    <w:rsid w:val="00E701E5"/>
    <w:rsid w:val="00E71288"/>
    <w:rsid w:val="00E71A93"/>
    <w:rsid w:val="00E71B89"/>
    <w:rsid w:val="00E74D52"/>
    <w:rsid w:val="00E85F12"/>
    <w:rsid w:val="00E90B24"/>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3AA0"/>
    <w:rsid w:val="00F04C7B"/>
    <w:rsid w:val="00F0521B"/>
    <w:rsid w:val="00F1574B"/>
    <w:rsid w:val="00F16AC6"/>
    <w:rsid w:val="00F22D6B"/>
    <w:rsid w:val="00F300A7"/>
    <w:rsid w:val="00F315DB"/>
    <w:rsid w:val="00F316E0"/>
    <w:rsid w:val="00F3247D"/>
    <w:rsid w:val="00F337F6"/>
    <w:rsid w:val="00F367D0"/>
    <w:rsid w:val="00F43E37"/>
    <w:rsid w:val="00F45833"/>
    <w:rsid w:val="00F469AA"/>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397">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2006</Words>
  <Characters>11436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2023-01-25T15:41:00Z</cp:lastPrinted>
  <dcterms:created xsi:type="dcterms:W3CDTF">2026-02-09T12:58:00Z</dcterms:created>
  <dcterms:modified xsi:type="dcterms:W3CDTF">2026-02-09T12:58:00Z</dcterms:modified>
</cp:coreProperties>
</file>