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30" w:rsidRPr="00EB6A30" w:rsidRDefault="00EB6A30" w:rsidP="00EB6A30">
      <w:pPr>
        <w:spacing w:line="276" w:lineRule="auto"/>
        <w:rPr>
          <w:rFonts w:ascii="Arial" w:hAnsi="Arial" w:cs="Arial"/>
        </w:rPr>
      </w:pPr>
      <w:bookmarkStart w:id="0" w:name="_GoBack"/>
      <w:bookmarkEnd w:id="0"/>
    </w:p>
    <w:p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rsidTr="00304117">
        <w:tc>
          <w:tcPr>
            <w:tcW w:w="9016" w:type="dxa"/>
            <w:shd w:val="clear" w:color="auto" w:fill="000000" w:themeFill="text1"/>
          </w:tcPr>
          <w:p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rsidTr="00115ECC">
        <w:trPr>
          <w:trHeight w:val="298"/>
        </w:trPr>
        <w:tc>
          <w:tcPr>
            <w:tcW w:w="9016" w:type="dxa"/>
          </w:tcPr>
          <w:p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rsidTr="00304117">
              <w:tc>
                <w:tcPr>
                  <w:tcW w:w="5680" w:type="dxa"/>
                  <w:tcBorders>
                    <w:right w:val="single" w:sz="4" w:space="0" w:color="auto"/>
                  </w:tcBorders>
                </w:tcPr>
                <w:p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rsidTr="00304117">
              <w:tc>
                <w:tcPr>
                  <w:tcW w:w="5680" w:type="dxa"/>
                  <w:tcBorders>
                    <w:right w:val="single" w:sz="4" w:space="0" w:color="auto"/>
                  </w:tcBorders>
                </w:tcPr>
                <w:p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p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sworn affidavit in the case of EME’s must be submitted (affidavit must be completed fully),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sworn affidavit in the case of QSE’s must be submitted,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rsidTr="00304117">
              <w:tc>
                <w:tcPr>
                  <w:tcW w:w="5680" w:type="dxa"/>
                  <w:tcBorders>
                    <w:right w:val="single" w:sz="4" w:space="0" w:color="auto"/>
                  </w:tcBorders>
                </w:tcPr>
                <w:p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p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rsidR="00EF748F" w:rsidRPr="00977B70" w:rsidRDefault="00EF748F"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sidR="003363BE">
              <w:rPr>
                <w:rFonts w:ascii="Arial" w:hAnsi="Arial" w:cs="Arial"/>
                <w:sz w:val="16"/>
                <w:szCs w:val="16"/>
              </w:rPr>
              <w:t>any</w:t>
            </w:r>
            <w:r w:rsidRPr="00115ECC">
              <w:rPr>
                <w:rFonts w:ascii="Arial" w:hAnsi="Arial" w:cs="Arial"/>
                <w:sz w:val="16"/>
                <w:szCs w:val="16"/>
              </w:rPr>
              <w:t>one of the following entities;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rsidTr="00692B80">
        <w:trPr>
          <w:trHeight w:val="385"/>
        </w:trPr>
        <w:tc>
          <w:tcPr>
            <w:tcW w:w="9357" w:type="dxa"/>
            <w:shd w:val="clear" w:color="auto" w:fill="000000" w:themeFill="text1"/>
          </w:tcPr>
          <w:p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rsidTr="00692B80">
        <w:trPr>
          <w:trHeight w:val="1721"/>
        </w:trPr>
        <w:tc>
          <w:tcPr>
            <w:tcW w:w="9357" w:type="dxa"/>
          </w:tcPr>
          <w:p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rsidTr="00692B80">
              <w:trPr>
                <w:gridAfter w:val="1"/>
                <w:wAfter w:w="1030" w:type="dxa"/>
                <w:trHeight w:val="314"/>
              </w:trPr>
              <w:tc>
                <w:tcPr>
                  <w:tcW w:w="5493" w:type="dxa"/>
                  <w:gridSpan w:val="2"/>
                  <w:tcBorders>
                    <w:right w:val="single" w:sz="4" w:space="0" w:color="auto"/>
                  </w:tcBorders>
                </w:tcPr>
                <w:p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rsidTr="00692B80">
              <w:trPr>
                <w:gridAfter w:val="1"/>
                <w:wAfter w:w="1030" w:type="dxa"/>
                <w:trHeight w:val="423"/>
              </w:trPr>
              <w:tc>
                <w:tcPr>
                  <w:tcW w:w="5493" w:type="dxa"/>
                  <w:gridSpan w:val="2"/>
                  <w:tcBorders>
                    <w:right w:val="single" w:sz="4" w:space="0" w:color="auto"/>
                  </w:tcBorders>
                </w:tcPr>
                <w:p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rsidTr="00692B80">
              <w:trPr>
                <w:gridAfter w:val="1"/>
                <w:wAfter w:w="1030" w:type="dxa"/>
                <w:trHeight w:val="834"/>
              </w:trPr>
              <w:tc>
                <w:tcPr>
                  <w:tcW w:w="5493" w:type="dxa"/>
                  <w:gridSpan w:val="2"/>
                </w:tcPr>
                <w:p w:rsidR="00637900" w:rsidRPr="00EB6A30" w:rsidRDefault="00637900" w:rsidP="00637900">
                  <w:pPr>
                    <w:rPr>
                      <w:rFonts w:ascii="Arial" w:hAnsi="Arial" w:cs="Arial"/>
                      <w:sz w:val="20"/>
                    </w:rPr>
                  </w:pPr>
                </w:p>
                <w:p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rsidR="001D3F40" w:rsidRPr="00EB6A30" w:rsidRDefault="001D3F40" w:rsidP="002855B7">
                  <w:pPr>
                    <w:spacing w:before="60" w:after="60"/>
                    <w:ind w:left="1583"/>
                    <w:jc w:val="center"/>
                    <w:rPr>
                      <w:rFonts w:ascii="Arial" w:hAnsi="Arial" w:cs="Arial"/>
                      <w:b/>
                      <w:sz w:val="20"/>
                    </w:rPr>
                  </w:pPr>
                </w:p>
                <w:p w:rsidR="001D3F40" w:rsidRPr="00EB6A30" w:rsidRDefault="001D3F40" w:rsidP="002855B7">
                  <w:pPr>
                    <w:spacing w:before="60" w:after="60"/>
                    <w:ind w:left="1583"/>
                    <w:jc w:val="center"/>
                    <w:rPr>
                      <w:rFonts w:ascii="Arial" w:hAnsi="Arial" w:cs="Arial"/>
                      <w:b/>
                      <w:sz w:val="20"/>
                    </w:rPr>
                  </w:pPr>
                </w:p>
              </w:tc>
            </w:tr>
            <w:tr w:rsidR="00304117" w:rsidRPr="00EB6A30"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rsidR="005C2E51" w:rsidRPr="00C67975" w:rsidRDefault="005C2E51" w:rsidP="001C5C9C">
                  <w:pPr>
                    <w:jc w:val="center"/>
                    <w:rPr>
                      <w:rFonts w:ascii="Arial" w:hAnsi="Arial" w:cs="Arial"/>
                      <w:sz w:val="20"/>
                    </w:rPr>
                  </w:pPr>
                  <w:r>
                    <w:rPr>
                      <w:rFonts w:ascii="Arial" w:hAnsi="Arial" w:cs="Arial"/>
                      <w:sz w:val="20"/>
                    </w:rPr>
                    <w:t>Not Applicable</w:t>
                  </w:r>
                </w:p>
              </w:tc>
            </w:tr>
          </w:tbl>
          <w:p w:rsidR="00F3247D" w:rsidRDefault="00F3247D" w:rsidP="00845A4B">
            <w:pPr>
              <w:spacing w:before="60" w:after="60" w:line="276" w:lineRule="auto"/>
              <w:rPr>
                <w:rFonts w:ascii="Arial" w:hAnsi="Arial" w:cs="Arial"/>
                <w:b/>
                <w:sz w:val="20"/>
              </w:rPr>
            </w:pPr>
          </w:p>
          <w:p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66"/>
      </w:tblGrid>
      <w:tr w:rsidR="00304117" w:rsidRPr="00726078" w:rsidTr="00692B80">
        <w:trPr>
          <w:trHeight w:val="202"/>
        </w:trPr>
        <w:tc>
          <w:tcPr>
            <w:tcW w:w="9066" w:type="dxa"/>
            <w:shd w:val="clear" w:color="auto" w:fill="000000" w:themeFill="text1"/>
          </w:tcPr>
          <w:p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rsidTr="00692B80">
        <w:trPr>
          <w:trHeight w:val="3482"/>
        </w:trPr>
        <w:tc>
          <w:tcPr>
            <w:tcW w:w="9066" w:type="dxa"/>
          </w:tcPr>
          <w:p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rsidTr="00692B80">
              <w:trPr>
                <w:trHeight w:val="287"/>
              </w:trPr>
              <w:tc>
                <w:tcPr>
                  <w:tcW w:w="5711" w:type="dxa"/>
                  <w:tcBorders>
                    <w:right w:val="single" w:sz="4" w:space="0" w:color="auto"/>
                  </w:tcBorders>
                </w:tcPr>
                <w:p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rsidTr="00692B80">
              <w:trPr>
                <w:trHeight w:val="329"/>
              </w:trPr>
              <w:tc>
                <w:tcPr>
                  <w:tcW w:w="5711" w:type="dxa"/>
                  <w:tcBorders>
                    <w:right w:val="single" w:sz="4" w:space="0" w:color="auto"/>
                  </w:tcBorders>
                </w:tcPr>
                <w:p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rsidTr="00692B80">
              <w:trPr>
                <w:trHeight w:val="382"/>
              </w:trPr>
              <w:tc>
                <w:tcPr>
                  <w:tcW w:w="5711" w:type="dxa"/>
                  <w:tcBorders>
                    <w:right w:val="single" w:sz="4" w:space="0" w:color="auto"/>
                  </w:tcBorders>
                </w:tcPr>
                <w:p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rsidTr="00692B80">
              <w:trPr>
                <w:trHeight w:val="298"/>
              </w:trPr>
              <w:tc>
                <w:tcPr>
                  <w:tcW w:w="5711" w:type="dxa"/>
                </w:tcPr>
                <w:p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rsidR="009A77EC" w:rsidRPr="00EB6A30" w:rsidRDefault="009A77EC" w:rsidP="007E0CE5">
                  <w:pPr>
                    <w:spacing w:before="60" w:after="60"/>
                    <w:rPr>
                      <w:rFonts w:ascii="Arial" w:hAnsi="Arial" w:cs="Arial"/>
                      <w:b/>
                      <w:sz w:val="20"/>
                    </w:rPr>
                  </w:pPr>
                </w:p>
              </w:tc>
            </w:tr>
          </w:tbl>
          <w:p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46"/>
              <w:gridCol w:w="2946"/>
              <w:gridCol w:w="2946"/>
            </w:tblGrid>
            <w:tr w:rsidR="00304117" w:rsidRPr="00EB6A30" w:rsidTr="00692B80">
              <w:trPr>
                <w:trHeight w:val="191"/>
              </w:trPr>
              <w:tc>
                <w:tcPr>
                  <w:tcW w:w="2946"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rsidTr="00692B80">
              <w:trPr>
                <w:trHeight w:val="298"/>
              </w:trPr>
              <w:tc>
                <w:tcPr>
                  <w:tcW w:w="2946" w:type="dxa"/>
                </w:tcPr>
                <w:p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rsidR="00304117" w:rsidRPr="00EB6A30" w:rsidRDefault="00304117" w:rsidP="00304117">
                  <w:pPr>
                    <w:spacing w:before="60" w:after="60"/>
                    <w:rPr>
                      <w:rFonts w:ascii="Arial" w:hAnsi="Arial" w:cs="Arial"/>
                      <w:sz w:val="20"/>
                    </w:rPr>
                  </w:pPr>
                </w:p>
              </w:tc>
            </w:tr>
            <w:tr w:rsidR="00304117" w:rsidRPr="00EB6A30" w:rsidTr="00692B80">
              <w:trPr>
                <w:trHeight w:val="298"/>
              </w:trPr>
              <w:tc>
                <w:tcPr>
                  <w:tcW w:w="2946" w:type="dxa"/>
                </w:tcPr>
                <w:p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rsidR="00304117" w:rsidRPr="00EB6A30" w:rsidRDefault="00304117" w:rsidP="00304117">
                  <w:pPr>
                    <w:spacing w:before="60" w:after="60"/>
                    <w:rPr>
                      <w:rFonts w:ascii="Arial" w:hAnsi="Arial" w:cs="Arial"/>
                      <w:sz w:val="20"/>
                    </w:rPr>
                  </w:pPr>
                </w:p>
              </w:tc>
            </w:tr>
          </w:tbl>
          <w:p w:rsidR="00304117" w:rsidRPr="00EB6A30" w:rsidRDefault="00304117" w:rsidP="00304117">
            <w:pPr>
              <w:spacing w:before="60" w:after="60" w:line="276" w:lineRule="auto"/>
              <w:rPr>
                <w:rFonts w:ascii="Arial" w:hAnsi="Arial" w:cs="Arial"/>
                <w:sz w:val="20"/>
              </w:rPr>
            </w:pPr>
          </w:p>
          <w:p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rsidR="00692B80" w:rsidRDefault="00692B80" w:rsidP="002319CA">
      <w:pPr>
        <w:spacing w:before="60" w:after="60" w:line="276" w:lineRule="auto"/>
        <w:rPr>
          <w:rFonts w:ascii="Arial" w:hAnsi="Arial" w:cs="Arial"/>
          <w:b/>
          <w:sz w:val="20"/>
        </w:rPr>
      </w:pPr>
    </w:p>
    <w:p w:rsidR="000625A7" w:rsidRDefault="000625A7" w:rsidP="002319CA">
      <w:pPr>
        <w:spacing w:before="60" w:after="60" w:line="276" w:lineRule="auto"/>
        <w:rPr>
          <w:rFonts w:ascii="Arial" w:hAnsi="Arial" w:cs="Arial"/>
          <w:b/>
          <w:sz w:val="20"/>
        </w:rPr>
      </w:pPr>
    </w:p>
    <w:p w:rsidR="000625A7" w:rsidRDefault="000625A7" w:rsidP="002319CA">
      <w:pPr>
        <w:spacing w:before="60" w:after="60" w:line="276" w:lineRule="auto"/>
        <w:rPr>
          <w:rFonts w:ascii="Arial" w:hAnsi="Arial" w:cs="Arial"/>
          <w:b/>
          <w:sz w:val="20"/>
        </w:rPr>
      </w:pPr>
    </w:p>
    <w:p w:rsidR="000625A7" w:rsidRDefault="000625A7" w:rsidP="002319CA">
      <w:pPr>
        <w:spacing w:before="60" w:after="60" w:line="276" w:lineRule="auto"/>
        <w:rPr>
          <w:rFonts w:ascii="Arial" w:hAnsi="Arial" w:cs="Arial"/>
          <w:b/>
          <w:sz w:val="20"/>
        </w:rPr>
      </w:pPr>
    </w:p>
    <w:p w:rsidR="000625A7" w:rsidRDefault="000625A7" w:rsidP="002319CA">
      <w:pPr>
        <w:spacing w:before="60" w:after="60" w:line="276" w:lineRule="auto"/>
        <w:rPr>
          <w:rFonts w:ascii="Arial" w:hAnsi="Arial" w:cs="Arial"/>
          <w:b/>
          <w:sz w:val="20"/>
        </w:rPr>
      </w:pPr>
    </w:p>
    <w:p w:rsidR="000625A7" w:rsidRDefault="000625A7" w:rsidP="002319CA">
      <w:pPr>
        <w:spacing w:before="60" w:after="60" w:line="276" w:lineRule="auto"/>
        <w:rPr>
          <w:rFonts w:ascii="Arial" w:hAnsi="Arial" w:cs="Arial"/>
          <w:b/>
          <w:sz w:val="20"/>
        </w:rPr>
      </w:pPr>
    </w:p>
    <w:p w:rsidR="00CE13F9" w:rsidRDefault="00CE13F9" w:rsidP="002319CA">
      <w:pPr>
        <w:spacing w:before="60" w:after="60" w:line="276" w:lineRule="auto"/>
        <w:rPr>
          <w:rFonts w:ascii="Arial" w:hAnsi="Arial" w:cs="Arial"/>
          <w:b/>
          <w:sz w:val="20"/>
        </w:rPr>
      </w:pPr>
    </w:p>
    <w:p w:rsidR="00CE13F9" w:rsidRDefault="00CE13F9" w:rsidP="002319CA">
      <w:pPr>
        <w:spacing w:before="60" w:after="60" w:line="276" w:lineRule="auto"/>
        <w:rPr>
          <w:rFonts w:ascii="Arial" w:hAnsi="Arial" w:cs="Arial"/>
          <w:b/>
          <w:sz w:val="20"/>
        </w:rPr>
      </w:pPr>
    </w:p>
    <w:p w:rsidR="00FF4377" w:rsidRDefault="00FF4377" w:rsidP="002319CA">
      <w:pPr>
        <w:spacing w:before="60" w:after="60" w:line="276" w:lineRule="auto"/>
        <w:rPr>
          <w:rFonts w:ascii="Arial" w:hAnsi="Arial" w:cs="Arial"/>
          <w:b/>
          <w:sz w:val="20"/>
        </w:rPr>
      </w:pPr>
    </w:p>
    <w:p w:rsidR="00FF4377" w:rsidRDefault="00FF4377" w:rsidP="002319CA">
      <w:pPr>
        <w:spacing w:before="60" w:after="60" w:line="276" w:lineRule="auto"/>
        <w:rPr>
          <w:rFonts w:ascii="Arial" w:hAnsi="Arial" w:cs="Arial"/>
          <w:b/>
          <w:sz w:val="20"/>
        </w:rPr>
      </w:pPr>
    </w:p>
    <w:p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rsidTr="00737B23">
        <w:tc>
          <w:tcPr>
            <w:tcW w:w="9016" w:type="dxa"/>
            <w:shd w:val="clear" w:color="auto" w:fill="000000" w:themeFill="text1"/>
          </w:tcPr>
          <w:p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rsidTr="003127C7">
        <w:trPr>
          <w:trHeight w:val="2424"/>
        </w:trPr>
        <w:tc>
          <w:tcPr>
            <w:tcW w:w="9016" w:type="dxa"/>
            <w:shd w:val="clear" w:color="auto" w:fill="FFFFFF" w:themeFill="background1"/>
          </w:tcPr>
          <w:p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lastRenderedPageBreak/>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rsidR="00CF781D" w:rsidRPr="00CF781D" w:rsidRDefault="00CF781D" w:rsidP="00CF781D">
            <w:pPr>
              <w:tabs>
                <w:tab w:val="left" w:pos="720"/>
              </w:tabs>
              <w:spacing w:line="276" w:lineRule="auto"/>
              <w:ind w:left="360"/>
              <w:jc w:val="both"/>
              <w:rPr>
                <w:rFonts w:ascii="Arial" w:hAnsi="Arial" w:cs="Arial"/>
                <w:b/>
                <w:sz w:val="20"/>
              </w:rPr>
            </w:pPr>
          </w:p>
          <w:p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rsidR="007D4E0A" w:rsidRPr="007D4E0A" w:rsidRDefault="007D4E0A">
                  <w:pPr>
                    <w:spacing w:line="276" w:lineRule="auto"/>
                    <w:jc w:val="both"/>
                    <w:rPr>
                      <w:rFonts w:ascii="Arial" w:hAnsi="Arial" w:cs="Arial"/>
                      <w:sz w:val="20"/>
                    </w:rPr>
                  </w:pPr>
                </w:p>
              </w:tc>
            </w:tr>
          </w:tbl>
          <w:p w:rsidR="007B57E6" w:rsidRDefault="007B57E6" w:rsidP="007B57E6">
            <w:pPr>
              <w:tabs>
                <w:tab w:val="left" w:pos="720"/>
              </w:tabs>
              <w:spacing w:line="360" w:lineRule="auto"/>
              <w:ind w:left="360"/>
              <w:jc w:val="both"/>
              <w:rPr>
                <w:rFonts w:ascii="Arial" w:hAnsi="Arial" w:cs="Arial"/>
                <w:b/>
                <w:sz w:val="20"/>
                <w:lang w:val="en-ZA"/>
              </w:rPr>
            </w:pPr>
          </w:p>
          <w:p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300333">
              <w:rPr>
                <w:rFonts w:ascii="Arial" w:hAnsi="Arial" w:cs="Arial"/>
                <w:sz w:val="20"/>
                <w:lang w:val="en-ZA"/>
              </w:rPr>
              <w:t xml:space="preserve"> Some of the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rsidTr="00692B80">
              <w:trPr>
                <w:trHeight w:val="364"/>
              </w:trPr>
              <w:tc>
                <w:tcPr>
                  <w:tcW w:w="3291" w:type="dxa"/>
                  <w:shd w:val="clear" w:color="auto" w:fill="D9D9D9" w:themeFill="background1" w:themeFillShade="D9"/>
                </w:tcPr>
                <w:p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rsidTr="00692B80">
              <w:trPr>
                <w:trHeight w:val="427"/>
              </w:trPr>
              <w:tc>
                <w:tcPr>
                  <w:tcW w:w="3291" w:type="dxa"/>
                  <w:shd w:val="clear" w:color="auto" w:fill="auto"/>
                </w:tcPr>
                <w:p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rsidR="00CA1205" w:rsidRPr="000C5130" w:rsidRDefault="000625A7"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r w:rsidR="00CA1205" w:rsidRPr="000C5130" w:rsidTr="00692B80">
              <w:trPr>
                <w:trHeight w:val="427"/>
              </w:trPr>
              <w:tc>
                <w:tcPr>
                  <w:tcW w:w="3291" w:type="dxa"/>
                  <w:shd w:val="clear" w:color="auto" w:fill="auto"/>
                </w:tcPr>
                <w:p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r w:rsidR="00CA1205" w:rsidRPr="000C5130" w:rsidTr="00692B80">
              <w:trPr>
                <w:trHeight w:val="427"/>
              </w:trPr>
              <w:tc>
                <w:tcPr>
                  <w:tcW w:w="3291" w:type="dxa"/>
                  <w:shd w:val="clear" w:color="auto" w:fill="auto"/>
                </w:tcPr>
                <w:p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r w:rsidR="00CA1205" w:rsidRPr="000C5130" w:rsidTr="00692B80">
              <w:trPr>
                <w:trHeight w:val="427"/>
              </w:trPr>
              <w:tc>
                <w:tcPr>
                  <w:tcW w:w="3291" w:type="dxa"/>
                  <w:shd w:val="clear" w:color="auto" w:fill="auto"/>
                </w:tcPr>
                <w:p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bl>
          <w:p w:rsidR="00861BE0" w:rsidRPr="00861BE0" w:rsidRDefault="00861BE0" w:rsidP="00861BE0">
            <w:pPr>
              <w:tabs>
                <w:tab w:val="left" w:pos="720"/>
              </w:tabs>
              <w:spacing w:line="276" w:lineRule="auto"/>
              <w:jc w:val="both"/>
              <w:rPr>
                <w:rFonts w:ascii="Arial" w:hAnsi="Arial" w:cs="Arial"/>
                <w:sz w:val="20"/>
                <w:lang w:val="en-ZA"/>
              </w:rPr>
            </w:pPr>
          </w:p>
          <w:p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rsidTr="00692B80">
              <w:trPr>
                <w:trHeight w:val="341"/>
              </w:trPr>
              <w:tc>
                <w:tcPr>
                  <w:tcW w:w="3676"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rsidTr="00692B80">
              <w:trPr>
                <w:trHeight w:val="359"/>
              </w:trPr>
              <w:tc>
                <w:tcPr>
                  <w:tcW w:w="3676" w:type="dxa"/>
                  <w:shd w:val="clear" w:color="auto" w:fill="auto"/>
                </w:tcPr>
                <w:p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rsidR="00FA31B2" w:rsidRPr="000C5130" w:rsidRDefault="00FA31B2" w:rsidP="00FA31B2">
                  <w:pPr>
                    <w:tabs>
                      <w:tab w:val="left" w:pos="720"/>
                    </w:tabs>
                    <w:spacing w:line="276" w:lineRule="auto"/>
                    <w:jc w:val="both"/>
                    <w:rPr>
                      <w:rFonts w:ascii="Arial" w:hAnsi="Arial" w:cs="Arial"/>
                      <w:sz w:val="20"/>
                    </w:rPr>
                  </w:pPr>
                </w:p>
              </w:tc>
            </w:tr>
          </w:tbl>
          <w:p w:rsidR="00FA31B2" w:rsidRDefault="00FA31B2" w:rsidP="00FA31B2">
            <w:pPr>
              <w:tabs>
                <w:tab w:val="left" w:pos="720"/>
              </w:tabs>
              <w:spacing w:line="360" w:lineRule="auto"/>
              <w:ind w:left="360"/>
              <w:jc w:val="both"/>
              <w:rPr>
                <w:rFonts w:ascii="Arial" w:hAnsi="Arial" w:cs="Arial"/>
                <w:b/>
                <w:sz w:val="20"/>
                <w:lang w:val="en-ZA"/>
              </w:rPr>
            </w:pPr>
          </w:p>
          <w:p w:rsidR="00FA31B2" w:rsidRPr="006E4F88" w:rsidRDefault="00FA31B2" w:rsidP="00FA31B2">
            <w:pPr>
              <w:tabs>
                <w:tab w:val="left" w:pos="720"/>
              </w:tabs>
              <w:spacing w:line="360" w:lineRule="auto"/>
              <w:ind w:left="360"/>
              <w:jc w:val="both"/>
              <w:rPr>
                <w:rFonts w:ascii="Arial" w:hAnsi="Arial" w:cs="Arial"/>
                <w:b/>
                <w:sz w:val="20"/>
                <w:lang w:val="en-ZA"/>
              </w:rPr>
            </w:pPr>
          </w:p>
          <w:p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rsidTr="00692B80">
              <w:trPr>
                <w:trHeight w:val="287"/>
              </w:trPr>
              <w:tc>
                <w:tcPr>
                  <w:tcW w:w="3694"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rsidTr="00692B80">
              <w:trPr>
                <w:trHeight w:val="302"/>
              </w:trPr>
              <w:tc>
                <w:tcPr>
                  <w:tcW w:w="3694" w:type="dxa"/>
                  <w:shd w:val="clear" w:color="auto" w:fill="auto"/>
                </w:tcPr>
                <w:p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rsidR="006E4F88" w:rsidRPr="000C5130" w:rsidRDefault="006E4F88" w:rsidP="006E4F88">
                  <w:pPr>
                    <w:tabs>
                      <w:tab w:val="left" w:pos="720"/>
                    </w:tabs>
                    <w:spacing w:line="276" w:lineRule="auto"/>
                    <w:jc w:val="both"/>
                    <w:rPr>
                      <w:rFonts w:ascii="Arial" w:hAnsi="Arial" w:cs="Arial"/>
                      <w:sz w:val="20"/>
                    </w:rPr>
                  </w:pPr>
                </w:p>
              </w:tc>
            </w:tr>
          </w:tbl>
          <w:p w:rsidR="006E4F88" w:rsidRDefault="006E4F88" w:rsidP="006E4F88">
            <w:pPr>
              <w:pStyle w:val="ListParagraph"/>
              <w:rPr>
                <w:rFonts w:ascii="Arial" w:hAnsi="Arial" w:cs="Arial"/>
                <w:b/>
                <w:sz w:val="20"/>
                <w:lang w:val="en-ZA"/>
              </w:rPr>
            </w:pPr>
          </w:p>
          <w:p w:rsidR="006E4F88" w:rsidRDefault="006E4F88" w:rsidP="006E4F88">
            <w:pPr>
              <w:pStyle w:val="ListParagraph"/>
              <w:rPr>
                <w:rFonts w:ascii="Arial" w:hAnsi="Arial" w:cs="Arial"/>
                <w:b/>
                <w:sz w:val="20"/>
                <w:lang w:val="en-ZA"/>
              </w:rPr>
            </w:pPr>
          </w:p>
          <w:p w:rsidR="006E4F88" w:rsidRDefault="006E4F88" w:rsidP="006E4F88">
            <w:pPr>
              <w:pStyle w:val="ListParagraph"/>
              <w:rPr>
                <w:rFonts w:ascii="Arial" w:hAnsi="Arial" w:cs="Arial"/>
                <w:b/>
                <w:sz w:val="20"/>
                <w:lang w:val="en-ZA"/>
              </w:rPr>
            </w:pPr>
          </w:p>
          <w:p w:rsidR="007E0CE5" w:rsidRDefault="007E0CE5" w:rsidP="007E0CE5">
            <w:pPr>
              <w:tabs>
                <w:tab w:val="left" w:pos="720"/>
              </w:tabs>
              <w:spacing w:line="276" w:lineRule="auto"/>
              <w:ind w:left="360"/>
              <w:jc w:val="both"/>
              <w:rPr>
                <w:rFonts w:ascii="Arial" w:hAnsi="Arial" w:cs="Arial"/>
                <w:b/>
                <w:sz w:val="20"/>
                <w:lang w:val="en-ZA"/>
              </w:rPr>
            </w:pPr>
          </w:p>
          <w:p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rsidR="00506A41" w:rsidRDefault="00506A41" w:rsidP="00737B23">
            <w:pPr>
              <w:tabs>
                <w:tab w:val="left" w:pos="720"/>
              </w:tabs>
              <w:jc w:val="both"/>
              <w:rPr>
                <w:rFonts w:ascii="Arial" w:hAnsi="Arial" w:cs="Arial"/>
                <w:sz w:val="20"/>
              </w:rPr>
            </w:pPr>
          </w:p>
          <w:p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w:t>
            </w:r>
            <w:r w:rsidRPr="002232D4">
              <w:rPr>
                <w:rFonts w:ascii="Arial" w:hAnsi="Arial" w:cs="Arial"/>
                <w:sz w:val="20"/>
              </w:rPr>
              <w:lastRenderedPageBreak/>
              <w:t xml:space="preserve">critical skills and the </w:t>
            </w:r>
            <w:r w:rsidR="002319CA">
              <w:rPr>
                <w:rFonts w:ascii="Arial" w:hAnsi="Arial" w:cs="Arial"/>
                <w:sz w:val="20"/>
              </w:rPr>
              <w:t>Mict</w:t>
            </w:r>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w:t>
            </w:r>
            <w:r w:rsidR="000625A7">
              <w:rPr>
                <w:rFonts w:ascii="Arial" w:hAnsi="Arial" w:cs="Arial"/>
                <w:sz w:val="20"/>
              </w:rPr>
              <w:t>ny</w:t>
            </w:r>
            <w:r w:rsidRPr="002232D4">
              <w:rPr>
                <w:rFonts w:ascii="Arial" w:hAnsi="Arial" w:cs="Arial"/>
                <w:sz w:val="20"/>
              </w:rPr>
              <w:t xml:space="preserve"> province in the country, and their composition shall be representative of the population demographics of South Africa</w:t>
            </w:r>
          </w:p>
          <w:p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713E63" w:rsidRPr="000C5130" w:rsidTr="008A3FC8">
              <w:trPr>
                <w:trHeight w:val="359"/>
              </w:trPr>
              <w:tc>
                <w:tcPr>
                  <w:tcW w:w="3422" w:type="dxa"/>
                  <w:shd w:val="clear" w:color="auto" w:fill="D9D9D9" w:themeFill="background1" w:themeFillShade="D9"/>
                </w:tcPr>
                <w:p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FF4377" w:rsidRPr="000C5130" w:rsidTr="007E4EC1">
              <w:trPr>
                <w:trHeight w:val="359"/>
              </w:trPr>
              <w:tc>
                <w:tcPr>
                  <w:tcW w:w="3422" w:type="dxa"/>
                  <w:shd w:val="clear" w:color="auto" w:fill="auto"/>
                  <w:vAlign w:val="bottom"/>
                </w:tcPr>
                <w:p w:rsidR="00FF4377" w:rsidRPr="00974959" w:rsidRDefault="00FF4377">
                  <w:pPr>
                    <w:rPr>
                      <w:rFonts w:ascii="Arial" w:hAnsi="Arial" w:cs="Arial"/>
                      <w:sz w:val="20"/>
                    </w:rPr>
                  </w:pPr>
                  <w:r w:rsidRPr="00974959">
                    <w:rPr>
                      <w:rFonts w:ascii="Arial" w:hAnsi="Arial" w:cs="Arial"/>
                      <w:sz w:val="20"/>
                    </w:rPr>
                    <w:t>Network technician</w:t>
                  </w:r>
                </w:p>
              </w:tc>
              <w:tc>
                <w:tcPr>
                  <w:tcW w:w="1920" w:type="dxa"/>
                  <w:vAlign w:val="bottom"/>
                </w:tcPr>
                <w:p w:rsidR="00FF4377" w:rsidRPr="00FF4377" w:rsidRDefault="00FF4377" w:rsidP="00FF4377">
                  <w:pPr>
                    <w:jc w:val="center"/>
                    <w:rPr>
                      <w:rFonts w:ascii="Arial" w:hAnsi="Arial" w:cs="Arial"/>
                      <w:sz w:val="20"/>
                    </w:rPr>
                  </w:pPr>
                  <w:r w:rsidRPr="00FF4377">
                    <w:rPr>
                      <w:rFonts w:ascii="Arial" w:hAnsi="Arial" w:cs="Arial"/>
                      <w:sz w:val="20"/>
                    </w:rPr>
                    <w:t>2</w:t>
                  </w:r>
                </w:p>
              </w:tc>
              <w:tc>
                <w:tcPr>
                  <w:tcW w:w="1984" w:type="dxa"/>
                </w:tcPr>
                <w:p w:rsidR="00FF4377" w:rsidRPr="008A3FC8" w:rsidRDefault="00FF4377" w:rsidP="008A3FC8">
                  <w:pPr>
                    <w:tabs>
                      <w:tab w:val="left" w:pos="720"/>
                    </w:tabs>
                    <w:jc w:val="center"/>
                    <w:rPr>
                      <w:rFonts w:ascii="Arial" w:hAnsi="Arial" w:cs="Arial"/>
                      <w:b/>
                      <w:sz w:val="20"/>
                    </w:rPr>
                  </w:pPr>
                </w:p>
              </w:tc>
            </w:tr>
            <w:tr w:rsidR="00FF4377" w:rsidRPr="000C5130" w:rsidTr="007E4EC1">
              <w:trPr>
                <w:trHeight w:val="359"/>
              </w:trPr>
              <w:tc>
                <w:tcPr>
                  <w:tcW w:w="3422" w:type="dxa"/>
                  <w:shd w:val="clear" w:color="auto" w:fill="auto"/>
                  <w:vAlign w:val="bottom"/>
                </w:tcPr>
                <w:p w:rsidR="00FF4377" w:rsidRPr="00974959" w:rsidRDefault="00FF4377">
                  <w:pPr>
                    <w:rPr>
                      <w:rFonts w:ascii="Arial" w:hAnsi="Arial" w:cs="Arial"/>
                      <w:sz w:val="20"/>
                    </w:rPr>
                  </w:pPr>
                  <w:r w:rsidRPr="00974959">
                    <w:rPr>
                      <w:rFonts w:ascii="Arial" w:hAnsi="Arial" w:cs="Arial"/>
                      <w:sz w:val="20"/>
                    </w:rPr>
                    <w:t>Network engineer</w:t>
                  </w:r>
                </w:p>
              </w:tc>
              <w:tc>
                <w:tcPr>
                  <w:tcW w:w="1920" w:type="dxa"/>
                  <w:vAlign w:val="bottom"/>
                </w:tcPr>
                <w:p w:rsidR="00FF4377" w:rsidRPr="00FF4377" w:rsidRDefault="00FF4377" w:rsidP="00FF4377">
                  <w:pPr>
                    <w:jc w:val="center"/>
                    <w:rPr>
                      <w:rFonts w:ascii="Arial" w:hAnsi="Arial" w:cs="Arial"/>
                      <w:sz w:val="20"/>
                    </w:rPr>
                  </w:pPr>
                  <w:r w:rsidRPr="00FF4377">
                    <w:rPr>
                      <w:rFonts w:ascii="Arial" w:hAnsi="Arial" w:cs="Arial"/>
                      <w:sz w:val="20"/>
                    </w:rPr>
                    <w:t>1</w:t>
                  </w:r>
                </w:p>
              </w:tc>
              <w:tc>
                <w:tcPr>
                  <w:tcW w:w="1984" w:type="dxa"/>
                </w:tcPr>
                <w:p w:rsidR="00FF4377" w:rsidRPr="008A3FC8" w:rsidRDefault="00FF4377" w:rsidP="008A3FC8">
                  <w:pPr>
                    <w:tabs>
                      <w:tab w:val="left" w:pos="720"/>
                    </w:tabs>
                    <w:jc w:val="center"/>
                    <w:rPr>
                      <w:rFonts w:ascii="Arial" w:hAnsi="Arial" w:cs="Arial"/>
                      <w:b/>
                      <w:sz w:val="20"/>
                    </w:rPr>
                  </w:pPr>
                </w:p>
              </w:tc>
            </w:tr>
            <w:tr w:rsidR="00FF4377" w:rsidRPr="000C5130" w:rsidTr="007E4EC1">
              <w:trPr>
                <w:trHeight w:val="359"/>
              </w:trPr>
              <w:tc>
                <w:tcPr>
                  <w:tcW w:w="3422" w:type="dxa"/>
                  <w:shd w:val="clear" w:color="auto" w:fill="auto"/>
                  <w:vAlign w:val="bottom"/>
                </w:tcPr>
                <w:p w:rsidR="00FF4377" w:rsidRPr="00974959" w:rsidRDefault="00FF4377">
                  <w:pPr>
                    <w:rPr>
                      <w:rFonts w:ascii="Arial" w:hAnsi="Arial" w:cs="Arial"/>
                      <w:sz w:val="20"/>
                    </w:rPr>
                  </w:pPr>
                  <w:r w:rsidRPr="00974959">
                    <w:rPr>
                      <w:rFonts w:ascii="Arial" w:hAnsi="Arial" w:cs="Arial"/>
                      <w:sz w:val="20"/>
                    </w:rPr>
                    <w:t>Route designer</w:t>
                  </w:r>
                </w:p>
              </w:tc>
              <w:tc>
                <w:tcPr>
                  <w:tcW w:w="1920" w:type="dxa"/>
                  <w:vAlign w:val="bottom"/>
                </w:tcPr>
                <w:p w:rsidR="00FF4377" w:rsidRPr="00FF4377" w:rsidRDefault="00FF4377" w:rsidP="00FF4377">
                  <w:pPr>
                    <w:jc w:val="center"/>
                    <w:rPr>
                      <w:rFonts w:ascii="Arial" w:hAnsi="Arial" w:cs="Arial"/>
                      <w:sz w:val="20"/>
                    </w:rPr>
                  </w:pPr>
                  <w:r w:rsidRPr="00FF4377">
                    <w:rPr>
                      <w:rFonts w:ascii="Arial" w:hAnsi="Arial" w:cs="Arial"/>
                      <w:sz w:val="20"/>
                    </w:rPr>
                    <w:t>4</w:t>
                  </w:r>
                </w:p>
              </w:tc>
              <w:tc>
                <w:tcPr>
                  <w:tcW w:w="1984" w:type="dxa"/>
                </w:tcPr>
                <w:p w:rsidR="00FF4377" w:rsidRPr="008A3FC8" w:rsidRDefault="00FF4377" w:rsidP="008A3FC8">
                  <w:pPr>
                    <w:tabs>
                      <w:tab w:val="left" w:pos="720"/>
                    </w:tabs>
                    <w:jc w:val="center"/>
                    <w:rPr>
                      <w:rFonts w:ascii="Arial" w:hAnsi="Arial" w:cs="Arial"/>
                      <w:b/>
                      <w:sz w:val="20"/>
                    </w:rPr>
                  </w:pPr>
                </w:p>
              </w:tc>
            </w:tr>
            <w:tr w:rsidR="00FF4377" w:rsidRPr="000C5130" w:rsidTr="007E4EC1">
              <w:trPr>
                <w:trHeight w:val="359"/>
              </w:trPr>
              <w:tc>
                <w:tcPr>
                  <w:tcW w:w="3422" w:type="dxa"/>
                  <w:shd w:val="clear" w:color="auto" w:fill="auto"/>
                  <w:vAlign w:val="bottom"/>
                </w:tcPr>
                <w:p w:rsidR="00FF4377" w:rsidRPr="00974959" w:rsidRDefault="00FF4377">
                  <w:pPr>
                    <w:rPr>
                      <w:rFonts w:ascii="Arial" w:hAnsi="Arial" w:cs="Arial"/>
                      <w:sz w:val="20"/>
                    </w:rPr>
                  </w:pPr>
                  <w:r w:rsidRPr="00974959">
                    <w:rPr>
                      <w:rFonts w:ascii="Arial" w:hAnsi="Arial" w:cs="Arial"/>
                      <w:sz w:val="20"/>
                    </w:rPr>
                    <w:t>Splicing operator</w:t>
                  </w:r>
                </w:p>
              </w:tc>
              <w:tc>
                <w:tcPr>
                  <w:tcW w:w="1920" w:type="dxa"/>
                  <w:vAlign w:val="bottom"/>
                </w:tcPr>
                <w:p w:rsidR="00FF4377" w:rsidRPr="00FF4377" w:rsidRDefault="00FF4377" w:rsidP="00FF4377">
                  <w:pPr>
                    <w:jc w:val="center"/>
                    <w:rPr>
                      <w:rFonts w:ascii="Arial" w:hAnsi="Arial" w:cs="Arial"/>
                      <w:sz w:val="20"/>
                    </w:rPr>
                  </w:pPr>
                  <w:r w:rsidRPr="00FF4377">
                    <w:rPr>
                      <w:rFonts w:ascii="Arial" w:hAnsi="Arial" w:cs="Arial"/>
                      <w:sz w:val="20"/>
                    </w:rPr>
                    <w:t>5</w:t>
                  </w:r>
                </w:p>
              </w:tc>
              <w:tc>
                <w:tcPr>
                  <w:tcW w:w="1984" w:type="dxa"/>
                </w:tcPr>
                <w:p w:rsidR="00FF4377" w:rsidRPr="008A3FC8" w:rsidRDefault="00FF4377" w:rsidP="008A3FC8">
                  <w:pPr>
                    <w:tabs>
                      <w:tab w:val="left" w:pos="720"/>
                    </w:tabs>
                    <w:jc w:val="center"/>
                    <w:rPr>
                      <w:rFonts w:ascii="Arial" w:hAnsi="Arial" w:cs="Arial"/>
                      <w:b/>
                      <w:sz w:val="20"/>
                    </w:rPr>
                  </w:pPr>
                </w:p>
              </w:tc>
            </w:tr>
          </w:tbl>
          <w:p w:rsidR="00E500CF" w:rsidRDefault="00E500CF" w:rsidP="00E500CF">
            <w:pPr>
              <w:tabs>
                <w:tab w:val="left" w:pos="720"/>
              </w:tabs>
              <w:ind w:left="720"/>
              <w:jc w:val="both"/>
              <w:rPr>
                <w:rFonts w:ascii="Arial" w:hAnsi="Arial" w:cs="Arial"/>
                <w:sz w:val="20"/>
                <w:lang w:val="en-ZA"/>
              </w:rPr>
            </w:pPr>
          </w:p>
          <w:p w:rsidR="00E500CF" w:rsidRDefault="00E500CF" w:rsidP="00AF6824">
            <w:pPr>
              <w:tabs>
                <w:tab w:val="left" w:pos="720"/>
              </w:tabs>
              <w:jc w:val="both"/>
              <w:rPr>
                <w:rFonts w:ascii="Arial" w:hAnsi="Arial" w:cs="Arial"/>
                <w:sz w:val="20"/>
                <w:lang w:val="en-ZA"/>
              </w:rPr>
            </w:pP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also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rsidR="00AF6824" w:rsidRPr="000C5130" w:rsidRDefault="00AF6824" w:rsidP="00737B23">
            <w:pPr>
              <w:tabs>
                <w:tab w:val="left" w:pos="720"/>
              </w:tabs>
              <w:jc w:val="both"/>
              <w:rPr>
                <w:rFonts w:ascii="Arial" w:hAnsi="Arial" w:cs="Arial"/>
                <w:sz w:val="20"/>
              </w:rPr>
            </w:pPr>
          </w:p>
        </w:tc>
      </w:tr>
    </w:tbl>
    <w:p w:rsidR="00A346F0" w:rsidRDefault="00A346F0" w:rsidP="00EB6A30">
      <w:pPr>
        <w:spacing w:after="120" w:line="276" w:lineRule="auto"/>
        <w:rPr>
          <w:rFonts w:ascii="Arial" w:hAnsi="Arial" w:cs="Arial"/>
          <w:b/>
          <w:sz w:val="22"/>
        </w:rPr>
      </w:pPr>
    </w:p>
    <w:p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rsidTr="00987ACB">
        <w:tc>
          <w:tcPr>
            <w:tcW w:w="9050" w:type="dxa"/>
            <w:shd w:val="clear" w:color="auto" w:fill="000000"/>
          </w:tcPr>
          <w:p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rsidTr="00DF46B0">
        <w:trPr>
          <w:trHeight w:val="723"/>
        </w:trPr>
        <w:tc>
          <w:tcPr>
            <w:tcW w:w="9050" w:type="dxa"/>
            <w:shd w:val="clear" w:color="auto" w:fill="auto"/>
          </w:tcPr>
          <w:p w:rsidR="00EF4E0F" w:rsidRDefault="00EF4E0F" w:rsidP="00AF6824">
            <w:pPr>
              <w:spacing w:line="360" w:lineRule="auto"/>
              <w:contextualSpacing/>
              <w:jc w:val="both"/>
              <w:rPr>
                <w:rFonts w:ascii="Arial" w:eastAsia="Calibri" w:hAnsi="Arial" w:cs="Arial"/>
                <w:sz w:val="20"/>
                <w:szCs w:val="22"/>
                <w:lang w:val="en-ZA"/>
              </w:rPr>
            </w:pPr>
          </w:p>
          <w:p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rsidR="000263D8" w:rsidRDefault="000263D8" w:rsidP="00C7656D">
      <w:pPr>
        <w:spacing w:after="200" w:line="276" w:lineRule="auto"/>
        <w:rPr>
          <w:rFonts w:ascii="Arial" w:hAnsi="Arial" w:cs="Arial"/>
          <w:b/>
          <w:sz w:val="22"/>
        </w:rPr>
      </w:pPr>
    </w:p>
    <w:p w:rsidR="000625A7" w:rsidRDefault="000625A7" w:rsidP="00C7656D">
      <w:pPr>
        <w:spacing w:after="200" w:line="276" w:lineRule="auto"/>
        <w:rPr>
          <w:rFonts w:ascii="Arial" w:hAnsi="Arial" w:cs="Arial"/>
          <w:b/>
          <w:sz w:val="22"/>
        </w:rPr>
      </w:pPr>
    </w:p>
    <w:p w:rsidR="000625A7" w:rsidRDefault="000625A7" w:rsidP="00C7656D">
      <w:pPr>
        <w:spacing w:after="200" w:line="276" w:lineRule="auto"/>
        <w:rPr>
          <w:rFonts w:ascii="Arial" w:hAnsi="Arial" w:cs="Arial"/>
          <w:b/>
          <w:sz w:val="22"/>
        </w:rPr>
      </w:pPr>
    </w:p>
    <w:p w:rsidR="000625A7" w:rsidRDefault="000625A7" w:rsidP="00C7656D">
      <w:pPr>
        <w:spacing w:after="200" w:line="276" w:lineRule="auto"/>
        <w:rPr>
          <w:rFonts w:ascii="Arial" w:hAnsi="Arial" w:cs="Arial"/>
          <w:b/>
          <w:sz w:val="22"/>
        </w:rPr>
      </w:pPr>
    </w:p>
    <w:p w:rsidR="00CE13F9" w:rsidRDefault="00CE13F9" w:rsidP="00C7656D">
      <w:pPr>
        <w:spacing w:after="200" w:line="276" w:lineRule="auto"/>
        <w:rPr>
          <w:rFonts w:ascii="Arial" w:hAnsi="Arial" w:cs="Arial"/>
          <w:b/>
          <w:sz w:val="22"/>
        </w:rPr>
      </w:pPr>
    </w:p>
    <w:p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rsidTr="00987ACB">
        <w:tc>
          <w:tcPr>
            <w:tcW w:w="9050" w:type="dxa"/>
            <w:shd w:val="clear" w:color="auto" w:fill="000000"/>
          </w:tcPr>
          <w:p w:rsidR="00990864" w:rsidRPr="006260D8" w:rsidRDefault="00990864" w:rsidP="00987ACB">
            <w:pPr>
              <w:tabs>
                <w:tab w:val="left" w:pos="720"/>
              </w:tabs>
              <w:jc w:val="both"/>
              <w:rPr>
                <w:rFonts w:ascii="Arial" w:hAnsi="Arial" w:cs="Arial"/>
                <w:sz w:val="20"/>
              </w:rPr>
            </w:pPr>
          </w:p>
        </w:tc>
      </w:tr>
      <w:tr w:rsidR="00990864" w:rsidRPr="000C5130" w:rsidTr="00AB650A">
        <w:trPr>
          <w:trHeight w:val="2032"/>
        </w:trPr>
        <w:tc>
          <w:tcPr>
            <w:tcW w:w="9050" w:type="dxa"/>
            <w:shd w:val="clear" w:color="auto" w:fill="DDD9C3" w:themeFill="background2" w:themeFillShade="E6"/>
          </w:tcPr>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1" w:name="OLE_LINK6"/>
            <w:r w:rsidRPr="00EB6A30">
              <w:rPr>
                <w:rFonts w:ascii="Arial" w:eastAsia="Calibri" w:hAnsi="Arial" w:cs="Arial"/>
                <w:sz w:val="16"/>
                <w:szCs w:val="22"/>
                <w:lang w:val="en-GB"/>
              </w:rPr>
              <w:lastRenderedPageBreak/>
              <w:t>The suppliers shall on a monthly/quarterly basis submit a report to Eskom in accordance with Data Collection Template on their compliance with the SDL&amp;I obligations described above.</w:t>
            </w:r>
            <w:bookmarkEnd w:id="1"/>
          </w:p>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rsidR="00637D14" w:rsidRDefault="00637D14" w:rsidP="00EB6A30">
      <w:pPr>
        <w:spacing w:after="120" w:line="276" w:lineRule="auto"/>
        <w:rPr>
          <w:rFonts w:ascii="Arial" w:hAnsi="Arial" w:cs="Arial"/>
          <w:b/>
          <w:sz w:val="22"/>
        </w:rPr>
      </w:pPr>
    </w:p>
    <w:p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rsidTr="00987ACB">
        <w:tc>
          <w:tcPr>
            <w:tcW w:w="9050" w:type="dxa"/>
            <w:gridSpan w:val="2"/>
            <w:shd w:val="clear" w:color="auto" w:fill="000000"/>
          </w:tcPr>
          <w:p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rsidTr="00FC0343">
        <w:trPr>
          <w:trHeight w:val="1068"/>
        </w:trPr>
        <w:tc>
          <w:tcPr>
            <w:tcW w:w="4111" w:type="dxa"/>
            <w:shd w:val="clear" w:color="auto" w:fill="auto"/>
          </w:tcPr>
          <w:p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rsidR="00E500CF" w:rsidRDefault="00E500CF" w:rsidP="00987ACB">
            <w:pPr>
              <w:tabs>
                <w:tab w:val="left" w:pos="720"/>
              </w:tabs>
              <w:jc w:val="both"/>
              <w:rPr>
                <w:rFonts w:ascii="Arial" w:hAnsi="Arial" w:cs="Arial"/>
                <w:sz w:val="20"/>
              </w:rPr>
            </w:pPr>
          </w:p>
          <w:p w:rsidR="002E453E" w:rsidRPr="00FB2E48" w:rsidRDefault="00FF4377" w:rsidP="00E84C69">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Openserve Telkom</w:t>
            </w:r>
          </w:p>
        </w:tc>
        <w:tc>
          <w:tcPr>
            <w:tcW w:w="4939" w:type="dxa"/>
            <w:shd w:val="clear" w:color="auto" w:fill="auto"/>
          </w:tcPr>
          <w:p w:rsidR="00E500CF" w:rsidRPr="00612F56" w:rsidRDefault="005C2E51" w:rsidP="005C7FE5">
            <w:pPr>
              <w:tabs>
                <w:tab w:val="left" w:pos="720"/>
              </w:tabs>
              <w:jc w:val="both"/>
              <w:rPr>
                <w:rFonts w:ascii="Arial" w:hAnsi="Arial" w:cs="Arial"/>
                <w:sz w:val="20"/>
              </w:rPr>
            </w:pPr>
            <w:r>
              <w:rPr>
                <w:rFonts w:ascii="Arial" w:hAnsi="Arial" w:cs="Arial"/>
                <w:sz w:val="20"/>
              </w:rPr>
              <w:t>Potential Suppliers:</w:t>
            </w:r>
            <w:r w:rsidR="000625A7">
              <w:rPr>
                <w:rFonts w:ascii="Arial" w:hAnsi="Arial" w:cs="Arial"/>
                <w:sz w:val="20"/>
              </w:rPr>
              <w:t xml:space="preserve"> </w:t>
            </w:r>
          </w:p>
          <w:p w:rsidR="00E500CF" w:rsidRPr="00612F56" w:rsidRDefault="00E500CF" w:rsidP="005C7FE5">
            <w:pPr>
              <w:rPr>
                <w:rFonts w:ascii="Arial" w:hAnsi="Arial" w:cs="Arial"/>
                <w:sz w:val="20"/>
              </w:rPr>
            </w:pPr>
          </w:p>
          <w:p w:rsidR="00713E63" w:rsidRPr="00692B80" w:rsidRDefault="00E84C69" w:rsidP="00BD7BF4">
            <w:pPr>
              <w:pStyle w:val="ListParagraph"/>
              <w:numPr>
                <w:ilvl w:val="0"/>
                <w:numId w:val="32"/>
              </w:numPr>
              <w:contextualSpacing w:val="0"/>
              <w:rPr>
                <w:rFonts w:ascii="Arial" w:hAnsi="Arial" w:cs="Arial"/>
                <w:sz w:val="20"/>
              </w:rPr>
            </w:pPr>
            <w:r>
              <w:rPr>
                <w:rFonts w:ascii="Arial" w:hAnsi="Arial" w:cs="Arial"/>
                <w:sz w:val="20"/>
              </w:rPr>
              <w:t>Open market</w:t>
            </w:r>
          </w:p>
        </w:tc>
      </w:tr>
    </w:tbl>
    <w:p w:rsidR="00874A63" w:rsidRDefault="00874A63" w:rsidP="00EB6A30">
      <w:pPr>
        <w:spacing w:line="276" w:lineRule="auto"/>
        <w:rPr>
          <w:rFonts w:ascii="Arial" w:hAnsi="Arial" w:cs="Arial"/>
          <w:b/>
          <w:sz w:val="22"/>
        </w:rPr>
      </w:pPr>
    </w:p>
    <w:p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rsidTr="00987ACB">
        <w:tc>
          <w:tcPr>
            <w:tcW w:w="9016" w:type="dxa"/>
            <w:shd w:val="clear" w:color="auto" w:fill="000000" w:themeFill="text1"/>
          </w:tcPr>
          <w:p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rsidTr="003D66FA">
        <w:tc>
          <w:tcPr>
            <w:tcW w:w="9016" w:type="dxa"/>
            <w:shd w:val="clear" w:color="auto" w:fill="DDD9C3" w:themeFill="background2" w:themeFillShade="E6"/>
          </w:tcPr>
          <w:p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rsidTr="00637D14">
        <w:tc>
          <w:tcPr>
            <w:tcW w:w="4508" w:type="dxa"/>
          </w:tcPr>
          <w:p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rsidR="00637D14" w:rsidRDefault="00637D14" w:rsidP="00637D14">
            <w:pPr>
              <w:tabs>
                <w:tab w:val="left" w:pos="720"/>
              </w:tabs>
              <w:jc w:val="both"/>
              <w:rPr>
                <w:rFonts w:ascii="Arial" w:hAnsi="Arial" w:cs="Arial"/>
                <w:sz w:val="20"/>
              </w:rPr>
            </w:pPr>
          </w:p>
        </w:tc>
        <w:tc>
          <w:tcPr>
            <w:tcW w:w="4508" w:type="dxa"/>
          </w:tcPr>
          <w:p w:rsidR="00637D14" w:rsidRDefault="00637D14" w:rsidP="00304117">
            <w:pPr>
              <w:tabs>
                <w:tab w:val="left" w:pos="720"/>
              </w:tabs>
              <w:jc w:val="both"/>
              <w:rPr>
                <w:rFonts w:ascii="Arial" w:hAnsi="Arial" w:cs="Arial"/>
                <w:sz w:val="20"/>
              </w:rPr>
            </w:pPr>
          </w:p>
        </w:tc>
      </w:tr>
      <w:tr w:rsidR="00637D14" w:rsidRPr="00AC3774" w:rsidTr="00637D14">
        <w:tc>
          <w:tcPr>
            <w:tcW w:w="4508" w:type="dxa"/>
          </w:tcPr>
          <w:p w:rsidR="00637D14" w:rsidRDefault="00637D14" w:rsidP="00304117">
            <w:pPr>
              <w:tabs>
                <w:tab w:val="left" w:pos="720"/>
              </w:tabs>
              <w:jc w:val="both"/>
              <w:rPr>
                <w:rFonts w:ascii="Arial" w:hAnsi="Arial" w:cs="Arial"/>
                <w:sz w:val="20"/>
              </w:rPr>
            </w:pPr>
          </w:p>
          <w:p w:rsidR="003E3613" w:rsidRPr="00AC3774" w:rsidRDefault="003E3613" w:rsidP="00304117">
            <w:pPr>
              <w:tabs>
                <w:tab w:val="left" w:pos="720"/>
              </w:tabs>
              <w:jc w:val="both"/>
              <w:rPr>
                <w:rFonts w:ascii="Arial" w:hAnsi="Arial" w:cs="Arial"/>
                <w:sz w:val="20"/>
              </w:rPr>
            </w:pPr>
          </w:p>
          <w:p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rsidR="00637D14" w:rsidRPr="00AC3774" w:rsidRDefault="00637D14" w:rsidP="00637D14">
            <w:pPr>
              <w:tabs>
                <w:tab w:val="left" w:pos="720"/>
              </w:tabs>
              <w:jc w:val="both"/>
              <w:rPr>
                <w:rFonts w:ascii="Arial" w:hAnsi="Arial" w:cs="Arial"/>
                <w:sz w:val="20"/>
              </w:rPr>
            </w:pPr>
          </w:p>
        </w:tc>
        <w:tc>
          <w:tcPr>
            <w:tcW w:w="4508" w:type="dxa"/>
          </w:tcPr>
          <w:p w:rsidR="00637D14" w:rsidRPr="00AC3774" w:rsidRDefault="00637D14" w:rsidP="00304117">
            <w:pPr>
              <w:tabs>
                <w:tab w:val="left" w:pos="720"/>
              </w:tabs>
              <w:jc w:val="both"/>
              <w:rPr>
                <w:rFonts w:ascii="Arial" w:hAnsi="Arial" w:cs="Arial"/>
                <w:sz w:val="20"/>
              </w:rPr>
            </w:pPr>
          </w:p>
        </w:tc>
      </w:tr>
      <w:tr w:rsidR="00637D14" w:rsidRPr="00AC3774" w:rsidTr="00637D14">
        <w:tc>
          <w:tcPr>
            <w:tcW w:w="4508" w:type="dxa"/>
          </w:tcPr>
          <w:p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rsidR="00637D14" w:rsidRPr="00AC3774" w:rsidRDefault="00637D14" w:rsidP="00750B4A">
            <w:pPr>
              <w:tabs>
                <w:tab w:val="left" w:pos="720"/>
              </w:tabs>
              <w:jc w:val="both"/>
              <w:rPr>
                <w:rFonts w:ascii="Arial" w:hAnsi="Arial" w:cs="Arial"/>
                <w:sz w:val="20"/>
              </w:rPr>
            </w:pPr>
          </w:p>
        </w:tc>
        <w:tc>
          <w:tcPr>
            <w:tcW w:w="4508" w:type="dxa"/>
          </w:tcPr>
          <w:p w:rsidR="00637D14" w:rsidRPr="00AC3774" w:rsidRDefault="00637D14" w:rsidP="00304117">
            <w:pPr>
              <w:tabs>
                <w:tab w:val="left" w:pos="720"/>
              </w:tabs>
              <w:jc w:val="both"/>
              <w:rPr>
                <w:rFonts w:ascii="Arial" w:hAnsi="Arial" w:cs="Arial"/>
                <w:sz w:val="20"/>
              </w:rPr>
            </w:pPr>
          </w:p>
        </w:tc>
      </w:tr>
      <w:tr w:rsidR="00637D14" w:rsidTr="00637D14">
        <w:tc>
          <w:tcPr>
            <w:tcW w:w="4508" w:type="dxa"/>
          </w:tcPr>
          <w:p w:rsidR="00637D14" w:rsidRPr="00AC3774" w:rsidRDefault="00637D14" w:rsidP="00304117">
            <w:pPr>
              <w:tabs>
                <w:tab w:val="left" w:pos="720"/>
              </w:tabs>
              <w:jc w:val="both"/>
              <w:rPr>
                <w:rFonts w:ascii="Arial" w:hAnsi="Arial" w:cs="Arial"/>
                <w:sz w:val="20"/>
              </w:rPr>
            </w:pPr>
          </w:p>
          <w:p w:rsidR="00637D14" w:rsidRPr="00AC3774" w:rsidRDefault="00FF4377" w:rsidP="00FF4377">
            <w:pPr>
              <w:tabs>
                <w:tab w:val="left" w:pos="720"/>
              </w:tabs>
              <w:jc w:val="both"/>
              <w:rPr>
                <w:rFonts w:ascii="Arial" w:hAnsi="Arial" w:cs="Arial"/>
                <w:sz w:val="20"/>
              </w:rPr>
            </w:pPr>
            <w:r>
              <w:rPr>
                <w:rFonts w:ascii="Arial" w:hAnsi="Arial" w:cs="Arial"/>
                <w:sz w:val="20"/>
              </w:rPr>
              <w:t>Date:11</w:t>
            </w:r>
            <w:r w:rsidR="00637D14">
              <w:rPr>
                <w:rFonts w:ascii="Arial" w:hAnsi="Arial" w:cs="Arial"/>
                <w:sz w:val="20"/>
              </w:rPr>
              <w:t xml:space="preserve"> </w:t>
            </w:r>
            <w:r w:rsidR="00334F93">
              <w:rPr>
                <w:rFonts w:ascii="Arial" w:hAnsi="Arial" w:cs="Arial"/>
                <w:sz w:val="20"/>
              </w:rPr>
              <w:t>Octo</w:t>
            </w:r>
            <w:r w:rsidR="00BD7BF4">
              <w:rPr>
                <w:rFonts w:ascii="Arial" w:hAnsi="Arial" w:cs="Arial"/>
                <w:sz w:val="20"/>
              </w:rPr>
              <w:t>ber</w:t>
            </w:r>
            <w:r w:rsidR="00637D14">
              <w:rPr>
                <w:rFonts w:ascii="Arial" w:hAnsi="Arial" w:cs="Arial"/>
                <w:sz w:val="20"/>
              </w:rPr>
              <w:t xml:space="preserve"> 2021</w:t>
            </w:r>
          </w:p>
        </w:tc>
        <w:tc>
          <w:tcPr>
            <w:tcW w:w="4508" w:type="dxa"/>
          </w:tcPr>
          <w:p w:rsidR="00637D14" w:rsidRPr="00AC3774" w:rsidRDefault="00637D14" w:rsidP="00637D14">
            <w:pPr>
              <w:tabs>
                <w:tab w:val="left" w:pos="720"/>
              </w:tabs>
              <w:jc w:val="both"/>
              <w:rPr>
                <w:rFonts w:ascii="Arial" w:hAnsi="Arial" w:cs="Arial"/>
                <w:sz w:val="20"/>
              </w:rPr>
            </w:pPr>
          </w:p>
        </w:tc>
        <w:tc>
          <w:tcPr>
            <w:tcW w:w="4508" w:type="dxa"/>
          </w:tcPr>
          <w:p w:rsidR="00637D14" w:rsidRPr="00AC3774" w:rsidRDefault="00637D14" w:rsidP="00304117">
            <w:pPr>
              <w:tabs>
                <w:tab w:val="left" w:pos="720"/>
              </w:tabs>
              <w:jc w:val="both"/>
              <w:rPr>
                <w:rFonts w:ascii="Arial" w:hAnsi="Arial" w:cs="Arial"/>
                <w:sz w:val="20"/>
              </w:rPr>
            </w:pPr>
          </w:p>
          <w:p w:rsidR="00637D14" w:rsidRPr="00AC3774" w:rsidRDefault="00637D14" w:rsidP="00304117">
            <w:pPr>
              <w:tabs>
                <w:tab w:val="left" w:pos="720"/>
              </w:tabs>
              <w:jc w:val="both"/>
              <w:rPr>
                <w:rFonts w:ascii="Arial" w:hAnsi="Arial" w:cs="Arial"/>
                <w:sz w:val="20"/>
              </w:rPr>
            </w:pPr>
          </w:p>
        </w:tc>
      </w:tr>
    </w:tbl>
    <w:p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E9" w:rsidRDefault="003B44E9" w:rsidP="00201A98">
      <w:r>
        <w:separator/>
      </w:r>
    </w:p>
  </w:endnote>
  <w:endnote w:type="continuationSeparator" w:id="0">
    <w:p w:rsidR="003B44E9" w:rsidRDefault="003B44E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rsidR="00105474" w:rsidRPr="00105474" w:rsidRDefault="00105474" w:rsidP="00105474">
    <w:pPr>
      <w:pStyle w:val="Footer"/>
      <w:jc w:val="center"/>
      <w:rPr>
        <w:rFonts w:ascii="Arial" w:hAnsi="Arial" w:cs="Arial"/>
        <w:sz w:val="16"/>
        <w:szCs w:val="16"/>
        <w:lang w:val="en-GB"/>
      </w:rPr>
    </w:pPr>
  </w:p>
  <w:p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572A2">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572A2">
      <w:rPr>
        <w:rFonts w:ascii="Arial" w:hAnsi="Arial" w:cs="Arial"/>
        <w:noProof/>
        <w:sz w:val="16"/>
        <w:szCs w:val="16"/>
      </w:rPr>
      <w:t>5</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E9" w:rsidRDefault="003B44E9" w:rsidP="00201A98">
      <w:r>
        <w:separator/>
      </w:r>
    </w:p>
  </w:footnote>
  <w:footnote w:type="continuationSeparator" w:id="0">
    <w:p w:rsidR="003B44E9" w:rsidRDefault="003B44E9"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rsidTr="00105474">
      <w:trPr>
        <w:cantSplit/>
        <w:trHeight w:val="263"/>
        <w:jc w:val="center"/>
      </w:trPr>
      <w:tc>
        <w:tcPr>
          <w:tcW w:w="2410" w:type="dxa"/>
          <w:vMerge w:val="restart"/>
          <w:vAlign w:val="bottom"/>
        </w:tcPr>
        <w:p w:rsidR="00304117" w:rsidRPr="003914DE" w:rsidRDefault="003B44E9" w:rsidP="00EA1B3D">
          <w:pPr>
            <w:spacing w:before="840"/>
            <w:rPr>
              <w:rFonts w:ascii="Arial" w:hAnsi="Arial"/>
              <w:b/>
              <w:lang w:val="en-GB"/>
            </w:rPr>
          </w:pPr>
          <w:r>
            <w:rPr>
              <w:rFonts w:ascii="Arial" w:hAnsi="Arial"/>
              <w:b/>
              <w:lang w:val="en-GB"/>
            </w:rPr>
            <w:pict w14:anchorId="17B71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415887" r:id="rId2"/>
            </w:pict>
          </w:r>
        </w:p>
      </w:tc>
      <w:tc>
        <w:tcPr>
          <w:tcW w:w="3544" w:type="dxa"/>
          <w:vMerge w:val="restart"/>
          <w:vAlign w:val="center"/>
        </w:tcPr>
        <w:p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rsidR="00304117" w:rsidRPr="00105474" w:rsidRDefault="00B3212E" w:rsidP="003113D9">
          <w:pPr>
            <w:rPr>
              <w:rFonts w:ascii="Arial" w:hAnsi="Arial"/>
              <w:sz w:val="16"/>
              <w:lang w:val="en-GB"/>
            </w:rPr>
          </w:pPr>
          <w:r>
            <w:rPr>
              <w:rFonts w:ascii="Arial" w:hAnsi="Arial"/>
              <w:sz w:val="16"/>
              <w:lang w:val="en-GB"/>
            </w:rPr>
            <w:t>6</w:t>
          </w:r>
        </w:p>
      </w:tc>
    </w:tr>
    <w:tr w:rsidR="00B3212E" w:rsidRPr="00116E60" w:rsidTr="00105474">
      <w:trPr>
        <w:cantSplit/>
        <w:trHeight w:val="261"/>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rsidR="00B3212E" w:rsidRPr="00105474" w:rsidRDefault="00D5588B" w:rsidP="0088295E">
          <w:pPr>
            <w:rPr>
              <w:rFonts w:ascii="Arial" w:hAnsi="Arial"/>
              <w:sz w:val="16"/>
              <w:lang w:val="en-GB"/>
            </w:rPr>
          </w:pPr>
          <w:r>
            <w:rPr>
              <w:rFonts w:ascii="Arial" w:hAnsi="Arial"/>
              <w:sz w:val="16"/>
              <w:lang w:val="en-GB"/>
            </w:rPr>
            <w:t>3</w:t>
          </w:r>
        </w:p>
      </w:tc>
    </w:tr>
    <w:tr w:rsidR="00B3212E" w:rsidRPr="00116E60" w:rsidTr="00105474">
      <w:trPr>
        <w:cantSplit/>
        <w:trHeight w:val="261"/>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rsidTr="00105474">
      <w:trPr>
        <w:cantSplit/>
        <w:trHeight w:hRule="exact" w:val="322"/>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rsidR="00304117" w:rsidRDefault="00304117" w:rsidP="001552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12031"/>
    <w:rsid w:val="00012461"/>
    <w:rsid w:val="00023030"/>
    <w:rsid w:val="000263D8"/>
    <w:rsid w:val="00035A8A"/>
    <w:rsid w:val="000455A9"/>
    <w:rsid w:val="000625A7"/>
    <w:rsid w:val="00067DC9"/>
    <w:rsid w:val="00074C17"/>
    <w:rsid w:val="00077A57"/>
    <w:rsid w:val="00097047"/>
    <w:rsid w:val="000A01FA"/>
    <w:rsid w:val="000A386C"/>
    <w:rsid w:val="000B165C"/>
    <w:rsid w:val="000B28F1"/>
    <w:rsid w:val="000B6B22"/>
    <w:rsid w:val="000B7D6D"/>
    <w:rsid w:val="000C33EB"/>
    <w:rsid w:val="000C6C73"/>
    <w:rsid w:val="000D4357"/>
    <w:rsid w:val="001022DD"/>
    <w:rsid w:val="00105474"/>
    <w:rsid w:val="00115ECC"/>
    <w:rsid w:val="001477A3"/>
    <w:rsid w:val="00154240"/>
    <w:rsid w:val="00155040"/>
    <w:rsid w:val="00155248"/>
    <w:rsid w:val="00161EF8"/>
    <w:rsid w:val="001645BF"/>
    <w:rsid w:val="00173BE4"/>
    <w:rsid w:val="001829A7"/>
    <w:rsid w:val="001956EA"/>
    <w:rsid w:val="001A408A"/>
    <w:rsid w:val="001A57D9"/>
    <w:rsid w:val="001B2323"/>
    <w:rsid w:val="001B3B2A"/>
    <w:rsid w:val="001C599B"/>
    <w:rsid w:val="001C61B6"/>
    <w:rsid w:val="001D042C"/>
    <w:rsid w:val="001D1614"/>
    <w:rsid w:val="001D391D"/>
    <w:rsid w:val="001D3F40"/>
    <w:rsid w:val="00201A98"/>
    <w:rsid w:val="00212A22"/>
    <w:rsid w:val="002319CA"/>
    <w:rsid w:val="002341C9"/>
    <w:rsid w:val="00253B8A"/>
    <w:rsid w:val="002632AA"/>
    <w:rsid w:val="00270763"/>
    <w:rsid w:val="00276C45"/>
    <w:rsid w:val="0027700C"/>
    <w:rsid w:val="002855B7"/>
    <w:rsid w:val="00296B82"/>
    <w:rsid w:val="002A7C4A"/>
    <w:rsid w:val="002B02CB"/>
    <w:rsid w:val="002E453E"/>
    <w:rsid w:val="002F4F5C"/>
    <w:rsid w:val="00300333"/>
    <w:rsid w:val="00304117"/>
    <w:rsid w:val="003113D9"/>
    <w:rsid w:val="003127C7"/>
    <w:rsid w:val="00317372"/>
    <w:rsid w:val="0032593D"/>
    <w:rsid w:val="003317CA"/>
    <w:rsid w:val="00332369"/>
    <w:rsid w:val="00334F93"/>
    <w:rsid w:val="003363BE"/>
    <w:rsid w:val="003462C3"/>
    <w:rsid w:val="00347894"/>
    <w:rsid w:val="003633CD"/>
    <w:rsid w:val="00373CF8"/>
    <w:rsid w:val="0037426F"/>
    <w:rsid w:val="003840F2"/>
    <w:rsid w:val="003914DE"/>
    <w:rsid w:val="0039219D"/>
    <w:rsid w:val="003B3ABD"/>
    <w:rsid w:val="003B44E9"/>
    <w:rsid w:val="003C07F4"/>
    <w:rsid w:val="003D48B8"/>
    <w:rsid w:val="003D66FA"/>
    <w:rsid w:val="003D78F9"/>
    <w:rsid w:val="003E052A"/>
    <w:rsid w:val="003E3613"/>
    <w:rsid w:val="003E4D3F"/>
    <w:rsid w:val="003F2387"/>
    <w:rsid w:val="003F3E07"/>
    <w:rsid w:val="003F59CF"/>
    <w:rsid w:val="003F7B1E"/>
    <w:rsid w:val="00404772"/>
    <w:rsid w:val="004251A4"/>
    <w:rsid w:val="004364AE"/>
    <w:rsid w:val="00457274"/>
    <w:rsid w:val="00460577"/>
    <w:rsid w:val="00470A92"/>
    <w:rsid w:val="004857A1"/>
    <w:rsid w:val="004954EB"/>
    <w:rsid w:val="004C3176"/>
    <w:rsid w:val="004C38A6"/>
    <w:rsid w:val="004D00A8"/>
    <w:rsid w:val="004D1602"/>
    <w:rsid w:val="004E19F4"/>
    <w:rsid w:val="004E6C33"/>
    <w:rsid w:val="004E704A"/>
    <w:rsid w:val="004E77C0"/>
    <w:rsid w:val="004F07CB"/>
    <w:rsid w:val="004F117E"/>
    <w:rsid w:val="004F578D"/>
    <w:rsid w:val="00504CE2"/>
    <w:rsid w:val="00506A41"/>
    <w:rsid w:val="005125A6"/>
    <w:rsid w:val="00514EB4"/>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587E"/>
    <w:rsid w:val="006260D8"/>
    <w:rsid w:val="00627923"/>
    <w:rsid w:val="00627AF6"/>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536C"/>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6FB1"/>
    <w:rsid w:val="00784A54"/>
    <w:rsid w:val="00785295"/>
    <w:rsid w:val="00791C9C"/>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92A"/>
    <w:rsid w:val="00894E42"/>
    <w:rsid w:val="008951A9"/>
    <w:rsid w:val="0089757B"/>
    <w:rsid w:val="008A3FC8"/>
    <w:rsid w:val="008A66CD"/>
    <w:rsid w:val="008B5871"/>
    <w:rsid w:val="008C01CF"/>
    <w:rsid w:val="008C0E9E"/>
    <w:rsid w:val="008D2A4D"/>
    <w:rsid w:val="008F5BEC"/>
    <w:rsid w:val="00903604"/>
    <w:rsid w:val="009136C8"/>
    <w:rsid w:val="009214A0"/>
    <w:rsid w:val="00924E22"/>
    <w:rsid w:val="009338D6"/>
    <w:rsid w:val="00944D59"/>
    <w:rsid w:val="0095525E"/>
    <w:rsid w:val="009572A2"/>
    <w:rsid w:val="00965504"/>
    <w:rsid w:val="00970379"/>
    <w:rsid w:val="00974959"/>
    <w:rsid w:val="00977B70"/>
    <w:rsid w:val="009801BA"/>
    <w:rsid w:val="00990864"/>
    <w:rsid w:val="009A77EC"/>
    <w:rsid w:val="009F3555"/>
    <w:rsid w:val="00A05C1D"/>
    <w:rsid w:val="00A111DA"/>
    <w:rsid w:val="00A22E2A"/>
    <w:rsid w:val="00A22EF4"/>
    <w:rsid w:val="00A256F9"/>
    <w:rsid w:val="00A346F0"/>
    <w:rsid w:val="00A40E90"/>
    <w:rsid w:val="00A4460B"/>
    <w:rsid w:val="00A473FA"/>
    <w:rsid w:val="00A532EE"/>
    <w:rsid w:val="00A651E0"/>
    <w:rsid w:val="00A6602E"/>
    <w:rsid w:val="00A67C16"/>
    <w:rsid w:val="00A72491"/>
    <w:rsid w:val="00A72A16"/>
    <w:rsid w:val="00A91CB3"/>
    <w:rsid w:val="00AA16F4"/>
    <w:rsid w:val="00AA403D"/>
    <w:rsid w:val="00AB4D3B"/>
    <w:rsid w:val="00AB5E5E"/>
    <w:rsid w:val="00AB64E3"/>
    <w:rsid w:val="00AB650A"/>
    <w:rsid w:val="00AC3774"/>
    <w:rsid w:val="00AD784B"/>
    <w:rsid w:val="00AE7139"/>
    <w:rsid w:val="00AF35DE"/>
    <w:rsid w:val="00AF6824"/>
    <w:rsid w:val="00B0566F"/>
    <w:rsid w:val="00B263C0"/>
    <w:rsid w:val="00B3212E"/>
    <w:rsid w:val="00B35AA2"/>
    <w:rsid w:val="00B44389"/>
    <w:rsid w:val="00B47EA0"/>
    <w:rsid w:val="00B54B80"/>
    <w:rsid w:val="00B57DBD"/>
    <w:rsid w:val="00B66F01"/>
    <w:rsid w:val="00B70E33"/>
    <w:rsid w:val="00B8181F"/>
    <w:rsid w:val="00B85F6B"/>
    <w:rsid w:val="00B93602"/>
    <w:rsid w:val="00BA5C88"/>
    <w:rsid w:val="00BB6D00"/>
    <w:rsid w:val="00BC6F34"/>
    <w:rsid w:val="00BD2863"/>
    <w:rsid w:val="00BD65E2"/>
    <w:rsid w:val="00BD7BF4"/>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7975"/>
    <w:rsid w:val="00C71201"/>
    <w:rsid w:val="00C71402"/>
    <w:rsid w:val="00C72E5D"/>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787A"/>
    <w:rsid w:val="00CE00CF"/>
    <w:rsid w:val="00CE13F9"/>
    <w:rsid w:val="00CE5EEE"/>
    <w:rsid w:val="00CF781D"/>
    <w:rsid w:val="00D04B3C"/>
    <w:rsid w:val="00D21895"/>
    <w:rsid w:val="00D32E5C"/>
    <w:rsid w:val="00D3660F"/>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500CF"/>
    <w:rsid w:val="00E534E2"/>
    <w:rsid w:val="00E71288"/>
    <w:rsid w:val="00E71A93"/>
    <w:rsid w:val="00E84C69"/>
    <w:rsid w:val="00E90B24"/>
    <w:rsid w:val="00EA1B3D"/>
    <w:rsid w:val="00EA320B"/>
    <w:rsid w:val="00EA4206"/>
    <w:rsid w:val="00EB20DA"/>
    <w:rsid w:val="00EB6A30"/>
    <w:rsid w:val="00EC662F"/>
    <w:rsid w:val="00ED3668"/>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3247D"/>
    <w:rsid w:val="00F337F6"/>
    <w:rsid w:val="00F45833"/>
    <w:rsid w:val="00F53FC5"/>
    <w:rsid w:val="00F64443"/>
    <w:rsid w:val="00F819D3"/>
    <w:rsid w:val="00F92697"/>
    <w:rsid w:val="00F9323F"/>
    <w:rsid w:val="00F9702A"/>
    <w:rsid w:val="00FA1238"/>
    <w:rsid w:val="00FA31B2"/>
    <w:rsid w:val="00FB2E48"/>
    <w:rsid w:val="00FB3F38"/>
    <w:rsid w:val="00FC0343"/>
    <w:rsid w:val="00FD73A1"/>
    <w:rsid w:val="00FE27D9"/>
    <w:rsid w:val="00FE6AD8"/>
    <w:rsid w:val="00FF43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36486097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2021-10-11T11:07:00Z</cp:lastPrinted>
  <dcterms:created xsi:type="dcterms:W3CDTF">2021-11-14T15:25:00Z</dcterms:created>
  <dcterms:modified xsi:type="dcterms:W3CDTF">2021-11-14T15:25:00Z</dcterms:modified>
</cp:coreProperties>
</file>