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2858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56D5535F" wp14:editId="50EC3B2D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07BA1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6F83AA26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29236BC4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4EEA10B3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048F7C59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FA2033B" w14:textId="77777777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2D207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Plastic bags</w:t>
      </w:r>
    </w:p>
    <w:p w14:paraId="556297F1" w14:textId="77777777" w:rsidR="00E45299" w:rsidRPr="007850FE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 xml:space="preserve">Scope of Work, Conditions for </w:t>
      </w:r>
      <w:r w:rsidR="002D207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Plastic bags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D0F58D9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426BEA84" w14:textId="77777777" w:rsidR="00B74761" w:rsidRPr="007850FE" w:rsidRDefault="002D2074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Plastic bags</w:t>
            </w:r>
          </w:p>
        </w:tc>
        <w:tc>
          <w:tcPr>
            <w:tcW w:w="1417" w:type="dxa"/>
            <w:vMerge w:val="restart"/>
            <w:vAlign w:val="center"/>
          </w:tcPr>
          <w:p w14:paraId="4110AE5B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37FDC22F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43B90A7A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70D03327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7E47537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115985C0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326CCCED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2FE6017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620877" w14:paraId="0478FB66" w14:textId="77777777" w:rsidTr="000C1EC5">
        <w:trPr>
          <w:trHeight w:val="992"/>
          <w:jc w:val="center"/>
        </w:trPr>
        <w:tc>
          <w:tcPr>
            <w:tcW w:w="3954" w:type="dxa"/>
          </w:tcPr>
          <w:p w14:paraId="2CD3C609" w14:textId="77777777" w:rsidR="00B74761" w:rsidRPr="00620877" w:rsidRDefault="002D2074" w:rsidP="00DA2D83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2D2074">
              <w:rPr>
                <w:rFonts w:ascii="Arial" w:eastAsiaTheme="minorHAnsi" w:hAnsi="Arial" w:cs="Arial"/>
                <w:sz w:val="22"/>
                <w:szCs w:val="22"/>
              </w:rPr>
              <w:t>Bag MK4 20 micron - perforated</w:t>
            </w:r>
          </w:p>
        </w:tc>
        <w:tc>
          <w:tcPr>
            <w:tcW w:w="3544" w:type="dxa"/>
          </w:tcPr>
          <w:p w14:paraId="53610755" w14:textId="77777777" w:rsidR="00B74761" w:rsidRPr="00620877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4C632D55" w14:textId="77777777" w:rsidR="00B74761" w:rsidRPr="00620877" w:rsidRDefault="002D2074" w:rsidP="000C1E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</w:tcPr>
          <w:p w14:paraId="13CEED79" w14:textId="77777777" w:rsidR="00B74761" w:rsidRPr="00620877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283" w:rsidRPr="00620877" w14:paraId="5E755542" w14:textId="77777777" w:rsidTr="004C5283">
        <w:trPr>
          <w:trHeight w:val="2771"/>
          <w:jc w:val="center"/>
        </w:trPr>
        <w:tc>
          <w:tcPr>
            <w:tcW w:w="3954" w:type="dxa"/>
          </w:tcPr>
          <w:p w14:paraId="0AD7E399" w14:textId="0DAEA640" w:rsidR="004C5283" w:rsidRPr="002D2074" w:rsidRDefault="004C5283" w:rsidP="00DA2D83">
            <w:pPr>
              <w:ind w:left="728" w:hanging="728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3C7AC9D" wp14:editId="25708922">
                  <wp:extent cx="2069734" cy="1552575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180" cy="1562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7432759" w14:textId="77777777" w:rsidR="004C5283" w:rsidRPr="00620877" w:rsidRDefault="004C5283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06492EBE" w14:textId="77777777" w:rsidR="004C5283" w:rsidRDefault="004C5283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4092E559" w14:textId="77777777" w:rsidR="004C5283" w:rsidRPr="00620877" w:rsidRDefault="004C5283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4C5283" w:rsidRPr="00620877" w14:paraId="11068D94" w14:textId="77777777" w:rsidTr="004C5283">
        <w:trPr>
          <w:trHeight w:val="2381"/>
          <w:jc w:val="center"/>
        </w:trPr>
        <w:tc>
          <w:tcPr>
            <w:tcW w:w="3954" w:type="dxa"/>
          </w:tcPr>
          <w:p w14:paraId="320937E8" w14:textId="29780667" w:rsidR="004C5283" w:rsidRDefault="004C5283" w:rsidP="00DA2D83">
            <w:pPr>
              <w:ind w:left="728" w:hanging="72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C94151" wp14:editId="571306F4">
                  <wp:extent cx="1657350" cy="124323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134" cy="1246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6B29DB1" w14:textId="77777777" w:rsidR="004C5283" w:rsidRPr="00620877" w:rsidRDefault="004C5283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2D58640C" w14:textId="77777777" w:rsidR="004C5283" w:rsidRDefault="004C5283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3302E48C" w14:textId="77777777" w:rsidR="004C5283" w:rsidRPr="00620877" w:rsidRDefault="004C5283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05133A0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3636441D" w14:textId="77777777" w:rsidR="00CD0BDA" w:rsidRPr="00CD0BDA" w:rsidRDefault="00BF707C" w:rsidP="00CD0BD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 xml:space="preserve">PRICING SCHEDULE FOR </w:t>
      </w:r>
      <w:r w:rsidR="002D207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Plastic bags</w:t>
      </w:r>
    </w:p>
    <w:p w14:paraId="5ADFCED8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13AA6B00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2B27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6C9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5BCE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87D95C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620877" w:rsidRPr="00D64763" w14:paraId="74571C76" w14:textId="77777777" w:rsidTr="00E32E78">
        <w:trPr>
          <w:gridAfter w:val="1"/>
          <w:wAfter w:w="8" w:type="dxa"/>
          <w:trHeight w:val="362"/>
          <w:jc w:val="center"/>
        </w:trPr>
        <w:tc>
          <w:tcPr>
            <w:tcW w:w="6222" w:type="dxa"/>
          </w:tcPr>
          <w:p w14:paraId="0BD7AAE8" w14:textId="77777777" w:rsidR="00620877" w:rsidRPr="00620877" w:rsidRDefault="002D2074" w:rsidP="00620877">
            <w:pPr>
              <w:ind w:left="728" w:hanging="728"/>
              <w:rPr>
                <w:rFonts w:ascii="Arial" w:hAnsi="Arial" w:cs="Arial"/>
              </w:rPr>
            </w:pPr>
            <w:r w:rsidRPr="002D2074">
              <w:rPr>
                <w:rFonts w:ascii="Arial" w:hAnsi="Arial" w:cs="Arial"/>
              </w:rPr>
              <w:t>Bag MK4 20 micron - perforated</w:t>
            </w:r>
          </w:p>
        </w:tc>
        <w:tc>
          <w:tcPr>
            <w:tcW w:w="1129" w:type="dxa"/>
          </w:tcPr>
          <w:p w14:paraId="6BC439D4" w14:textId="77777777" w:rsidR="00620877" w:rsidRPr="00014EDF" w:rsidRDefault="002D2074" w:rsidP="006208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7904" w14:textId="77777777" w:rsidR="00620877" w:rsidRPr="00D64763" w:rsidRDefault="00620877" w:rsidP="0062087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8E8A29" w14:textId="77777777" w:rsidR="00620877" w:rsidRPr="00D64763" w:rsidRDefault="00620877" w:rsidP="00620877">
            <w:pPr>
              <w:rPr>
                <w:rFonts w:ascii="Arial" w:eastAsia="SimSun" w:hAnsi="Arial" w:cs="Arial"/>
              </w:rPr>
            </w:pPr>
          </w:p>
        </w:tc>
      </w:tr>
      <w:tr w:rsidR="00620877" w:rsidRPr="00D64763" w14:paraId="3C6CC396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BC557" w14:textId="77777777" w:rsidR="00620877" w:rsidRPr="00D64763" w:rsidRDefault="00620877" w:rsidP="0062087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E78CB" w14:textId="77777777" w:rsidR="00620877" w:rsidRPr="00D64763" w:rsidRDefault="00620877" w:rsidP="00620877">
            <w:pPr>
              <w:rPr>
                <w:rFonts w:ascii="Arial" w:eastAsia="SimSun" w:hAnsi="Arial" w:cs="Arial"/>
              </w:rPr>
            </w:pPr>
          </w:p>
        </w:tc>
      </w:tr>
      <w:tr w:rsidR="00620877" w:rsidRPr="00D64763" w14:paraId="439C092C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98220B" w14:textId="77777777" w:rsidR="00620877" w:rsidRPr="00D64763" w:rsidRDefault="00620877" w:rsidP="0062087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EBD96" w14:textId="77777777" w:rsidR="00620877" w:rsidRPr="00D64763" w:rsidRDefault="00620877" w:rsidP="00620877">
            <w:pPr>
              <w:rPr>
                <w:rFonts w:ascii="Arial" w:eastAsia="SimSun" w:hAnsi="Arial" w:cs="Arial"/>
              </w:rPr>
            </w:pPr>
          </w:p>
        </w:tc>
      </w:tr>
      <w:tr w:rsidR="00620877" w:rsidRPr="00D64763" w14:paraId="46928030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A331" w14:textId="77777777" w:rsidR="00620877" w:rsidRPr="00D64763" w:rsidRDefault="00620877" w:rsidP="0062087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97035" w14:textId="77777777" w:rsidR="00620877" w:rsidRPr="00D64763" w:rsidRDefault="00620877" w:rsidP="00620877">
            <w:pPr>
              <w:rPr>
                <w:rFonts w:ascii="Arial" w:eastAsia="SimSun" w:hAnsi="Arial" w:cs="Arial"/>
              </w:rPr>
            </w:pPr>
          </w:p>
        </w:tc>
      </w:tr>
    </w:tbl>
    <w:p w14:paraId="7D4C9098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7D540B47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1C41B0EF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1F2D8A5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312099A0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4AB2522F" w14:textId="77777777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 xml:space="preserve">: </w:t>
      </w:r>
      <w:r w:rsidR="007850FE">
        <w:rPr>
          <w:rFonts w:ascii="Arial" w:hAnsi="Arial" w:cs="Arial"/>
          <w:b/>
          <w:lang w:eastAsia="en-ZA"/>
        </w:rPr>
        <w:t xml:space="preserve">Ms </w:t>
      </w:r>
      <w:proofErr w:type="spellStart"/>
      <w:r w:rsidR="007850FE">
        <w:rPr>
          <w:rFonts w:ascii="Arial" w:hAnsi="Arial" w:cs="Arial"/>
          <w:b/>
          <w:lang w:eastAsia="en-ZA"/>
        </w:rPr>
        <w:t>Anél</w:t>
      </w:r>
      <w:proofErr w:type="spellEnd"/>
      <w:r w:rsidR="007850FE">
        <w:rPr>
          <w:rFonts w:ascii="Arial" w:hAnsi="Arial" w:cs="Arial"/>
          <w:b/>
          <w:lang w:eastAsia="en-ZA"/>
        </w:rPr>
        <w:t xml:space="preserve"> Botes</w:t>
      </w:r>
      <w:r w:rsidR="00D12BE1">
        <w:rPr>
          <w:rFonts w:ascii="Arial" w:hAnsi="Arial" w:cs="Arial"/>
          <w:b/>
          <w:lang w:eastAsia="en-ZA"/>
        </w:rPr>
        <w:t xml:space="preserve"> – </w:t>
      </w:r>
      <w:r w:rsidR="007850FE">
        <w:rPr>
          <w:rFonts w:ascii="Arial" w:hAnsi="Arial" w:cs="Arial"/>
          <w:b/>
          <w:lang w:eastAsia="en-ZA"/>
        </w:rPr>
        <w:t>frasera@arc.agric.za</w:t>
      </w:r>
      <w:r w:rsidR="00B74761" w:rsidRPr="00D64763">
        <w:rPr>
          <w:rFonts w:ascii="Arial" w:hAnsi="Arial" w:cs="Arial"/>
          <w:b/>
          <w:lang w:eastAsia="en-ZA"/>
        </w:rPr>
        <w:t xml:space="preserve"> </w:t>
      </w:r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3607C4B8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5AA002C8" w14:textId="77777777" w:rsidTr="00BF707C">
        <w:tc>
          <w:tcPr>
            <w:tcW w:w="10252" w:type="dxa"/>
          </w:tcPr>
          <w:p w14:paraId="6312930B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2036C96A" w14:textId="77777777" w:rsidTr="00BF707C">
        <w:tc>
          <w:tcPr>
            <w:tcW w:w="10252" w:type="dxa"/>
          </w:tcPr>
          <w:p w14:paraId="4797A12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F0F121E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3B686CD5" w14:textId="77777777" w:rsidTr="00BF707C">
        <w:tc>
          <w:tcPr>
            <w:tcW w:w="10252" w:type="dxa"/>
          </w:tcPr>
          <w:p w14:paraId="70D9AA0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95D4D39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538058B3" w14:textId="77777777" w:rsidTr="00BF707C">
        <w:tc>
          <w:tcPr>
            <w:tcW w:w="10252" w:type="dxa"/>
          </w:tcPr>
          <w:p w14:paraId="3023FB26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F66BD7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7DD7A144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5452B087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0E199F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034B0A9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71CE4B8D" w14:textId="77777777" w:rsidTr="00BF707C">
        <w:tc>
          <w:tcPr>
            <w:tcW w:w="3898" w:type="dxa"/>
            <w:tcBorders>
              <w:bottom w:val="nil"/>
            </w:tcBorders>
          </w:tcPr>
          <w:p w14:paraId="19DBAC04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1B62CA6E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37FCA18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44FF0A94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12355C4F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2422EE6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6B1FFB78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42D42449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459D78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14B6C5EF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6E88D97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5F80E2C7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130B76A9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39D3EF5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12927E95" w14:textId="77777777" w:rsidR="00862C4F" w:rsidRPr="00862C4F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2D207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Plastic bags</w:t>
      </w:r>
    </w:p>
    <w:p w14:paraId="190ECBA9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919325B" w14:textId="77777777" w:rsidTr="00BF707C">
        <w:trPr>
          <w:trHeight w:val="127"/>
          <w:tblHeader/>
        </w:trPr>
        <w:tc>
          <w:tcPr>
            <w:tcW w:w="6647" w:type="dxa"/>
          </w:tcPr>
          <w:p w14:paraId="67A7C857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2ABDA96B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448844F" w14:textId="77777777" w:rsidTr="00BF707C">
        <w:trPr>
          <w:trHeight w:val="127"/>
          <w:tblHeader/>
        </w:trPr>
        <w:tc>
          <w:tcPr>
            <w:tcW w:w="6647" w:type="dxa"/>
          </w:tcPr>
          <w:p w14:paraId="66ADA7A5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F0555EF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7ABE885D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7A82501E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BB8CCDB" w14:textId="77777777" w:rsidTr="00BF707C">
        <w:trPr>
          <w:trHeight w:val="923"/>
        </w:trPr>
        <w:tc>
          <w:tcPr>
            <w:tcW w:w="6647" w:type="dxa"/>
          </w:tcPr>
          <w:p w14:paraId="1D08BCD1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734069F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092E83A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587E2E0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12BE864B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7B97F9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104F4F28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4D9C6CA6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05010236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62EFABA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3232B9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5EFC62F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136D985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E79153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8B3F308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43558A36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43A40EE3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7DBE912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1A88F96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3D4E88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9E8F2B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6FA61E9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1A7F3541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D2AACB2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92FF75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03093C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2A31F7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7206FAE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3E8AE709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71CE115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097D3FD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25068B7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70169549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026922D5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1669F6D6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7A2F1EB9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CBA8BC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1B9132C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C55BBE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2D6A01D7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7A630" w14:textId="77777777" w:rsidR="00E67F6B" w:rsidRDefault="00E67F6B" w:rsidP="00784C3C">
      <w:pPr>
        <w:spacing w:after="0" w:line="240" w:lineRule="auto"/>
      </w:pPr>
      <w:r>
        <w:separator/>
      </w:r>
    </w:p>
  </w:endnote>
  <w:endnote w:type="continuationSeparator" w:id="0">
    <w:p w14:paraId="1E19FB43" w14:textId="77777777" w:rsidR="00E67F6B" w:rsidRDefault="00E67F6B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5EB35" w14:textId="77777777" w:rsidR="00E67F6B" w:rsidRDefault="00E67F6B" w:rsidP="00784C3C">
      <w:pPr>
        <w:spacing w:after="0" w:line="240" w:lineRule="auto"/>
      </w:pPr>
      <w:r>
        <w:separator/>
      </w:r>
    </w:p>
  </w:footnote>
  <w:footnote w:type="continuationSeparator" w:id="0">
    <w:p w14:paraId="38440EFB" w14:textId="77777777" w:rsidR="00E67F6B" w:rsidRDefault="00E67F6B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8FFD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9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698D51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1"/>
  </w:num>
  <w:num w:numId="9">
    <w:abstractNumId w:val="10"/>
  </w:num>
  <w:num w:numId="10">
    <w:abstractNumId w:val="0"/>
  </w:num>
  <w:num w:numId="11">
    <w:abstractNumId w:val="22"/>
  </w:num>
  <w:num w:numId="12">
    <w:abstractNumId w:val="13"/>
  </w:num>
  <w:num w:numId="13">
    <w:abstractNumId w:val="8"/>
  </w:num>
  <w:num w:numId="14">
    <w:abstractNumId w:val="20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14EDF"/>
    <w:rsid w:val="000273A1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C774E"/>
    <w:rsid w:val="002D2074"/>
    <w:rsid w:val="002D2DC9"/>
    <w:rsid w:val="002E0C7F"/>
    <w:rsid w:val="002E2DFA"/>
    <w:rsid w:val="002F1653"/>
    <w:rsid w:val="002F7D90"/>
    <w:rsid w:val="0030208B"/>
    <w:rsid w:val="00302294"/>
    <w:rsid w:val="003212B0"/>
    <w:rsid w:val="003521FB"/>
    <w:rsid w:val="00367F6C"/>
    <w:rsid w:val="003974C8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5E9D"/>
    <w:rsid w:val="004B5FC6"/>
    <w:rsid w:val="004C5283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C56"/>
    <w:rsid w:val="00620877"/>
    <w:rsid w:val="00630802"/>
    <w:rsid w:val="00635D57"/>
    <w:rsid w:val="00652085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11A6"/>
    <w:rsid w:val="00797D0B"/>
    <w:rsid w:val="007A03A0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C6A80"/>
    <w:rsid w:val="008E02C0"/>
    <w:rsid w:val="008E1A08"/>
    <w:rsid w:val="00903DBF"/>
    <w:rsid w:val="0090497F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106D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B623E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10E8"/>
    <w:rsid w:val="00B336FD"/>
    <w:rsid w:val="00B34F8A"/>
    <w:rsid w:val="00B4004B"/>
    <w:rsid w:val="00B52FC7"/>
    <w:rsid w:val="00B6052B"/>
    <w:rsid w:val="00B74761"/>
    <w:rsid w:val="00B76D32"/>
    <w:rsid w:val="00B81EC1"/>
    <w:rsid w:val="00B96A38"/>
    <w:rsid w:val="00B979BD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70CD"/>
    <w:rsid w:val="00CE7CC2"/>
    <w:rsid w:val="00CF6DF3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E24D33"/>
    <w:rsid w:val="00E32CD6"/>
    <w:rsid w:val="00E45299"/>
    <w:rsid w:val="00E6231B"/>
    <w:rsid w:val="00E672CD"/>
    <w:rsid w:val="00E67F6B"/>
    <w:rsid w:val="00E859A6"/>
    <w:rsid w:val="00EB7108"/>
    <w:rsid w:val="00EC7713"/>
    <w:rsid w:val="00ED59FA"/>
    <w:rsid w:val="00EF2EC6"/>
    <w:rsid w:val="00F02583"/>
    <w:rsid w:val="00F254F8"/>
    <w:rsid w:val="00F34C98"/>
    <w:rsid w:val="00F672D9"/>
    <w:rsid w:val="00FB37B3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B88664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Zimkhita Matayi</dc:creator>
  <cp:lastModifiedBy>Zimkhita Matayi</cp:lastModifiedBy>
  <cp:revision>2</cp:revision>
  <cp:lastPrinted>2019-10-31T09:25:00Z</cp:lastPrinted>
  <dcterms:created xsi:type="dcterms:W3CDTF">2022-02-03T08:38:00Z</dcterms:created>
  <dcterms:modified xsi:type="dcterms:W3CDTF">2022-02-03T08:38:00Z</dcterms:modified>
</cp:coreProperties>
</file>