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501" w:type="pct"/>
        <w:tblLook w:val="04A0" w:firstRow="1" w:lastRow="0" w:firstColumn="1" w:lastColumn="0" w:noHBand="0" w:noVBand="1"/>
      </w:tblPr>
      <w:tblGrid>
        <w:gridCol w:w="3384"/>
        <w:gridCol w:w="6535"/>
      </w:tblGrid>
      <w:tr w:rsidR="009B6299" w:rsidRPr="002F7101" w14:paraId="00ABC58A" w14:textId="77777777" w:rsidTr="00DE436E">
        <w:trPr>
          <w:trHeight w:val="308"/>
        </w:trPr>
        <w:tc>
          <w:tcPr>
            <w:tcW w:w="3384" w:type="dxa"/>
          </w:tcPr>
          <w:p w14:paraId="683B6905" w14:textId="695E5195" w:rsidR="009B6299" w:rsidRPr="00A44540" w:rsidRDefault="002F70F7" w:rsidP="001A799E">
            <w:pPr>
              <w:spacing w:line="276" w:lineRule="auto"/>
              <w:rPr>
                <w:rFonts w:cstheme="minorHAnsi"/>
                <w:b/>
              </w:rPr>
            </w:pPr>
            <w:r w:rsidRPr="00A44540">
              <w:rPr>
                <w:rFonts w:cstheme="minorHAnsi"/>
                <w:b/>
              </w:rPr>
              <w:t>RFQ Number</w:t>
            </w:r>
          </w:p>
        </w:tc>
        <w:tc>
          <w:tcPr>
            <w:tcW w:w="6535" w:type="dxa"/>
          </w:tcPr>
          <w:p w14:paraId="4A38D0B6" w14:textId="4352459F" w:rsidR="009B6299" w:rsidRPr="002F7101" w:rsidRDefault="002F7101" w:rsidP="002F7101">
            <w:pPr>
              <w:spacing w:line="276" w:lineRule="auto"/>
              <w:rPr>
                <w:rFonts w:cstheme="minorHAnsi"/>
                <w:b/>
              </w:rPr>
            </w:pPr>
            <w:r w:rsidRPr="002F7101">
              <w:rPr>
                <w:rFonts w:cstheme="minorHAnsi"/>
                <w:b/>
              </w:rPr>
              <w:t>NTP-OR-TD-</w:t>
            </w:r>
            <w:r w:rsidR="00024925">
              <w:rPr>
                <w:rFonts w:cstheme="minorHAnsi"/>
                <w:b/>
              </w:rPr>
              <w:t>CELL</w:t>
            </w:r>
            <w:r w:rsidR="00D95ECF">
              <w:rPr>
                <w:rFonts w:cstheme="minorHAnsi"/>
                <w:b/>
              </w:rPr>
              <w:t>-</w:t>
            </w:r>
            <w:r w:rsidR="00024925">
              <w:rPr>
                <w:rFonts w:cstheme="minorHAnsi"/>
                <w:b/>
              </w:rPr>
              <w:t>11-00</w:t>
            </w:r>
            <w:r w:rsidR="00404D5F">
              <w:rPr>
                <w:rFonts w:cstheme="minorHAnsi"/>
                <w:b/>
              </w:rPr>
              <w:t>3</w:t>
            </w:r>
          </w:p>
        </w:tc>
      </w:tr>
      <w:tr w:rsidR="002F70F7" w:rsidRPr="00A44540" w14:paraId="33C8593F" w14:textId="77777777" w:rsidTr="00DE436E">
        <w:trPr>
          <w:trHeight w:val="308"/>
        </w:trPr>
        <w:tc>
          <w:tcPr>
            <w:tcW w:w="3384" w:type="dxa"/>
          </w:tcPr>
          <w:p w14:paraId="58C5F66E" w14:textId="77777777" w:rsidR="002F70F7" w:rsidRPr="00A44540" w:rsidRDefault="002F70F7" w:rsidP="001A799E">
            <w:pPr>
              <w:spacing w:line="276" w:lineRule="auto"/>
              <w:rPr>
                <w:rFonts w:cstheme="minorHAnsi"/>
                <w:b/>
              </w:rPr>
            </w:pPr>
            <w:r w:rsidRPr="00A44540">
              <w:rPr>
                <w:rFonts w:cstheme="minorHAnsi"/>
                <w:b/>
              </w:rPr>
              <w:t>Request for Quotation Date</w:t>
            </w:r>
          </w:p>
        </w:tc>
        <w:tc>
          <w:tcPr>
            <w:tcW w:w="6535" w:type="dxa"/>
          </w:tcPr>
          <w:p w14:paraId="3D8BB5C0" w14:textId="220F9AA7" w:rsidR="002F70F7" w:rsidRPr="00A44540" w:rsidRDefault="00024925" w:rsidP="001A799E">
            <w:pPr>
              <w:spacing w:line="276" w:lineRule="auto"/>
              <w:rPr>
                <w:rFonts w:cstheme="minorHAnsi"/>
                <w:b/>
              </w:rPr>
            </w:pPr>
            <w:r>
              <w:rPr>
                <w:rFonts w:cstheme="minorHAnsi"/>
                <w:b/>
              </w:rPr>
              <w:t>2025/0</w:t>
            </w:r>
            <w:r w:rsidR="006166C2">
              <w:rPr>
                <w:rFonts w:cstheme="minorHAnsi"/>
                <w:b/>
              </w:rPr>
              <w:t>5</w:t>
            </w:r>
            <w:r w:rsidR="005F6283">
              <w:rPr>
                <w:rFonts w:cstheme="minorHAnsi"/>
                <w:b/>
              </w:rPr>
              <w:t>/</w:t>
            </w:r>
            <w:r w:rsidR="006166C2">
              <w:rPr>
                <w:rFonts w:cstheme="minorHAnsi"/>
                <w:b/>
              </w:rPr>
              <w:t>06</w:t>
            </w:r>
          </w:p>
        </w:tc>
      </w:tr>
      <w:tr w:rsidR="002F70F7" w:rsidRPr="00A44540" w14:paraId="51CB62AD" w14:textId="77777777" w:rsidTr="00DE436E">
        <w:trPr>
          <w:trHeight w:val="319"/>
        </w:trPr>
        <w:tc>
          <w:tcPr>
            <w:tcW w:w="3384" w:type="dxa"/>
          </w:tcPr>
          <w:p w14:paraId="28149F34" w14:textId="77777777" w:rsidR="002F70F7" w:rsidRPr="00A44540" w:rsidRDefault="002F70F7" w:rsidP="001A799E">
            <w:pPr>
              <w:spacing w:line="276" w:lineRule="auto"/>
              <w:rPr>
                <w:rFonts w:cstheme="minorHAnsi"/>
                <w:b/>
              </w:rPr>
            </w:pPr>
            <w:r w:rsidRPr="00A44540">
              <w:rPr>
                <w:rFonts w:cstheme="minorHAnsi"/>
                <w:b/>
              </w:rPr>
              <w:t>RFQ Closing Date</w:t>
            </w:r>
          </w:p>
        </w:tc>
        <w:tc>
          <w:tcPr>
            <w:tcW w:w="6535" w:type="dxa"/>
          </w:tcPr>
          <w:p w14:paraId="3A2C5526" w14:textId="79B93B8A" w:rsidR="002F70F7" w:rsidRPr="00A44540" w:rsidRDefault="008A7211" w:rsidP="00267E19">
            <w:pPr>
              <w:spacing w:line="276" w:lineRule="auto"/>
              <w:rPr>
                <w:rFonts w:cstheme="minorHAnsi"/>
                <w:b/>
              </w:rPr>
            </w:pPr>
            <w:r>
              <w:rPr>
                <w:rFonts w:cstheme="minorHAnsi"/>
                <w:b/>
              </w:rPr>
              <w:t>202</w:t>
            </w:r>
            <w:r w:rsidR="00E51A2D">
              <w:rPr>
                <w:rFonts w:cstheme="minorHAnsi"/>
                <w:b/>
              </w:rPr>
              <w:t>5/</w:t>
            </w:r>
            <w:r w:rsidR="00B50387">
              <w:rPr>
                <w:rFonts w:cstheme="minorHAnsi"/>
                <w:b/>
              </w:rPr>
              <w:t>05/</w:t>
            </w:r>
            <w:r w:rsidR="006166C2">
              <w:rPr>
                <w:rFonts w:cstheme="minorHAnsi"/>
                <w:b/>
              </w:rPr>
              <w:t>13</w:t>
            </w:r>
          </w:p>
        </w:tc>
      </w:tr>
      <w:tr w:rsidR="002F70F7" w:rsidRPr="00A44540" w14:paraId="6D6097DB" w14:textId="77777777" w:rsidTr="00DE436E">
        <w:trPr>
          <w:trHeight w:val="308"/>
        </w:trPr>
        <w:tc>
          <w:tcPr>
            <w:tcW w:w="3384" w:type="dxa"/>
          </w:tcPr>
          <w:p w14:paraId="029578D1" w14:textId="77777777" w:rsidR="002F70F7" w:rsidRPr="00A44540" w:rsidRDefault="002F70F7" w:rsidP="001A799E">
            <w:pPr>
              <w:spacing w:line="276" w:lineRule="auto"/>
              <w:rPr>
                <w:rFonts w:cstheme="minorHAnsi"/>
                <w:b/>
              </w:rPr>
            </w:pPr>
            <w:r w:rsidRPr="00A44540">
              <w:rPr>
                <w:rFonts w:cstheme="minorHAnsi"/>
                <w:b/>
              </w:rPr>
              <w:t>RFQ Closing Time</w:t>
            </w:r>
          </w:p>
        </w:tc>
        <w:tc>
          <w:tcPr>
            <w:tcW w:w="6535" w:type="dxa"/>
          </w:tcPr>
          <w:p w14:paraId="3B48A7F8" w14:textId="6F33FC61" w:rsidR="002F70F7" w:rsidRPr="00A44540" w:rsidRDefault="00267E19" w:rsidP="001A799E">
            <w:pPr>
              <w:spacing w:line="276" w:lineRule="auto"/>
              <w:rPr>
                <w:rFonts w:cstheme="minorHAnsi"/>
                <w:b/>
              </w:rPr>
            </w:pPr>
            <w:r>
              <w:rPr>
                <w:rFonts w:cstheme="minorHAnsi"/>
                <w:b/>
              </w:rPr>
              <w:t>11</w:t>
            </w:r>
            <w:r w:rsidR="00286D4A">
              <w:rPr>
                <w:rFonts w:cstheme="minorHAnsi"/>
                <w:b/>
              </w:rPr>
              <w:t>:</w:t>
            </w:r>
            <w:r>
              <w:rPr>
                <w:rFonts w:cstheme="minorHAnsi"/>
                <w:b/>
              </w:rPr>
              <w:t>00</w:t>
            </w:r>
          </w:p>
        </w:tc>
      </w:tr>
      <w:tr w:rsidR="00E52A7E" w:rsidRPr="00A44540" w14:paraId="2B5BBC1F" w14:textId="77777777" w:rsidTr="00DE436E">
        <w:trPr>
          <w:trHeight w:val="308"/>
        </w:trPr>
        <w:tc>
          <w:tcPr>
            <w:tcW w:w="3384" w:type="dxa"/>
          </w:tcPr>
          <w:p w14:paraId="2DAE9755" w14:textId="77777777" w:rsidR="00E52A7E" w:rsidRPr="00A44540" w:rsidRDefault="00E52A7E" w:rsidP="001A799E">
            <w:pPr>
              <w:spacing w:line="276" w:lineRule="auto"/>
              <w:rPr>
                <w:rFonts w:cstheme="minorHAnsi"/>
                <w:b/>
              </w:rPr>
            </w:pPr>
            <w:r w:rsidRPr="00A44540">
              <w:rPr>
                <w:rFonts w:cstheme="minorHAnsi"/>
                <w:b/>
              </w:rPr>
              <w:t>Compulsory Site Briefing</w:t>
            </w:r>
          </w:p>
        </w:tc>
        <w:tc>
          <w:tcPr>
            <w:tcW w:w="6535" w:type="dxa"/>
          </w:tcPr>
          <w:p w14:paraId="1DF06B94" w14:textId="77777777" w:rsidR="00E52A7E" w:rsidRPr="00A44540" w:rsidRDefault="00E52A7E" w:rsidP="001A799E">
            <w:pPr>
              <w:spacing w:line="276" w:lineRule="auto"/>
              <w:rPr>
                <w:rFonts w:cstheme="minorHAnsi"/>
                <w:b/>
              </w:rPr>
            </w:pPr>
            <w:r w:rsidRPr="00A44540">
              <w:rPr>
                <w:rFonts w:cstheme="minorHAnsi"/>
                <w:b/>
              </w:rPr>
              <w:t>N/A</w:t>
            </w:r>
          </w:p>
        </w:tc>
      </w:tr>
      <w:tr w:rsidR="002F70F7" w:rsidRPr="00A44540" w14:paraId="02DD31D0" w14:textId="77777777" w:rsidTr="00DE436E">
        <w:trPr>
          <w:trHeight w:val="308"/>
        </w:trPr>
        <w:tc>
          <w:tcPr>
            <w:tcW w:w="3384" w:type="dxa"/>
          </w:tcPr>
          <w:p w14:paraId="794CC34E" w14:textId="77777777" w:rsidR="002F70F7" w:rsidRPr="00A44540" w:rsidRDefault="002F70F7" w:rsidP="001A799E">
            <w:pPr>
              <w:spacing w:line="276" w:lineRule="auto"/>
              <w:rPr>
                <w:rFonts w:cstheme="minorHAnsi"/>
                <w:b/>
              </w:rPr>
            </w:pPr>
            <w:r w:rsidRPr="00A44540">
              <w:rPr>
                <w:rFonts w:cstheme="minorHAnsi"/>
                <w:b/>
              </w:rPr>
              <w:t>Contact Person</w:t>
            </w:r>
          </w:p>
        </w:tc>
        <w:tc>
          <w:tcPr>
            <w:tcW w:w="6535" w:type="dxa"/>
          </w:tcPr>
          <w:p w14:paraId="10ED8392" w14:textId="6CBFF8D2" w:rsidR="009323BD" w:rsidRPr="00A44540" w:rsidRDefault="006166C2" w:rsidP="001A799E">
            <w:pPr>
              <w:spacing w:line="276" w:lineRule="auto"/>
              <w:rPr>
                <w:rFonts w:cstheme="minorHAnsi"/>
                <w:b/>
              </w:rPr>
            </w:pPr>
            <w:r>
              <w:rPr>
                <w:rFonts w:cstheme="minorHAnsi"/>
                <w:b/>
              </w:rPr>
              <w:t xml:space="preserve">Buyani Nsibande at </w:t>
            </w:r>
            <w:hyperlink r:id="rId11" w:history="1">
              <w:r w:rsidR="000D5365" w:rsidRPr="00871B29">
                <w:rPr>
                  <w:rStyle w:val="Hyperlink"/>
                  <w:rFonts w:cstheme="minorHAnsi"/>
                  <w:b/>
                </w:rPr>
                <w:t>scm@necsa.co.za</w:t>
              </w:r>
            </w:hyperlink>
            <w:r w:rsidR="000D5365">
              <w:rPr>
                <w:rFonts w:cstheme="minorHAnsi"/>
                <w:b/>
              </w:rPr>
              <w:t xml:space="preserve"> </w:t>
            </w:r>
          </w:p>
        </w:tc>
      </w:tr>
      <w:tr w:rsidR="00E52A7E" w:rsidRPr="00A44540" w14:paraId="51549D37" w14:textId="77777777" w:rsidTr="00DE436E">
        <w:trPr>
          <w:trHeight w:val="319"/>
        </w:trPr>
        <w:tc>
          <w:tcPr>
            <w:tcW w:w="3384" w:type="dxa"/>
          </w:tcPr>
          <w:p w14:paraId="7ACCADC2" w14:textId="77777777" w:rsidR="00E52A7E" w:rsidRPr="00A44540" w:rsidRDefault="00E52A7E" w:rsidP="001A799E">
            <w:pPr>
              <w:spacing w:line="276" w:lineRule="auto"/>
              <w:rPr>
                <w:rFonts w:cstheme="minorHAnsi"/>
                <w:b/>
              </w:rPr>
            </w:pPr>
            <w:r w:rsidRPr="00A44540">
              <w:rPr>
                <w:rFonts w:cstheme="minorHAnsi"/>
                <w:b/>
              </w:rPr>
              <w:t>Quotation Validity</w:t>
            </w:r>
          </w:p>
        </w:tc>
        <w:tc>
          <w:tcPr>
            <w:tcW w:w="6535" w:type="dxa"/>
          </w:tcPr>
          <w:p w14:paraId="1932EA56" w14:textId="3ECBF065" w:rsidR="00E52A7E" w:rsidRPr="00A44540" w:rsidRDefault="005F6283" w:rsidP="001A799E">
            <w:pPr>
              <w:spacing w:line="276" w:lineRule="auto"/>
              <w:rPr>
                <w:rFonts w:cstheme="minorHAnsi"/>
                <w:b/>
              </w:rPr>
            </w:pPr>
            <w:r>
              <w:rPr>
                <w:rFonts w:cstheme="minorHAnsi"/>
                <w:b/>
              </w:rPr>
              <w:t xml:space="preserve">30 </w:t>
            </w:r>
            <w:r w:rsidR="004333BA">
              <w:rPr>
                <w:rFonts w:cstheme="minorHAnsi"/>
                <w:b/>
              </w:rPr>
              <w:t>d</w:t>
            </w:r>
            <w:r w:rsidR="00E52A7E" w:rsidRPr="00A44540">
              <w:rPr>
                <w:rFonts w:cstheme="minorHAnsi"/>
                <w:b/>
              </w:rPr>
              <w:t>ays from the closing date</w:t>
            </w:r>
          </w:p>
        </w:tc>
      </w:tr>
      <w:tr w:rsidR="002F70F7" w:rsidRPr="00A44540" w14:paraId="49AEC35C" w14:textId="77777777" w:rsidTr="00DE436E">
        <w:trPr>
          <w:trHeight w:val="326"/>
        </w:trPr>
        <w:tc>
          <w:tcPr>
            <w:tcW w:w="3384" w:type="dxa"/>
          </w:tcPr>
          <w:p w14:paraId="362014C2" w14:textId="77777777" w:rsidR="002F70F7" w:rsidRPr="00A44540" w:rsidRDefault="002F70F7" w:rsidP="001A799E">
            <w:pPr>
              <w:spacing w:line="276" w:lineRule="auto"/>
              <w:rPr>
                <w:rFonts w:cstheme="minorHAnsi"/>
                <w:b/>
              </w:rPr>
            </w:pPr>
            <w:r w:rsidRPr="00A44540">
              <w:rPr>
                <w:rFonts w:cstheme="minorHAnsi"/>
                <w:b/>
              </w:rPr>
              <w:t>Submission Details</w:t>
            </w:r>
          </w:p>
        </w:tc>
        <w:tc>
          <w:tcPr>
            <w:tcW w:w="6535" w:type="dxa"/>
          </w:tcPr>
          <w:p w14:paraId="07C91EC9" w14:textId="35C58022" w:rsidR="004C6298" w:rsidRPr="00A44540" w:rsidRDefault="002F70F7" w:rsidP="001A799E">
            <w:pPr>
              <w:spacing w:line="276" w:lineRule="auto"/>
              <w:rPr>
                <w:rFonts w:cstheme="minorHAnsi"/>
                <w:b/>
              </w:rPr>
            </w:pPr>
            <w:r w:rsidRPr="00A44540">
              <w:rPr>
                <w:rFonts w:cstheme="minorHAnsi"/>
                <w:b/>
              </w:rPr>
              <w:t>RFQ Response must be sent to:</w:t>
            </w:r>
            <w:r w:rsidR="0095034F">
              <w:rPr>
                <w:rFonts w:cstheme="minorHAnsi"/>
                <w:b/>
              </w:rPr>
              <w:t xml:space="preserve"> </w:t>
            </w:r>
            <w:hyperlink r:id="rId12" w:history="1">
              <w:r w:rsidR="000D5365" w:rsidRPr="00871B29">
                <w:rPr>
                  <w:rStyle w:val="Hyperlink"/>
                  <w:rFonts w:cstheme="minorHAnsi"/>
                  <w:b/>
                </w:rPr>
                <w:t>scm@necsa.co.za</w:t>
              </w:r>
            </w:hyperlink>
            <w:r w:rsidR="000D5365">
              <w:rPr>
                <w:rFonts w:cstheme="minorHAnsi"/>
                <w:b/>
              </w:rPr>
              <w:t xml:space="preserve"> </w:t>
            </w:r>
          </w:p>
        </w:tc>
      </w:tr>
      <w:tr w:rsidR="002F70F7" w:rsidRPr="00A44540" w14:paraId="29A07B7C" w14:textId="77777777" w:rsidTr="00DE436E">
        <w:trPr>
          <w:trHeight w:val="308"/>
        </w:trPr>
        <w:tc>
          <w:tcPr>
            <w:tcW w:w="3384" w:type="dxa"/>
          </w:tcPr>
          <w:p w14:paraId="50897F0E" w14:textId="77777777" w:rsidR="002F70F7" w:rsidRPr="00A44540" w:rsidRDefault="002F70F7" w:rsidP="001A799E">
            <w:pPr>
              <w:spacing w:line="276" w:lineRule="auto"/>
              <w:rPr>
                <w:rFonts w:cstheme="minorHAnsi"/>
                <w:b/>
              </w:rPr>
            </w:pPr>
            <w:r w:rsidRPr="00A44540">
              <w:rPr>
                <w:rFonts w:cstheme="minorHAnsi"/>
                <w:b/>
              </w:rPr>
              <w:t>RFQ Description</w:t>
            </w:r>
          </w:p>
        </w:tc>
        <w:tc>
          <w:tcPr>
            <w:tcW w:w="6535" w:type="dxa"/>
          </w:tcPr>
          <w:p w14:paraId="45DC25BC" w14:textId="23716840" w:rsidR="002F70F7" w:rsidRPr="000F0F5B" w:rsidRDefault="00C41D68" w:rsidP="000F0F5B">
            <w:pPr>
              <w:rPr>
                <w:rFonts w:eastAsia="Times New Roman"/>
                <w:b/>
                <w:bCs/>
              </w:rPr>
            </w:pPr>
            <w:bookmarkStart w:id="0" w:name="_GoBack"/>
            <w:r>
              <w:rPr>
                <w:rFonts w:eastAsia="Times New Roman"/>
                <w:b/>
                <w:bCs/>
              </w:rPr>
              <w:t xml:space="preserve">RFQ for </w:t>
            </w:r>
            <w:r w:rsidR="006166C2" w:rsidRPr="006166C2">
              <w:rPr>
                <w:rFonts w:eastAsia="Times New Roman"/>
                <w:b/>
                <w:bCs/>
              </w:rPr>
              <w:t>PLC/SCADA</w:t>
            </w:r>
            <w:r w:rsidR="006166C2">
              <w:rPr>
                <w:rFonts w:eastAsia="Times New Roman"/>
                <w:b/>
                <w:bCs/>
              </w:rPr>
              <w:t xml:space="preserve"> specialist</w:t>
            </w:r>
            <w:bookmarkEnd w:id="0"/>
          </w:p>
        </w:tc>
      </w:tr>
    </w:tbl>
    <w:p w14:paraId="0CAE03E4" w14:textId="77777777" w:rsidR="009B6299" w:rsidRPr="00A44540" w:rsidRDefault="009B6299" w:rsidP="001A799E">
      <w:pPr>
        <w:spacing w:after="0"/>
        <w:rPr>
          <w:rFonts w:cstheme="minorHAnsi"/>
          <w:b/>
        </w:rPr>
      </w:pPr>
    </w:p>
    <w:p w14:paraId="0AD7EC04" w14:textId="77777777" w:rsidR="005D3EA3" w:rsidRPr="00A44540" w:rsidRDefault="009B6299" w:rsidP="001A799E">
      <w:pPr>
        <w:spacing w:after="0"/>
        <w:jc w:val="both"/>
        <w:rPr>
          <w:rFonts w:cstheme="minorHAnsi"/>
        </w:rPr>
      </w:pPr>
      <w:r w:rsidRPr="00A44540">
        <w:rPr>
          <w:rFonts w:cstheme="minorHAnsi"/>
        </w:rPr>
        <w:t xml:space="preserve">Dear </w:t>
      </w:r>
      <w:r w:rsidR="00026653" w:rsidRPr="00A44540">
        <w:rPr>
          <w:rFonts w:cstheme="minorHAnsi"/>
        </w:rPr>
        <w:t>Service Provider</w:t>
      </w:r>
    </w:p>
    <w:p w14:paraId="1886130C" w14:textId="77777777" w:rsidR="00A97702" w:rsidRPr="00A44540" w:rsidRDefault="00A97702" w:rsidP="001A799E">
      <w:pPr>
        <w:spacing w:after="0"/>
        <w:jc w:val="both"/>
        <w:rPr>
          <w:rFonts w:cstheme="minorHAnsi"/>
        </w:rPr>
      </w:pPr>
    </w:p>
    <w:p w14:paraId="6A9572AC" w14:textId="77777777" w:rsidR="009B6299" w:rsidRPr="00A44540" w:rsidRDefault="00A97702" w:rsidP="001A799E">
      <w:pPr>
        <w:spacing w:after="0"/>
        <w:jc w:val="both"/>
        <w:rPr>
          <w:rFonts w:cstheme="minorHAnsi"/>
        </w:rPr>
      </w:pPr>
      <w:r w:rsidRPr="00A44540">
        <w:rPr>
          <w:rFonts w:cstheme="minorHAnsi"/>
        </w:rPr>
        <w:t>Kindly provide a quotation for goods and or services as outlined in section 2 of this document.</w:t>
      </w:r>
    </w:p>
    <w:p w14:paraId="025D1CFC" w14:textId="77777777" w:rsidR="00155894" w:rsidRPr="00A44540" w:rsidRDefault="00155894" w:rsidP="001A799E">
      <w:pPr>
        <w:widowControl w:val="0"/>
        <w:autoSpaceDE w:val="0"/>
        <w:autoSpaceDN w:val="0"/>
        <w:adjustRightInd w:val="0"/>
        <w:spacing w:after="0"/>
        <w:ind w:left="1800" w:hanging="99"/>
        <w:jc w:val="both"/>
        <w:rPr>
          <w:rFonts w:eastAsia="Times New Roman" w:cstheme="minorHAnsi"/>
          <w:b/>
          <w:color w:val="000000"/>
          <w:spacing w:val="-3"/>
        </w:rPr>
      </w:pPr>
      <w:bookmarkStart w:id="1" w:name="Pg2"/>
      <w:bookmarkEnd w:id="1"/>
    </w:p>
    <w:p w14:paraId="492DA39F" w14:textId="77777777" w:rsidR="00155894" w:rsidRPr="00A44540"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r w:rsidRPr="00A44540">
        <w:rPr>
          <w:rFonts w:eastAsia="Times New Roman" w:cstheme="minorHAnsi"/>
          <w:b/>
          <w:color w:val="000000"/>
          <w:spacing w:val="-3"/>
          <w:sz w:val="24"/>
          <w:szCs w:val="24"/>
          <w:u w:val="single"/>
        </w:rPr>
        <w:t>Introduction</w:t>
      </w:r>
    </w:p>
    <w:p w14:paraId="76EAEDD1" w14:textId="77777777" w:rsidR="00155894" w:rsidRPr="00A44540" w:rsidRDefault="00155894" w:rsidP="001A799E">
      <w:pPr>
        <w:widowControl w:val="0"/>
        <w:autoSpaceDE w:val="0"/>
        <w:autoSpaceDN w:val="0"/>
        <w:adjustRightInd w:val="0"/>
        <w:spacing w:after="0"/>
        <w:ind w:left="2268" w:right="1082"/>
        <w:jc w:val="both"/>
        <w:rPr>
          <w:rFonts w:eastAsia="Times New Roman" w:cstheme="minorHAnsi"/>
          <w:color w:val="000000"/>
        </w:rPr>
      </w:pPr>
    </w:p>
    <w:p w14:paraId="2DB260B7" w14:textId="77777777" w:rsidR="0099245F" w:rsidRPr="00A44540" w:rsidRDefault="0099245F" w:rsidP="001A799E">
      <w:pPr>
        <w:autoSpaceDE w:val="0"/>
        <w:autoSpaceDN w:val="0"/>
        <w:adjustRightInd w:val="0"/>
        <w:jc w:val="both"/>
        <w:rPr>
          <w:rFonts w:cstheme="minorHAnsi"/>
        </w:rPr>
      </w:pPr>
      <w:r w:rsidRPr="00A44540">
        <w:rPr>
          <w:rFonts w:cstheme="minorHAnsi"/>
        </w:rPr>
        <w:t xml:space="preserve">Conducting its sophisticated operations amongst an array of state-of-the-art technology and </w:t>
      </w:r>
      <w:r w:rsidR="00A21272" w:rsidRPr="00A44540">
        <w:rPr>
          <w:rFonts w:cstheme="minorHAnsi"/>
        </w:rPr>
        <w:t xml:space="preserve">by </w:t>
      </w:r>
      <w:r w:rsidRPr="00A44540">
        <w:rPr>
          <w:rFonts w:cstheme="minorHAnsi"/>
        </w:rPr>
        <w:t xml:space="preserve">highly competent scientists, engineers, technologists and pharmacists, NTP Radioisotopes SOC Ltd is one of the world’s leading suppliers of essential medical radioisotopes. </w:t>
      </w:r>
    </w:p>
    <w:p w14:paraId="2F3514A3" w14:textId="77777777" w:rsidR="0099245F" w:rsidRPr="00A44540" w:rsidRDefault="0099245F" w:rsidP="001A799E">
      <w:pPr>
        <w:autoSpaceDE w:val="0"/>
        <w:autoSpaceDN w:val="0"/>
        <w:adjustRightInd w:val="0"/>
        <w:jc w:val="both"/>
        <w:rPr>
          <w:rFonts w:cstheme="minorHAnsi"/>
          <w:lang w:val="en-US"/>
        </w:rPr>
      </w:pPr>
      <w:r w:rsidRPr="00A44540">
        <w:rPr>
          <w:rFonts w:cstheme="minorHAnsi"/>
        </w:rPr>
        <w:t xml:space="preserve">A subsidiary of the South African Nuclear Energy Corporation (Necsa), NTP produces a quarter of the world’s medical radioisotopes which are used </w:t>
      </w:r>
      <w:r w:rsidR="00A21272" w:rsidRPr="00A44540">
        <w:rPr>
          <w:rFonts w:cstheme="minorHAnsi"/>
        </w:rPr>
        <w:t>in</w:t>
      </w:r>
      <w:r w:rsidRPr="00A44540">
        <w:rPr>
          <w:rFonts w:cstheme="minorHAnsi"/>
        </w:rPr>
        <w:t xml:space="preserve"> about 40 million medical diagnostic images every year, making it the third largest producer and supplier globally. </w:t>
      </w:r>
      <w:r w:rsidR="00366739" w:rsidRPr="00A44540">
        <w:rPr>
          <w:rFonts w:cstheme="minorHAnsi"/>
        </w:rPr>
        <w:t>Use of nuclear medicines allows for gathering of medical information that may otherwise be unavailable, require surgery or necessitate more expensive and invasive diagnostic tests.</w:t>
      </w:r>
      <w:r w:rsidRPr="00A44540">
        <w:rPr>
          <w:rFonts w:cstheme="minorHAnsi"/>
          <w:lang w:val="en-US"/>
        </w:rPr>
        <w:t xml:space="preserve">  </w:t>
      </w:r>
    </w:p>
    <w:p w14:paraId="226587FC" w14:textId="77777777" w:rsidR="0099245F" w:rsidRPr="00A44540" w:rsidRDefault="0099245F" w:rsidP="001A799E">
      <w:pPr>
        <w:autoSpaceDE w:val="0"/>
        <w:autoSpaceDN w:val="0"/>
        <w:adjustRightInd w:val="0"/>
        <w:jc w:val="both"/>
        <w:rPr>
          <w:rFonts w:cstheme="minorHAnsi"/>
        </w:rPr>
      </w:pPr>
      <w:r w:rsidRPr="00A44540">
        <w:rPr>
          <w:rFonts w:cstheme="minorHAnsi"/>
        </w:rPr>
        <w:t xml:space="preserve">This proudly South African corporate </w:t>
      </w:r>
      <w:r w:rsidR="00A21272" w:rsidRPr="00A44540">
        <w:rPr>
          <w:rFonts w:cstheme="minorHAnsi"/>
        </w:rPr>
        <w:t xml:space="preserve">company </w:t>
      </w:r>
      <w:r w:rsidRPr="00A44540">
        <w:rPr>
          <w:rFonts w:cstheme="minorHAnsi"/>
        </w:rPr>
        <w:t>is situated at the sophisticated Necsa nuclear facility site, west of Pretoria and routinely serves customers spanning 60 countries worldwide with its range of nuclear radiation-based products and services. The company has maintained consistent revenue and market share growth and has over the past years created various business subsidiaries or increased holdings in these that strengthened its portfolio.</w:t>
      </w:r>
    </w:p>
    <w:p w14:paraId="2C1E8F10" w14:textId="272F8EE8" w:rsidR="0099245F" w:rsidRPr="00A44540" w:rsidRDefault="0099245F" w:rsidP="001A799E">
      <w:pPr>
        <w:autoSpaceDE w:val="0"/>
        <w:autoSpaceDN w:val="0"/>
        <w:adjustRightInd w:val="0"/>
        <w:jc w:val="both"/>
        <w:rPr>
          <w:rFonts w:eastAsia="Times New Roman" w:cstheme="minorHAnsi"/>
          <w:color w:val="0000FF"/>
          <w:u w:val="single"/>
          <w:lang w:val="en-AU" w:eastAsia="en-AU"/>
        </w:rPr>
      </w:pPr>
      <w:r w:rsidRPr="00A44540">
        <w:rPr>
          <w:rFonts w:eastAsia="Times New Roman" w:cstheme="minorHAnsi"/>
          <w:color w:val="000000"/>
        </w:rPr>
        <w:t>For more information on NTP Radioisotopes SO</w:t>
      </w:r>
      <w:r w:rsidR="00A00E52">
        <w:rPr>
          <w:rFonts w:eastAsia="Times New Roman" w:cstheme="minorHAnsi"/>
          <w:color w:val="000000"/>
        </w:rPr>
        <w:t>/</w:t>
      </w:r>
      <w:r w:rsidRPr="00A44540">
        <w:rPr>
          <w:rFonts w:eastAsia="Times New Roman" w:cstheme="minorHAnsi"/>
          <w:color w:val="000000"/>
        </w:rPr>
        <w:t xml:space="preserve">C Ltd visit: </w:t>
      </w:r>
      <w:hyperlink r:id="rId13" w:history="1">
        <w:r w:rsidRPr="00A44540">
          <w:rPr>
            <w:rFonts w:eastAsia="Times New Roman" w:cstheme="minorHAnsi"/>
            <w:color w:val="0000FF"/>
            <w:u w:val="single"/>
          </w:rPr>
          <w:t>www.ntp.co.za</w:t>
        </w:r>
      </w:hyperlink>
    </w:p>
    <w:p w14:paraId="6829CB05" w14:textId="77777777" w:rsidR="009A3F2F" w:rsidRDefault="009A3F2F" w:rsidP="007A7CBD">
      <w:pPr>
        <w:autoSpaceDE w:val="0"/>
        <w:autoSpaceDN w:val="0"/>
        <w:adjustRightInd w:val="0"/>
        <w:spacing w:after="0"/>
        <w:ind w:right="1127"/>
        <w:jc w:val="both"/>
        <w:rPr>
          <w:rFonts w:eastAsia="Times New Roman" w:cstheme="minorHAnsi"/>
          <w:color w:val="000000"/>
        </w:rPr>
      </w:pPr>
    </w:p>
    <w:p w14:paraId="42F2EF3F" w14:textId="77777777" w:rsidR="00B50387" w:rsidRDefault="00B50387" w:rsidP="007A7CBD">
      <w:pPr>
        <w:autoSpaceDE w:val="0"/>
        <w:autoSpaceDN w:val="0"/>
        <w:adjustRightInd w:val="0"/>
        <w:spacing w:after="0"/>
        <w:ind w:right="1127"/>
        <w:jc w:val="both"/>
        <w:rPr>
          <w:rFonts w:eastAsia="Times New Roman" w:cstheme="minorHAnsi"/>
          <w:color w:val="000000"/>
        </w:rPr>
      </w:pPr>
    </w:p>
    <w:p w14:paraId="7B6031E8" w14:textId="77777777" w:rsidR="00B50387" w:rsidRDefault="00B50387" w:rsidP="007A7CBD">
      <w:pPr>
        <w:autoSpaceDE w:val="0"/>
        <w:autoSpaceDN w:val="0"/>
        <w:adjustRightInd w:val="0"/>
        <w:spacing w:after="0"/>
        <w:ind w:right="1127"/>
        <w:jc w:val="both"/>
        <w:rPr>
          <w:rFonts w:eastAsia="Times New Roman" w:cstheme="minorHAnsi"/>
          <w:color w:val="000000"/>
        </w:rPr>
      </w:pPr>
    </w:p>
    <w:p w14:paraId="023FAB14" w14:textId="77777777" w:rsidR="00B50387" w:rsidRDefault="00B50387" w:rsidP="007A7CBD">
      <w:pPr>
        <w:autoSpaceDE w:val="0"/>
        <w:autoSpaceDN w:val="0"/>
        <w:adjustRightInd w:val="0"/>
        <w:spacing w:after="0"/>
        <w:ind w:right="1127"/>
        <w:jc w:val="both"/>
        <w:rPr>
          <w:rFonts w:eastAsia="Times New Roman" w:cstheme="minorHAnsi"/>
          <w:color w:val="000000"/>
        </w:rPr>
      </w:pPr>
    </w:p>
    <w:p w14:paraId="1BADF86B" w14:textId="77777777" w:rsidR="00B50387" w:rsidRDefault="00B50387" w:rsidP="007A7CBD">
      <w:pPr>
        <w:autoSpaceDE w:val="0"/>
        <w:autoSpaceDN w:val="0"/>
        <w:adjustRightInd w:val="0"/>
        <w:spacing w:after="0"/>
        <w:ind w:right="1127"/>
        <w:jc w:val="both"/>
        <w:rPr>
          <w:rFonts w:eastAsia="Times New Roman" w:cstheme="minorHAnsi"/>
          <w:color w:val="000000"/>
        </w:rPr>
      </w:pPr>
    </w:p>
    <w:p w14:paraId="7088F94E" w14:textId="77777777" w:rsidR="00B50387" w:rsidRDefault="00B50387" w:rsidP="007A7CBD">
      <w:pPr>
        <w:autoSpaceDE w:val="0"/>
        <w:autoSpaceDN w:val="0"/>
        <w:adjustRightInd w:val="0"/>
        <w:spacing w:after="0"/>
        <w:ind w:right="1127"/>
        <w:jc w:val="both"/>
        <w:rPr>
          <w:rFonts w:eastAsia="Times New Roman" w:cstheme="minorHAnsi"/>
          <w:color w:val="000000"/>
        </w:rPr>
      </w:pPr>
    </w:p>
    <w:p w14:paraId="5EED78A3" w14:textId="77777777" w:rsidR="00B50387" w:rsidRDefault="00B50387" w:rsidP="007A7CBD">
      <w:pPr>
        <w:autoSpaceDE w:val="0"/>
        <w:autoSpaceDN w:val="0"/>
        <w:adjustRightInd w:val="0"/>
        <w:spacing w:after="0"/>
        <w:ind w:right="1127"/>
        <w:jc w:val="both"/>
        <w:rPr>
          <w:rFonts w:eastAsia="Times New Roman" w:cstheme="minorHAnsi"/>
          <w:color w:val="000000"/>
        </w:rPr>
      </w:pPr>
    </w:p>
    <w:p w14:paraId="65B86505" w14:textId="77777777" w:rsidR="00B50387" w:rsidRDefault="00B50387" w:rsidP="007A7CBD">
      <w:pPr>
        <w:autoSpaceDE w:val="0"/>
        <w:autoSpaceDN w:val="0"/>
        <w:adjustRightInd w:val="0"/>
        <w:spacing w:after="0"/>
        <w:ind w:right="1127"/>
        <w:jc w:val="both"/>
        <w:rPr>
          <w:rFonts w:eastAsia="Times New Roman" w:cstheme="minorHAnsi"/>
          <w:color w:val="000000"/>
        </w:rPr>
      </w:pPr>
    </w:p>
    <w:p w14:paraId="500236BF" w14:textId="77777777" w:rsidR="00B50387" w:rsidRDefault="00B50387" w:rsidP="007A7CBD">
      <w:pPr>
        <w:autoSpaceDE w:val="0"/>
        <w:autoSpaceDN w:val="0"/>
        <w:adjustRightInd w:val="0"/>
        <w:spacing w:after="0"/>
        <w:ind w:right="1127"/>
        <w:jc w:val="both"/>
        <w:rPr>
          <w:rFonts w:eastAsia="Times New Roman" w:cstheme="minorHAnsi"/>
          <w:color w:val="000000"/>
        </w:rPr>
      </w:pPr>
    </w:p>
    <w:p w14:paraId="0B9E8A0B" w14:textId="7C7A1C5B" w:rsidR="00404D5F" w:rsidRPr="00404D5F" w:rsidRDefault="00155894" w:rsidP="00F72BC3">
      <w:pPr>
        <w:pStyle w:val="ListParagraph"/>
        <w:widowControl w:val="0"/>
        <w:numPr>
          <w:ilvl w:val="0"/>
          <w:numId w:val="3"/>
        </w:numPr>
        <w:tabs>
          <w:tab w:val="left" w:pos="2268"/>
        </w:tabs>
        <w:autoSpaceDE w:val="0"/>
        <w:autoSpaceDN w:val="0"/>
        <w:adjustRightInd w:val="0"/>
        <w:spacing w:after="0"/>
        <w:jc w:val="both"/>
        <w:rPr>
          <w:rFonts w:ascii="Calibri" w:hAnsi="Calibri" w:cs="Calibri"/>
          <w:b/>
          <w:bCs/>
          <w:u w:val="single"/>
        </w:rPr>
      </w:pPr>
      <w:r w:rsidRPr="00404D5F">
        <w:rPr>
          <w:rFonts w:eastAsia="Times New Roman" w:cstheme="minorHAnsi"/>
          <w:b/>
          <w:color w:val="000000"/>
          <w:w w:val="101"/>
          <w:sz w:val="24"/>
          <w:szCs w:val="24"/>
          <w:u w:val="single"/>
        </w:rPr>
        <w:t>Scope of Work</w:t>
      </w:r>
      <w:r w:rsidR="00B50387" w:rsidRPr="00404D5F">
        <w:rPr>
          <w:rFonts w:eastAsia="Times New Roman" w:cstheme="minorHAnsi"/>
          <w:b/>
          <w:color w:val="000000"/>
          <w:w w:val="101"/>
          <w:sz w:val="24"/>
          <w:szCs w:val="24"/>
          <w:u w:val="single"/>
        </w:rPr>
        <w:t xml:space="preserve"> for </w:t>
      </w:r>
      <w:r w:rsidR="00404D5F" w:rsidRPr="00404D5F">
        <w:rPr>
          <w:rFonts w:ascii="Calibri" w:hAnsi="Calibri" w:cs="Calibri"/>
          <w:b/>
          <w:bCs/>
          <w:u w:val="single"/>
        </w:rPr>
        <w:t>PLC/SCADA Specialist</w:t>
      </w:r>
    </w:p>
    <w:p w14:paraId="5C228ECD" w14:textId="7CD8A46F" w:rsidR="00404D5F" w:rsidRPr="003D586E" w:rsidRDefault="00404D5F" w:rsidP="00404D5F">
      <w:pPr>
        <w:pStyle w:val="Heading1"/>
        <w:numPr>
          <w:ilvl w:val="1"/>
          <w:numId w:val="32"/>
        </w:numPr>
        <w:rPr>
          <w:rFonts w:ascii="Calibri" w:hAnsi="Calibri" w:cs="Calibri"/>
          <w:b w:val="0"/>
          <w:bCs/>
          <w:sz w:val="22"/>
        </w:rPr>
      </w:pPr>
      <w:r w:rsidRPr="003D586E">
        <w:rPr>
          <w:rFonts w:ascii="Calibri" w:hAnsi="Calibri" w:cs="Calibri"/>
          <w:bCs/>
          <w:sz w:val="22"/>
        </w:rPr>
        <w:lastRenderedPageBreak/>
        <w:t>Purpose</w:t>
      </w:r>
    </w:p>
    <w:p w14:paraId="34CD4144" w14:textId="77777777" w:rsidR="00404D5F" w:rsidRPr="00235D03" w:rsidRDefault="00404D5F" w:rsidP="00404D5F">
      <w:pPr>
        <w:rPr>
          <w:rFonts w:ascii="Calibri" w:hAnsi="Calibri" w:cs="Calibri"/>
          <w:sz w:val="20"/>
          <w:szCs w:val="20"/>
        </w:rPr>
      </w:pPr>
      <w:r w:rsidRPr="00235D03">
        <w:rPr>
          <w:rFonts w:ascii="Calibri" w:hAnsi="Calibri" w:cs="Calibri"/>
          <w:sz w:val="20"/>
          <w:szCs w:val="20"/>
        </w:rPr>
        <w:t>This Scope of Work outlines the technical responsibilities, key deliverables, and expected competencies of the PLC/SCADA Specialist in support of industrial automation systems, process control strategies, and instrumentation systems.</w:t>
      </w:r>
    </w:p>
    <w:p w14:paraId="414D8BAB" w14:textId="77777777" w:rsidR="00404D5F" w:rsidRPr="00404D5F" w:rsidRDefault="00404D5F" w:rsidP="00404D5F">
      <w:pPr>
        <w:pStyle w:val="Heading1"/>
        <w:numPr>
          <w:ilvl w:val="1"/>
          <w:numId w:val="32"/>
        </w:numPr>
        <w:rPr>
          <w:rFonts w:ascii="Calibri" w:hAnsi="Calibri" w:cs="Calibri"/>
          <w:bCs/>
          <w:sz w:val="22"/>
        </w:rPr>
      </w:pPr>
      <w:r w:rsidRPr="00235D03">
        <w:rPr>
          <w:rFonts w:ascii="Calibri" w:hAnsi="Calibri" w:cs="Calibri"/>
          <w:bCs/>
          <w:sz w:val="22"/>
        </w:rPr>
        <w:t>Roles and Responsibilities</w:t>
      </w:r>
    </w:p>
    <w:p w14:paraId="56F40147" w14:textId="77777777" w:rsidR="00404D5F" w:rsidRPr="00404D5F" w:rsidRDefault="00404D5F" w:rsidP="00404D5F">
      <w:pPr>
        <w:pStyle w:val="Heading1"/>
        <w:numPr>
          <w:ilvl w:val="2"/>
          <w:numId w:val="32"/>
        </w:numPr>
        <w:ind w:left="709" w:hanging="567"/>
        <w:rPr>
          <w:rFonts w:ascii="Calibri" w:hAnsi="Calibri" w:cs="Calibri"/>
          <w:bCs/>
          <w:sz w:val="22"/>
        </w:rPr>
      </w:pPr>
      <w:r w:rsidRPr="00404D5F">
        <w:rPr>
          <w:rFonts w:ascii="Calibri" w:hAnsi="Calibri" w:cs="Calibri"/>
          <w:bCs/>
          <w:sz w:val="22"/>
        </w:rPr>
        <w:t>System Design and Integration</w:t>
      </w:r>
    </w:p>
    <w:p w14:paraId="69E1D8AE" w14:textId="77777777" w:rsidR="00404D5F" w:rsidRDefault="00404D5F" w:rsidP="00404D5F">
      <w:pPr>
        <w:pStyle w:val="ListParagraph"/>
        <w:numPr>
          <w:ilvl w:val="0"/>
          <w:numId w:val="28"/>
        </w:numPr>
        <w:spacing w:after="160" w:line="278" w:lineRule="auto"/>
        <w:rPr>
          <w:rFonts w:ascii="Calibri" w:hAnsi="Calibri" w:cs="Calibri"/>
          <w:sz w:val="20"/>
          <w:szCs w:val="20"/>
        </w:rPr>
      </w:pPr>
      <w:r w:rsidRPr="001D25A1">
        <w:rPr>
          <w:rFonts w:ascii="Calibri" w:hAnsi="Calibri" w:cs="Calibri"/>
          <w:sz w:val="20"/>
          <w:szCs w:val="20"/>
        </w:rPr>
        <w:t>Develop and review design solutions for both new and upgraded automation systems in alignment with the organization's C&amp;I strategies.</w:t>
      </w:r>
    </w:p>
    <w:p w14:paraId="18428DE3" w14:textId="77777777" w:rsidR="00404D5F" w:rsidRDefault="00404D5F" w:rsidP="00404D5F">
      <w:pPr>
        <w:pStyle w:val="ListParagraph"/>
        <w:numPr>
          <w:ilvl w:val="0"/>
          <w:numId w:val="28"/>
        </w:numPr>
        <w:spacing w:after="160" w:line="278" w:lineRule="auto"/>
        <w:rPr>
          <w:rFonts w:ascii="Calibri" w:hAnsi="Calibri" w:cs="Calibri"/>
          <w:sz w:val="20"/>
          <w:szCs w:val="20"/>
        </w:rPr>
      </w:pPr>
      <w:r w:rsidRPr="001D25A1">
        <w:rPr>
          <w:rFonts w:ascii="Calibri" w:hAnsi="Calibri" w:cs="Calibri"/>
          <w:sz w:val="20"/>
          <w:szCs w:val="20"/>
        </w:rPr>
        <w:t>Create and update system architecture layouts, IO lists, panel wiring diagrams, installation schematics, and network topologies.</w:t>
      </w:r>
    </w:p>
    <w:p w14:paraId="4C4A0EE9" w14:textId="77777777" w:rsidR="00404D5F" w:rsidRDefault="00404D5F" w:rsidP="00404D5F">
      <w:pPr>
        <w:pStyle w:val="ListParagraph"/>
        <w:numPr>
          <w:ilvl w:val="0"/>
          <w:numId w:val="28"/>
        </w:numPr>
        <w:spacing w:after="160" w:line="278" w:lineRule="auto"/>
        <w:rPr>
          <w:rFonts w:ascii="Calibri" w:hAnsi="Calibri" w:cs="Calibri"/>
          <w:sz w:val="20"/>
          <w:szCs w:val="20"/>
        </w:rPr>
      </w:pPr>
      <w:r w:rsidRPr="001D25A1">
        <w:rPr>
          <w:rFonts w:ascii="Calibri" w:hAnsi="Calibri" w:cs="Calibri"/>
          <w:sz w:val="20"/>
          <w:szCs w:val="20"/>
        </w:rPr>
        <w:t>Ensure compatibility with mainstream technologies and industry standards (e.g., IEC, ISA-95).</w:t>
      </w:r>
    </w:p>
    <w:p w14:paraId="502AEB7E" w14:textId="77777777" w:rsidR="00404D5F" w:rsidRPr="001D25A1" w:rsidRDefault="00404D5F" w:rsidP="00404D5F">
      <w:pPr>
        <w:pStyle w:val="ListParagraph"/>
        <w:numPr>
          <w:ilvl w:val="0"/>
          <w:numId w:val="28"/>
        </w:numPr>
        <w:spacing w:after="160" w:line="278" w:lineRule="auto"/>
        <w:rPr>
          <w:rFonts w:ascii="Calibri" w:hAnsi="Calibri" w:cs="Calibri"/>
          <w:sz w:val="20"/>
          <w:szCs w:val="20"/>
        </w:rPr>
      </w:pPr>
      <w:r w:rsidRPr="001D25A1">
        <w:rPr>
          <w:rFonts w:ascii="Calibri" w:hAnsi="Calibri" w:cs="Calibri"/>
          <w:sz w:val="20"/>
          <w:szCs w:val="20"/>
        </w:rPr>
        <w:t>Integrate PLC, SCADA, and HMI systems ensuring seamless data exchange, accurate real-time monitoring, and control performance.</w:t>
      </w:r>
    </w:p>
    <w:p w14:paraId="19991B5D" w14:textId="77777777" w:rsidR="00404D5F" w:rsidRPr="00404D5F" w:rsidRDefault="00404D5F" w:rsidP="00404D5F">
      <w:pPr>
        <w:pStyle w:val="Heading1"/>
        <w:numPr>
          <w:ilvl w:val="2"/>
          <w:numId w:val="32"/>
        </w:numPr>
        <w:ind w:left="709" w:hanging="567"/>
        <w:rPr>
          <w:rFonts w:ascii="Calibri" w:hAnsi="Calibri" w:cs="Calibri"/>
          <w:bCs/>
          <w:sz w:val="22"/>
        </w:rPr>
      </w:pPr>
      <w:r w:rsidRPr="00404D5F">
        <w:rPr>
          <w:rFonts w:ascii="Calibri" w:hAnsi="Calibri" w:cs="Calibri"/>
          <w:bCs/>
          <w:sz w:val="22"/>
        </w:rPr>
        <w:t xml:space="preserve">Engineering Documentation </w:t>
      </w:r>
    </w:p>
    <w:p w14:paraId="21BB896A" w14:textId="77777777" w:rsidR="00404D5F" w:rsidRDefault="00404D5F" w:rsidP="00404D5F">
      <w:pPr>
        <w:pStyle w:val="ListParagraph"/>
        <w:numPr>
          <w:ilvl w:val="0"/>
          <w:numId w:val="27"/>
        </w:numPr>
        <w:spacing w:after="160" w:line="278" w:lineRule="auto"/>
        <w:rPr>
          <w:rFonts w:ascii="Calibri" w:hAnsi="Calibri" w:cs="Calibri"/>
          <w:sz w:val="20"/>
          <w:szCs w:val="20"/>
        </w:rPr>
      </w:pPr>
      <w:r w:rsidRPr="001D25A1">
        <w:rPr>
          <w:rFonts w:ascii="Calibri" w:hAnsi="Calibri" w:cs="Calibri"/>
          <w:sz w:val="20"/>
          <w:szCs w:val="20"/>
        </w:rPr>
        <w:t>Develop conceptual designs based on User Requirement Specifications (URS).</w:t>
      </w:r>
    </w:p>
    <w:p w14:paraId="32937E0D" w14:textId="77777777" w:rsidR="00404D5F" w:rsidRDefault="00404D5F" w:rsidP="00404D5F">
      <w:pPr>
        <w:pStyle w:val="ListParagraph"/>
        <w:numPr>
          <w:ilvl w:val="0"/>
          <w:numId w:val="27"/>
        </w:numPr>
        <w:spacing w:after="160" w:line="278" w:lineRule="auto"/>
        <w:rPr>
          <w:rFonts w:ascii="Calibri" w:hAnsi="Calibri" w:cs="Calibri"/>
          <w:sz w:val="20"/>
          <w:szCs w:val="20"/>
        </w:rPr>
      </w:pPr>
      <w:r w:rsidRPr="001D25A1">
        <w:rPr>
          <w:rFonts w:ascii="Calibri" w:hAnsi="Calibri" w:cs="Calibri"/>
          <w:sz w:val="20"/>
          <w:szCs w:val="20"/>
        </w:rPr>
        <w:t>Perform and verify engineering calculations supporting control loop design, sizing of instrumentation, and system load assessments.</w:t>
      </w:r>
    </w:p>
    <w:p w14:paraId="5F578AB1" w14:textId="77777777" w:rsidR="00404D5F" w:rsidRDefault="00404D5F" w:rsidP="00404D5F">
      <w:pPr>
        <w:pStyle w:val="ListParagraph"/>
        <w:numPr>
          <w:ilvl w:val="0"/>
          <w:numId w:val="27"/>
        </w:numPr>
        <w:spacing w:after="160" w:line="278" w:lineRule="auto"/>
        <w:rPr>
          <w:rFonts w:ascii="Calibri" w:hAnsi="Calibri" w:cs="Calibri"/>
          <w:sz w:val="20"/>
          <w:szCs w:val="20"/>
        </w:rPr>
      </w:pPr>
      <w:r w:rsidRPr="001D25A1">
        <w:rPr>
          <w:rFonts w:ascii="Calibri" w:hAnsi="Calibri" w:cs="Calibri"/>
          <w:sz w:val="20"/>
          <w:szCs w:val="20"/>
        </w:rPr>
        <w:t>Compile design information.</w:t>
      </w:r>
    </w:p>
    <w:p w14:paraId="3C709D90" w14:textId="77777777" w:rsidR="00404D5F" w:rsidRPr="001D25A1" w:rsidRDefault="00404D5F" w:rsidP="00404D5F">
      <w:pPr>
        <w:pStyle w:val="ListParagraph"/>
        <w:numPr>
          <w:ilvl w:val="0"/>
          <w:numId w:val="27"/>
        </w:numPr>
        <w:spacing w:after="160" w:line="278" w:lineRule="auto"/>
        <w:rPr>
          <w:rFonts w:ascii="Calibri" w:hAnsi="Calibri" w:cs="Calibri"/>
          <w:sz w:val="20"/>
          <w:szCs w:val="20"/>
        </w:rPr>
      </w:pPr>
      <w:r w:rsidRPr="001D25A1">
        <w:rPr>
          <w:rFonts w:ascii="Calibri" w:hAnsi="Calibri" w:cs="Calibri"/>
          <w:sz w:val="20"/>
          <w:szCs w:val="20"/>
        </w:rPr>
        <w:t>Ensure "As-Built" documentation is completed and validated post-commissioning.</w:t>
      </w:r>
    </w:p>
    <w:p w14:paraId="4759816B" w14:textId="77777777" w:rsidR="00404D5F" w:rsidRPr="00404D5F" w:rsidRDefault="00404D5F" w:rsidP="00404D5F">
      <w:pPr>
        <w:pStyle w:val="Heading1"/>
        <w:numPr>
          <w:ilvl w:val="2"/>
          <w:numId w:val="32"/>
        </w:numPr>
        <w:ind w:left="709" w:hanging="567"/>
        <w:rPr>
          <w:rFonts w:ascii="Calibri" w:hAnsi="Calibri" w:cs="Calibri"/>
          <w:bCs/>
          <w:sz w:val="22"/>
        </w:rPr>
      </w:pPr>
      <w:r w:rsidRPr="00404D5F">
        <w:rPr>
          <w:rFonts w:ascii="Calibri" w:hAnsi="Calibri" w:cs="Calibri"/>
          <w:bCs/>
          <w:sz w:val="22"/>
        </w:rPr>
        <w:t>Testing and Commissioning</w:t>
      </w:r>
    </w:p>
    <w:p w14:paraId="4FC6B31F" w14:textId="77777777" w:rsidR="00404D5F" w:rsidRDefault="00404D5F" w:rsidP="00404D5F">
      <w:pPr>
        <w:pStyle w:val="ListParagraph"/>
        <w:numPr>
          <w:ilvl w:val="0"/>
          <w:numId w:val="26"/>
        </w:numPr>
        <w:spacing w:after="160" w:line="278" w:lineRule="auto"/>
        <w:rPr>
          <w:rFonts w:ascii="Calibri" w:hAnsi="Calibri" w:cs="Calibri"/>
          <w:sz w:val="20"/>
          <w:szCs w:val="20"/>
        </w:rPr>
      </w:pPr>
      <w:r w:rsidRPr="001D25A1">
        <w:rPr>
          <w:rFonts w:ascii="Calibri" w:hAnsi="Calibri" w:cs="Calibri"/>
          <w:sz w:val="20"/>
          <w:szCs w:val="20"/>
        </w:rPr>
        <w:t>Lead and execute Factory Acceptance Testing (FAT), Site Acceptance Testing (SAT), and functional testing of automation systems.</w:t>
      </w:r>
    </w:p>
    <w:p w14:paraId="14D29085" w14:textId="77777777" w:rsidR="00404D5F" w:rsidRDefault="00404D5F" w:rsidP="00404D5F">
      <w:pPr>
        <w:pStyle w:val="ListParagraph"/>
        <w:numPr>
          <w:ilvl w:val="0"/>
          <w:numId w:val="26"/>
        </w:numPr>
        <w:spacing w:after="160" w:line="278" w:lineRule="auto"/>
        <w:rPr>
          <w:rFonts w:ascii="Calibri" w:hAnsi="Calibri" w:cs="Calibri"/>
          <w:sz w:val="20"/>
          <w:szCs w:val="20"/>
        </w:rPr>
      </w:pPr>
      <w:r w:rsidRPr="001D25A1">
        <w:rPr>
          <w:rFonts w:ascii="Calibri" w:hAnsi="Calibri" w:cs="Calibri"/>
          <w:sz w:val="20"/>
          <w:szCs w:val="20"/>
        </w:rPr>
        <w:t>Provide technical leadership during commissioning, ensuring all control elements are tested against functional descriptions.</w:t>
      </w:r>
    </w:p>
    <w:p w14:paraId="6CFEF323" w14:textId="77777777" w:rsidR="00404D5F" w:rsidRPr="001D25A1" w:rsidRDefault="00404D5F" w:rsidP="00404D5F">
      <w:pPr>
        <w:pStyle w:val="ListParagraph"/>
        <w:numPr>
          <w:ilvl w:val="0"/>
          <w:numId w:val="26"/>
        </w:numPr>
        <w:spacing w:after="160" w:line="278" w:lineRule="auto"/>
        <w:rPr>
          <w:rFonts w:ascii="Calibri" w:hAnsi="Calibri" w:cs="Calibri"/>
          <w:sz w:val="20"/>
          <w:szCs w:val="20"/>
        </w:rPr>
      </w:pPr>
      <w:r w:rsidRPr="001D25A1">
        <w:rPr>
          <w:rFonts w:ascii="Calibri" w:hAnsi="Calibri" w:cs="Calibri"/>
          <w:sz w:val="20"/>
          <w:szCs w:val="20"/>
        </w:rPr>
        <w:t>Implement optimization strategies post-commissioning to ensure optimal plant performance.</w:t>
      </w:r>
    </w:p>
    <w:p w14:paraId="0BC28818" w14:textId="77777777" w:rsidR="00404D5F" w:rsidRPr="00404D5F" w:rsidRDefault="00404D5F" w:rsidP="00404D5F">
      <w:pPr>
        <w:pStyle w:val="Heading1"/>
        <w:numPr>
          <w:ilvl w:val="2"/>
          <w:numId w:val="32"/>
        </w:numPr>
        <w:ind w:left="709" w:hanging="567"/>
        <w:rPr>
          <w:rFonts w:ascii="Calibri" w:hAnsi="Calibri" w:cs="Calibri"/>
          <w:bCs/>
          <w:sz w:val="22"/>
        </w:rPr>
      </w:pPr>
      <w:r w:rsidRPr="00404D5F">
        <w:rPr>
          <w:rFonts w:ascii="Calibri" w:hAnsi="Calibri" w:cs="Calibri"/>
          <w:bCs/>
          <w:sz w:val="22"/>
        </w:rPr>
        <w:t>Regulatory Compliance and Configuration Management</w:t>
      </w:r>
    </w:p>
    <w:p w14:paraId="40EBB64B" w14:textId="77777777" w:rsidR="00404D5F" w:rsidRDefault="00404D5F" w:rsidP="00404D5F">
      <w:pPr>
        <w:pStyle w:val="ListParagraph"/>
        <w:numPr>
          <w:ilvl w:val="0"/>
          <w:numId w:val="25"/>
        </w:numPr>
        <w:spacing w:after="160" w:line="278" w:lineRule="auto"/>
        <w:rPr>
          <w:rFonts w:ascii="Calibri" w:hAnsi="Calibri" w:cs="Calibri"/>
          <w:sz w:val="20"/>
          <w:szCs w:val="20"/>
        </w:rPr>
      </w:pPr>
      <w:r w:rsidRPr="001D25A1">
        <w:rPr>
          <w:rFonts w:ascii="Calibri" w:hAnsi="Calibri" w:cs="Calibri"/>
          <w:sz w:val="20"/>
          <w:szCs w:val="20"/>
        </w:rPr>
        <w:t>Ensure control systems adhere to applicable regulatory requirements, internal engineering standards, and lifecycle configuration management processes.</w:t>
      </w:r>
    </w:p>
    <w:p w14:paraId="2DBD3037" w14:textId="77777777" w:rsidR="00404D5F" w:rsidRPr="001D25A1" w:rsidRDefault="00404D5F" w:rsidP="00404D5F">
      <w:pPr>
        <w:pStyle w:val="ListParagraph"/>
        <w:numPr>
          <w:ilvl w:val="0"/>
          <w:numId w:val="25"/>
        </w:numPr>
        <w:spacing w:after="160" w:line="278" w:lineRule="auto"/>
        <w:rPr>
          <w:rFonts w:ascii="Calibri" w:hAnsi="Calibri" w:cs="Calibri"/>
          <w:sz w:val="20"/>
          <w:szCs w:val="20"/>
        </w:rPr>
      </w:pPr>
      <w:r w:rsidRPr="001D25A1">
        <w:rPr>
          <w:rFonts w:ascii="Calibri" w:hAnsi="Calibri" w:cs="Calibri"/>
          <w:sz w:val="20"/>
          <w:szCs w:val="20"/>
        </w:rPr>
        <w:t xml:space="preserve">Maintain control system integrity through change management protocols (i.e. </w:t>
      </w:r>
      <w:r>
        <w:rPr>
          <w:rFonts w:ascii="Calibri" w:hAnsi="Calibri" w:cs="Calibri"/>
          <w:sz w:val="20"/>
          <w:szCs w:val="20"/>
        </w:rPr>
        <w:t>Change Control Committee processes</w:t>
      </w:r>
      <w:r w:rsidRPr="001D25A1">
        <w:rPr>
          <w:rFonts w:ascii="Calibri" w:hAnsi="Calibri" w:cs="Calibri"/>
          <w:sz w:val="20"/>
          <w:szCs w:val="20"/>
        </w:rPr>
        <w:t>).</w:t>
      </w:r>
    </w:p>
    <w:p w14:paraId="4DEF8712" w14:textId="77777777" w:rsidR="00404D5F" w:rsidRPr="00404D5F" w:rsidRDefault="00404D5F" w:rsidP="00404D5F">
      <w:pPr>
        <w:pStyle w:val="Heading1"/>
        <w:numPr>
          <w:ilvl w:val="2"/>
          <w:numId w:val="32"/>
        </w:numPr>
        <w:ind w:left="709" w:hanging="567"/>
        <w:rPr>
          <w:rFonts w:ascii="Calibri" w:hAnsi="Calibri" w:cs="Calibri"/>
          <w:bCs/>
          <w:sz w:val="22"/>
        </w:rPr>
      </w:pPr>
      <w:r w:rsidRPr="00404D5F">
        <w:rPr>
          <w:rFonts w:ascii="Calibri" w:hAnsi="Calibri" w:cs="Calibri"/>
          <w:bCs/>
          <w:sz w:val="22"/>
        </w:rPr>
        <w:t>Operations and Maintenance Support</w:t>
      </w:r>
    </w:p>
    <w:p w14:paraId="791D9640" w14:textId="77777777" w:rsidR="00404D5F" w:rsidRDefault="00404D5F" w:rsidP="00404D5F">
      <w:pPr>
        <w:pStyle w:val="ListParagraph"/>
        <w:numPr>
          <w:ilvl w:val="0"/>
          <w:numId w:val="24"/>
        </w:numPr>
        <w:spacing w:after="160" w:line="278" w:lineRule="auto"/>
        <w:rPr>
          <w:rFonts w:ascii="Calibri" w:hAnsi="Calibri" w:cs="Calibri"/>
          <w:sz w:val="20"/>
          <w:szCs w:val="20"/>
        </w:rPr>
      </w:pPr>
      <w:r w:rsidRPr="001D25A1">
        <w:rPr>
          <w:rFonts w:ascii="Calibri" w:hAnsi="Calibri" w:cs="Calibri"/>
          <w:sz w:val="20"/>
          <w:szCs w:val="20"/>
        </w:rPr>
        <w:t>Develop maintainability strategies and philosophies for critical control systems to ensure high availability and reliability.</w:t>
      </w:r>
    </w:p>
    <w:p w14:paraId="7F1A17D9" w14:textId="77777777" w:rsidR="00404D5F" w:rsidRDefault="00404D5F" w:rsidP="00404D5F">
      <w:pPr>
        <w:pStyle w:val="ListParagraph"/>
        <w:numPr>
          <w:ilvl w:val="0"/>
          <w:numId w:val="24"/>
        </w:numPr>
        <w:spacing w:after="160" w:line="278" w:lineRule="auto"/>
        <w:rPr>
          <w:rFonts w:ascii="Calibri" w:hAnsi="Calibri" w:cs="Calibri"/>
          <w:sz w:val="20"/>
          <w:szCs w:val="20"/>
        </w:rPr>
      </w:pPr>
      <w:r w:rsidRPr="001D25A1">
        <w:rPr>
          <w:rFonts w:ascii="Calibri" w:hAnsi="Calibri" w:cs="Calibri"/>
          <w:sz w:val="20"/>
          <w:szCs w:val="20"/>
        </w:rPr>
        <w:t>Troubleshoot complex issues escalated from the maintenance team and/or production team and provide long-term corrective actions.</w:t>
      </w:r>
    </w:p>
    <w:p w14:paraId="2711D0C0" w14:textId="77777777" w:rsidR="00404D5F" w:rsidRPr="001D25A1" w:rsidRDefault="00404D5F" w:rsidP="00404D5F">
      <w:pPr>
        <w:pStyle w:val="ListParagraph"/>
        <w:numPr>
          <w:ilvl w:val="0"/>
          <w:numId w:val="24"/>
        </w:numPr>
        <w:spacing w:after="160" w:line="278" w:lineRule="auto"/>
        <w:rPr>
          <w:rFonts w:ascii="Calibri" w:hAnsi="Calibri" w:cs="Calibri"/>
          <w:sz w:val="20"/>
          <w:szCs w:val="20"/>
        </w:rPr>
      </w:pPr>
      <w:r w:rsidRPr="001D25A1">
        <w:rPr>
          <w:rFonts w:ascii="Calibri" w:hAnsi="Calibri" w:cs="Calibri"/>
          <w:sz w:val="20"/>
          <w:szCs w:val="20"/>
        </w:rPr>
        <w:t>Ensure that appropriate technical documentation (e.g., logic narratives, IO lists, etc.) are updated and accessible to O&amp;M teams.</w:t>
      </w:r>
    </w:p>
    <w:p w14:paraId="71822565" w14:textId="77777777" w:rsidR="00404D5F" w:rsidRPr="00404D5F" w:rsidRDefault="00404D5F" w:rsidP="00404D5F">
      <w:pPr>
        <w:pStyle w:val="Heading1"/>
        <w:numPr>
          <w:ilvl w:val="2"/>
          <w:numId w:val="32"/>
        </w:numPr>
        <w:ind w:left="709" w:hanging="567"/>
        <w:rPr>
          <w:rFonts w:ascii="Calibri" w:hAnsi="Calibri" w:cs="Calibri"/>
          <w:bCs/>
          <w:sz w:val="22"/>
        </w:rPr>
      </w:pPr>
      <w:r w:rsidRPr="00404D5F">
        <w:rPr>
          <w:rFonts w:ascii="Calibri" w:hAnsi="Calibri" w:cs="Calibri"/>
          <w:bCs/>
          <w:sz w:val="22"/>
        </w:rPr>
        <w:t>Vendor and Stakeholder Coordination</w:t>
      </w:r>
    </w:p>
    <w:p w14:paraId="28E1971E" w14:textId="77777777" w:rsidR="00404D5F" w:rsidRDefault="00404D5F" w:rsidP="00404D5F">
      <w:pPr>
        <w:pStyle w:val="ListParagraph"/>
        <w:numPr>
          <w:ilvl w:val="0"/>
          <w:numId w:val="23"/>
        </w:numPr>
        <w:spacing w:after="160" w:line="278" w:lineRule="auto"/>
        <w:rPr>
          <w:rFonts w:ascii="Calibri" w:hAnsi="Calibri" w:cs="Calibri"/>
          <w:sz w:val="20"/>
          <w:szCs w:val="20"/>
        </w:rPr>
      </w:pPr>
      <w:r w:rsidRPr="001D25A1">
        <w:rPr>
          <w:rFonts w:ascii="Calibri" w:hAnsi="Calibri" w:cs="Calibri"/>
          <w:sz w:val="20"/>
          <w:szCs w:val="20"/>
        </w:rPr>
        <w:t>Liaise with OEMs, system integrators, sub-contractors, and component suppliers to ensure effective delivery of engineered solutions.</w:t>
      </w:r>
    </w:p>
    <w:p w14:paraId="716F2473" w14:textId="77777777" w:rsidR="00404D5F" w:rsidRPr="001D25A1" w:rsidRDefault="00404D5F" w:rsidP="00404D5F">
      <w:pPr>
        <w:pStyle w:val="ListParagraph"/>
        <w:numPr>
          <w:ilvl w:val="0"/>
          <w:numId w:val="23"/>
        </w:numPr>
        <w:spacing w:after="160" w:line="278" w:lineRule="auto"/>
        <w:rPr>
          <w:rFonts w:ascii="Calibri" w:hAnsi="Calibri" w:cs="Calibri"/>
          <w:sz w:val="20"/>
          <w:szCs w:val="20"/>
        </w:rPr>
      </w:pPr>
      <w:r w:rsidRPr="001D25A1">
        <w:rPr>
          <w:rFonts w:ascii="Calibri" w:hAnsi="Calibri" w:cs="Calibri"/>
          <w:sz w:val="20"/>
          <w:szCs w:val="20"/>
        </w:rPr>
        <w:lastRenderedPageBreak/>
        <w:t>Perform technical evaluations and adjudications of supplier proposals and compile client-facing technical reports.</w:t>
      </w:r>
    </w:p>
    <w:p w14:paraId="4FD645B7" w14:textId="77777777" w:rsidR="00404D5F" w:rsidRPr="00404D5F" w:rsidRDefault="00404D5F" w:rsidP="00404D5F">
      <w:pPr>
        <w:pStyle w:val="Heading1"/>
        <w:numPr>
          <w:ilvl w:val="2"/>
          <w:numId w:val="32"/>
        </w:numPr>
        <w:ind w:left="709" w:hanging="567"/>
        <w:rPr>
          <w:rFonts w:ascii="Calibri" w:hAnsi="Calibri" w:cs="Calibri"/>
          <w:bCs/>
          <w:sz w:val="22"/>
        </w:rPr>
      </w:pPr>
      <w:r w:rsidRPr="00404D5F">
        <w:rPr>
          <w:rFonts w:ascii="Calibri" w:hAnsi="Calibri" w:cs="Calibri"/>
          <w:bCs/>
          <w:sz w:val="22"/>
        </w:rPr>
        <w:t>Training and Knowledge Transfer</w:t>
      </w:r>
    </w:p>
    <w:p w14:paraId="6A3D53B8" w14:textId="77777777" w:rsidR="00404D5F" w:rsidRPr="00F44D08" w:rsidRDefault="00404D5F" w:rsidP="00404D5F">
      <w:pPr>
        <w:pStyle w:val="ListParagraph"/>
        <w:numPr>
          <w:ilvl w:val="0"/>
          <w:numId w:val="22"/>
        </w:numPr>
        <w:spacing w:after="160" w:line="278" w:lineRule="auto"/>
        <w:rPr>
          <w:rFonts w:ascii="Calibri" w:hAnsi="Calibri" w:cs="Calibri"/>
          <w:sz w:val="20"/>
          <w:szCs w:val="20"/>
        </w:rPr>
      </w:pPr>
      <w:r w:rsidRPr="00F44D08">
        <w:rPr>
          <w:rFonts w:ascii="Calibri" w:hAnsi="Calibri" w:cs="Calibri"/>
          <w:sz w:val="20"/>
          <w:szCs w:val="20"/>
        </w:rPr>
        <w:t>Support internal knowledge transfer initiatives as needed to promote organizational technical competency.</w:t>
      </w:r>
    </w:p>
    <w:p w14:paraId="4DC1BCAB" w14:textId="77777777" w:rsidR="00404D5F" w:rsidRPr="00D739FD" w:rsidRDefault="00404D5F" w:rsidP="00404D5F">
      <w:pPr>
        <w:pStyle w:val="ListParagraph"/>
        <w:numPr>
          <w:ilvl w:val="0"/>
          <w:numId w:val="22"/>
        </w:numPr>
        <w:spacing w:before="100" w:beforeAutospacing="1" w:after="100" w:afterAutospacing="1" w:line="240" w:lineRule="auto"/>
        <w:rPr>
          <w:rFonts w:ascii="Calibri" w:hAnsi="Calibri" w:cs="Calibri"/>
          <w:sz w:val="20"/>
          <w:szCs w:val="20"/>
        </w:rPr>
      </w:pPr>
      <w:r w:rsidRPr="00D739FD">
        <w:rPr>
          <w:rFonts w:ascii="Calibri" w:hAnsi="Calibri" w:cs="Calibri"/>
          <w:sz w:val="20"/>
          <w:szCs w:val="20"/>
        </w:rPr>
        <w:t>Provide support in developing technical upskilling programs for junior personnel involved with C&amp;I systems, as needed.</w:t>
      </w:r>
    </w:p>
    <w:p w14:paraId="1C6FCB82" w14:textId="77777777" w:rsidR="00404D5F" w:rsidRPr="00404D5F" w:rsidRDefault="00404D5F" w:rsidP="00404D5F">
      <w:pPr>
        <w:pStyle w:val="Heading1"/>
        <w:numPr>
          <w:ilvl w:val="2"/>
          <w:numId w:val="32"/>
        </w:numPr>
        <w:ind w:left="709" w:hanging="567"/>
        <w:rPr>
          <w:rFonts w:ascii="Calibri" w:hAnsi="Calibri" w:cs="Calibri"/>
          <w:bCs/>
          <w:sz w:val="22"/>
        </w:rPr>
      </w:pPr>
      <w:r w:rsidRPr="00404D5F">
        <w:rPr>
          <w:rFonts w:ascii="Calibri" w:hAnsi="Calibri" w:cs="Calibri"/>
          <w:bCs/>
          <w:sz w:val="22"/>
        </w:rPr>
        <w:t>Process and Safety Alignment</w:t>
      </w:r>
    </w:p>
    <w:p w14:paraId="07DEF679" w14:textId="77777777" w:rsidR="00404D5F" w:rsidRDefault="00404D5F" w:rsidP="00404D5F">
      <w:pPr>
        <w:pStyle w:val="ListParagraph"/>
        <w:numPr>
          <w:ilvl w:val="0"/>
          <w:numId w:val="20"/>
        </w:numPr>
        <w:spacing w:after="160" w:line="278" w:lineRule="auto"/>
        <w:rPr>
          <w:rFonts w:ascii="Calibri" w:hAnsi="Calibri" w:cs="Calibri"/>
          <w:sz w:val="20"/>
          <w:szCs w:val="20"/>
        </w:rPr>
      </w:pPr>
      <w:r w:rsidRPr="001D25A1">
        <w:rPr>
          <w:rFonts w:ascii="Calibri" w:hAnsi="Calibri" w:cs="Calibri"/>
          <w:sz w:val="20"/>
          <w:szCs w:val="20"/>
        </w:rPr>
        <w:t>Participate in process hazard analyses (HAZOP), design and safety reviews.</w:t>
      </w:r>
    </w:p>
    <w:p w14:paraId="0FA234EF" w14:textId="77777777" w:rsidR="00404D5F" w:rsidRPr="001D25A1" w:rsidRDefault="00404D5F" w:rsidP="00404D5F">
      <w:pPr>
        <w:pStyle w:val="ListParagraph"/>
        <w:numPr>
          <w:ilvl w:val="0"/>
          <w:numId w:val="20"/>
        </w:numPr>
        <w:spacing w:after="160" w:line="278" w:lineRule="auto"/>
        <w:rPr>
          <w:rFonts w:ascii="Calibri" w:hAnsi="Calibri" w:cs="Calibri"/>
          <w:sz w:val="20"/>
          <w:szCs w:val="20"/>
        </w:rPr>
      </w:pPr>
      <w:r w:rsidRPr="001D25A1">
        <w:rPr>
          <w:rFonts w:ascii="Calibri" w:hAnsi="Calibri" w:cs="Calibri"/>
          <w:sz w:val="20"/>
          <w:szCs w:val="20"/>
        </w:rPr>
        <w:t>Review and interpret Process Flow Diagrams (PFDs), Piping and Instrumentation Diagrams (P&amp;IDs), and control narratives to ensure functional alignment.</w:t>
      </w:r>
    </w:p>
    <w:p w14:paraId="5CD57868" w14:textId="77777777" w:rsidR="00404D5F" w:rsidRPr="00404D5F" w:rsidRDefault="00404D5F" w:rsidP="00404D5F">
      <w:pPr>
        <w:pStyle w:val="Heading1"/>
        <w:numPr>
          <w:ilvl w:val="1"/>
          <w:numId w:val="32"/>
        </w:numPr>
        <w:rPr>
          <w:rFonts w:ascii="Calibri" w:hAnsi="Calibri" w:cs="Calibri"/>
          <w:bCs/>
          <w:sz w:val="22"/>
        </w:rPr>
      </w:pPr>
      <w:r w:rsidRPr="00235D03">
        <w:rPr>
          <w:rFonts w:ascii="Calibri" w:hAnsi="Calibri" w:cs="Calibri"/>
          <w:bCs/>
          <w:sz w:val="22"/>
        </w:rPr>
        <w:t>Deliverables</w:t>
      </w:r>
    </w:p>
    <w:p w14:paraId="047927D8" w14:textId="77777777" w:rsidR="00404D5F" w:rsidRDefault="00404D5F" w:rsidP="00404D5F">
      <w:pPr>
        <w:pStyle w:val="ListParagraph"/>
        <w:numPr>
          <w:ilvl w:val="0"/>
          <w:numId w:val="21"/>
        </w:numPr>
        <w:spacing w:after="160" w:line="278" w:lineRule="auto"/>
        <w:rPr>
          <w:rFonts w:ascii="Calibri" w:hAnsi="Calibri" w:cs="Calibri"/>
          <w:sz w:val="20"/>
          <w:szCs w:val="20"/>
        </w:rPr>
      </w:pPr>
      <w:r w:rsidRPr="001D25A1">
        <w:rPr>
          <w:rFonts w:ascii="Calibri" w:hAnsi="Calibri" w:cs="Calibri"/>
          <w:sz w:val="20"/>
          <w:szCs w:val="20"/>
        </w:rPr>
        <w:t>Complete engineering design packages including schematics, control narratives, functional design specifications (FDS), and loop drawings.</w:t>
      </w:r>
    </w:p>
    <w:p w14:paraId="36FA38D3" w14:textId="77777777" w:rsidR="00404D5F" w:rsidRDefault="00404D5F" w:rsidP="00404D5F">
      <w:pPr>
        <w:pStyle w:val="ListParagraph"/>
        <w:numPr>
          <w:ilvl w:val="0"/>
          <w:numId w:val="21"/>
        </w:numPr>
        <w:spacing w:after="160" w:line="278" w:lineRule="auto"/>
        <w:rPr>
          <w:rFonts w:ascii="Calibri" w:hAnsi="Calibri" w:cs="Calibri"/>
          <w:sz w:val="20"/>
          <w:szCs w:val="20"/>
        </w:rPr>
      </w:pPr>
      <w:r w:rsidRPr="001D25A1">
        <w:rPr>
          <w:rFonts w:ascii="Calibri" w:hAnsi="Calibri" w:cs="Calibri"/>
          <w:sz w:val="20"/>
          <w:szCs w:val="20"/>
        </w:rPr>
        <w:t>FAT and SAT documentation with full traceability to URS.</w:t>
      </w:r>
    </w:p>
    <w:p w14:paraId="3862C8B3" w14:textId="77777777" w:rsidR="00404D5F" w:rsidRDefault="00404D5F" w:rsidP="00404D5F">
      <w:pPr>
        <w:pStyle w:val="ListParagraph"/>
        <w:numPr>
          <w:ilvl w:val="0"/>
          <w:numId w:val="21"/>
        </w:numPr>
        <w:spacing w:after="160" w:line="278" w:lineRule="auto"/>
        <w:rPr>
          <w:rFonts w:ascii="Calibri" w:hAnsi="Calibri" w:cs="Calibri"/>
          <w:sz w:val="20"/>
          <w:szCs w:val="20"/>
        </w:rPr>
      </w:pPr>
      <w:r w:rsidRPr="001D25A1">
        <w:rPr>
          <w:rFonts w:ascii="Calibri" w:hAnsi="Calibri" w:cs="Calibri"/>
          <w:sz w:val="20"/>
          <w:szCs w:val="20"/>
        </w:rPr>
        <w:t>Commissioning reports, PLC/HMI code backups, and 'As-Built' documentation.</w:t>
      </w:r>
    </w:p>
    <w:p w14:paraId="40BA50E5" w14:textId="77777777" w:rsidR="00404D5F" w:rsidRDefault="00404D5F" w:rsidP="00404D5F">
      <w:pPr>
        <w:pStyle w:val="ListParagraph"/>
        <w:numPr>
          <w:ilvl w:val="0"/>
          <w:numId w:val="21"/>
        </w:numPr>
        <w:spacing w:after="160" w:line="278" w:lineRule="auto"/>
        <w:rPr>
          <w:rFonts w:ascii="Calibri" w:hAnsi="Calibri" w:cs="Calibri"/>
          <w:sz w:val="20"/>
          <w:szCs w:val="20"/>
        </w:rPr>
      </w:pPr>
      <w:r w:rsidRPr="001D25A1">
        <w:rPr>
          <w:rFonts w:ascii="Calibri" w:hAnsi="Calibri" w:cs="Calibri"/>
          <w:sz w:val="20"/>
          <w:szCs w:val="20"/>
        </w:rPr>
        <w:t>Technical assessments.</w:t>
      </w:r>
    </w:p>
    <w:p w14:paraId="46BE412D" w14:textId="77777777" w:rsidR="00404D5F" w:rsidRPr="001D25A1" w:rsidRDefault="00404D5F" w:rsidP="00404D5F">
      <w:pPr>
        <w:pStyle w:val="ListParagraph"/>
        <w:numPr>
          <w:ilvl w:val="0"/>
          <w:numId w:val="21"/>
        </w:numPr>
        <w:spacing w:after="160" w:line="278" w:lineRule="auto"/>
        <w:rPr>
          <w:rFonts w:ascii="Calibri" w:hAnsi="Calibri" w:cs="Calibri"/>
          <w:sz w:val="20"/>
          <w:szCs w:val="20"/>
        </w:rPr>
      </w:pPr>
      <w:r w:rsidRPr="001D25A1">
        <w:rPr>
          <w:rFonts w:ascii="Calibri" w:hAnsi="Calibri" w:cs="Calibri"/>
          <w:sz w:val="20"/>
          <w:szCs w:val="20"/>
        </w:rPr>
        <w:t>Assist the Maintenance Department with preventive maintenance schedules and troubleshooting documentation.</w:t>
      </w:r>
    </w:p>
    <w:p w14:paraId="0BD728FA" w14:textId="77777777" w:rsidR="00404D5F" w:rsidRPr="00404D5F" w:rsidRDefault="00404D5F" w:rsidP="00404D5F">
      <w:pPr>
        <w:pStyle w:val="Heading1"/>
        <w:numPr>
          <w:ilvl w:val="1"/>
          <w:numId w:val="32"/>
        </w:numPr>
        <w:rPr>
          <w:rFonts w:ascii="Calibri" w:hAnsi="Calibri" w:cs="Calibri"/>
          <w:bCs/>
          <w:sz w:val="22"/>
        </w:rPr>
      </w:pPr>
      <w:r w:rsidRPr="00235D03">
        <w:rPr>
          <w:rFonts w:ascii="Calibri" w:hAnsi="Calibri" w:cs="Calibri"/>
          <w:bCs/>
          <w:sz w:val="22"/>
        </w:rPr>
        <w:t>Tools and Platforms</w:t>
      </w:r>
    </w:p>
    <w:p w14:paraId="584BB930" w14:textId="77777777" w:rsidR="00404D5F" w:rsidRPr="00235D03" w:rsidRDefault="00404D5F" w:rsidP="00404D5F">
      <w:pPr>
        <w:ind w:left="142"/>
        <w:rPr>
          <w:rFonts w:ascii="Calibri" w:hAnsi="Calibri" w:cs="Calibri"/>
          <w:sz w:val="20"/>
          <w:szCs w:val="20"/>
        </w:rPr>
      </w:pPr>
      <w:r w:rsidRPr="00235D03">
        <w:rPr>
          <w:rFonts w:ascii="Calibri" w:hAnsi="Calibri" w:cs="Calibri"/>
          <w:sz w:val="20"/>
          <w:szCs w:val="20"/>
        </w:rPr>
        <w:t>The specialist should also have a good grasp of the Automation Stack, particularly ISA-95 Levels 1 to 3, including:</w:t>
      </w:r>
    </w:p>
    <w:p w14:paraId="6C0C5362" w14:textId="77777777" w:rsidR="00404D5F" w:rsidRPr="00235D03" w:rsidRDefault="00404D5F" w:rsidP="00404D5F">
      <w:pPr>
        <w:pStyle w:val="ListParagraph"/>
        <w:numPr>
          <w:ilvl w:val="0"/>
          <w:numId w:val="19"/>
        </w:numPr>
        <w:spacing w:after="160" w:line="278" w:lineRule="auto"/>
        <w:ind w:left="502"/>
        <w:rPr>
          <w:rFonts w:ascii="Calibri" w:hAnsi="Calibri" w:cs="Calibri"/>
          <w:sz w:val="20"/>
          <w:szCs w:val="20"/>
        </w:rPr>
      </w:pPr>
      <w:r w:rsidRPr="00235D03">
        <w:rPr>
          <w:rFonts w:ascii="Calibri" w:hAnsi="Calibri" w:cs="Calibri"/>
          <w:sz w:val="20"/>
          <w:szCs w:val="20"/>
        </w:rPr>
        <w:t>Level 1 – Sensing and Manipulation: Involves direct interface with field devices such as sensors, actuators, and instrumentation for real-time data acquisition and control.</w:t>
      </w:r>
    </w:p>
    <w:p w14:paraId="2FE7B47D" w14:textId="77777777" w:rsidR="00404D5F" w:rsidRPr="00235D03" w:rsidRDefault="00404D5F" w:rsidP="00404D5F">
      <w:pPr>
        <w:pStyle w:val="ListParagraph"/>
        <w:numPr>
          <w:ilvl w:val="0"/>
          <w:numId w:val="19"/>
        </w:numPr>
        <w:spacing w:after="160" w:line="278" w:lineRule="auto"/>
        <w:ind w:left="502"/>
        <w:rPr>
          <w:rFonts w:ascii="Calibri" w:hAnsi="Calibri" w:cs="Calibri"/>
          <w:sz w:val="20"/>
          <w:szCs w:val="20"/>
        </w:rPr>
      </w:pPr>
      <w:r w:rsidRPr="00235D03">
        <w:rPr>
          <w:rFonts w:ascii="Calibri" w:hAnsi="Calibri" w:cs="Calibri"/>
          <w:sz w:val="20"/>
          <w:szCs w:val="20"/>
        </w:rPr>
        <w:t>Level 2 – Monitoring and Control: Focuses on PLC, SCADA, and HMI systems used to control processes and provide real-time operational data and alarms.</w:t>
      </w:r>
    </w:p>
    <w:p w14:paraId="6703E9D0" w14:textId="77777777" w:rsidR="00404D5F" w:rsidRDefault="00404D5F" w:rsidP="00404D5F">
      <w:pPr>
        <w:pStyle w:val="ListParagraph"/>
        <w:numPr>
          <w:ilvl w:val="0"/>
          <w:numId w:val="19"/>
        </w:numPr>
        <w:spacing w:after="160" w:line="278" w:lineRule="auto"/>
        <w:ind w:left="502"/>
        <w:rPr>
          <w:rFonts w:ascii="Calibri" w:hAnsi="Calibri" w:cs="Calibri"/>
          <w:sz w:val="20"/>
          <w:szCs w:val="20"/>
        </w:rPr>
      </w:pPr>
      <w:r w:rsidRPr="00235D03">
        <w:rPr>
          <w:rFonts w:ascii="Calibri" w:hAnsi="Calibri" w:cs="Calibri"/>
          <w:sz w:val="20"/>
          <w:szCs w:val="20"/>
        </w:rPr>
        <w:t>Level 3 – Manufacturing Operations Management: Encompasses functions such as production scheduling, quality assurance, and overall equipment effectiveness (OEE), often integrating with MES and Historian systems.</w:t>
      </w:r>
    </w:p>
    <w:p w14:paraId="1C2DB891" w14:textId="77777777" w:rsidR="00404D5F" w:rsidRDefault="00404D5F" w:rsidP="00404D5F">
      <w:pPr>
        <w:pStyle w:val="ListParagraph"/>
        <w:ind w:left="502"/>
        <w:rPr>
          <w:rFonts w:ascii="Calibri" w:hAnsi="Calibri" w:cs="Calibri"/>
          <w:sz w:val="20"/>
          <w:szCs w:val="20"/>
        </w:rPr>
      </w:pPr>
    </w:p>
    <w:p w14:paraId="210E4AA6" w14:textId="77777777" w:rsidR="00404D5F" w:rsidRPr="003D586E" w:rsidRDefault="00404D5F" w:rsidP="00404D5F">
      <w:pPr>
        <w:pStyle w:val="ListParagraph"/>
        <w:numPr>
          <w:ilvl w:val="0"/>
          <w:numId w:val="19"/>
        </w:numPr>
        <w:spacing w:after="160" w:line="278" w:lineRule="auto"/>
        <w:ind w:left="502"/>
        <w:rPr>
          <w:rFonts w:ascii="Calibri" w:hAnsi="Calibri" w:cs="Calibri"/>
          <w:sz w:val="20"/>
          <w:szCs w:val="20"/>
        </w:rPr>
      </w:pPr>
      <w:r w:rsidRPr="003D586E">
        <w:rPr>
          <w:rFonts w:ascii="Calibri" w:hAnsi="Calibri" w:cs="Calibri"/>
          <w:sz w:val="20"/>
          <w:szCs w:val="20"/>
        </w:rPr>
        <w:t>Below are the core tools and technologies expected:</w:t>
      </w:r>
    </w:p>
    <w:p w14:paraId="3C529015" w14:textId="77777777" w:rsidR="00404D5F" w:rsidRPr="00235D03" w:rsidRDefault="00404D5F" w:rsidP="00404D5F">
      <w:pPr>
        <w:pStyle w:val="ListParagraph"/>
        <w:numPr>
          <w:ilvl w:val="0"/>
          <w:numId w:val="30"/>
        </w:numPr>
        <w:spacing w:after="160" w:line="278" w:lineRule="auto"/>
        <w:ind w:left="772" w:hanging="180"/>
        <w:rPr>
          <w:rFonts w:ascii="Calibri" w:hAnsi="Calibri" w:cs="Calibri"/>
          <w:sz w:val="20"/>
          <w:szCs w:val="20"/>
        </w:rPr>
      </w:pPr>
      <w:r w:rsidRPr="00235D03">
        <w:rPr>
          <w:rFonts w:ascii="Calibri" w:hAnsi="Calibri" w:cs="Calibri"/>
          <w:sz w:val="20"/>
          <w:szCs w:val="20"/>
        </w:rPr>
        <w:t>Proficiency expected in one or more PLC platforms (e.g., Siemens S7, Mitsubishi Q/</w:t>
      </w:r>
      <w:proofErr w:type="spellStart"/>
      <w:r w:rsidRPr="00235D03">
        <w:rPr>
          <w:rFonts w:ascii="Calibri" w:hAnsi="Calibri" w:cs="Calibri"/>
          <w:sz w:val="20"/>
          <w:szCs w:val="20"/>
        </w:rPr>
        <w:t>iQ</w:t>
      </w:r>
      <w:proofErr w:type="spellEnd"/>
      <w:r w:rsidRPr="00235D03">
        <w:rPr>
          <w:rFonts w:ascii="Calibri" w:hAnsi="Calibri" w:cs="Calibri"/>
          <w:sz w:val="20"/>
          <w:szCs w:val="20"/>
        </w:rPr>
        <w:t>-R series).</w:t>
      </w:r>
    </w:p>
    <w:p w14:paraId="466E3DEF" w14:textId="77777777" w:rsidR="00404D5F" w:rsidRPr="00235D03" w:rsidRDefault="00404D5F" w:rsidP="00404D5F">
      <w:pPr>
        <w:pStyle w:val="ListParagraph"/>
        <w:numPr>
          <w:ilvl w:val="0"/>
          <w:numId w:val="30"/>
        </w:numPr>
        <w:spacing w:after="160" w:line="278" w:lineRule="auto"/>
        <w:ind w:left="772" w:hanging="180"/>
        <w:rPr>
          <w:rFonts w:ascii="Calibri" w:hAnsi="Calibri" w:cs="Calibri"/>
          <w:sz w:val="20"/>
          <w:szCs w:val="20"/>
        </w:rPr>
      </w:pPr>
      <w:r w:rsidRPr="00235D03">
        <w:rPr>
          <w:rFonts w:ascii="Calibri" w:hAnsi="Calibri" w:cs="Calibri"/>
          <w:sz w:val="20"/>
          <w:szCs w:val="20"/>
        </w:rPr>
        <w:t>SCADA/HMI platforms (e.g., Siemens WinCC, Adroit, Ignition</w:t>
      </w:r>
      <w:r>
        <w:rPr>
          <w:rFonts w:ascii="Calibri" w:hAnsi="Calibri" w:cs="Calibri"/>
          <w:sz w:val="20"/>
          <w:szCs w:val="20"/>
        </w:rPr>
        <w:t xml:space="preserve"> (preferable)</w:t>
      </w:r>
      <w:r w:rsidRPr="00235D03">
        <w:rPr>
          <w:rFonts w:ascii="Calibri" w:hAnsi="Calibri" w:cs="Calibri"/>
          <w:sz w:val="20"/>
          <w:szCs w:val="20"/>
        </w:rPr>
        <w:t>, Panorama H2</w:t>
      </w:r>
      <w:r>
        <w:rPr>
          <w:rFonts w:ascii="Calibri" w:hAnsi="Calibri" w:cs="Calibri"/>
          <w:sz w:val="20"/>
          <w:szCs w:val="20"/>
        </w:rPr>
        <w:t xml:space="preserve"> (preferable)</w:t>
      </w:r>
      <w:r w:rsidRPr="00235D03">
        <w:rPr>
          <w:rFonts w:ascii="Calibri" w:hAnsi="Calibri" w:cs="Calibri"/>
          <w:sz w:val="20"/>
          <w:szCs w:val="20"/>
        </w:rPr>
        <w:t>, or Wonderware</w:t>
      </w:r>
      <w:r>
        <w:rPr>
          <w:rFonts w:ascii="Calibri" w:hAnsi="Calibri" w:cs="Calibri"/>
          <w:sz w:val="20"/>
          <w:szCs w:val="20"/>
        </w:rPr>
        <w:t xml:space="preserve"> (preferable)</w:t>
      </w:r>
      <w:r w:rsidRPr="00235D03">
        <w:rPr>
          <w:rFonts w:ascii="Calibri" w:hAnsi="Calibri" w:cs="Calibri"/>
          <w:sz w:val="20"/>
          <w:szCs w:val="20"/>
        </w:rPr>
        <w:t>).</w:t>
      </w:r>
    </w:p>
    <w:p w14:paraId="0E4ADE88" w14:textId="77777777" w:rsidR="00404D5F" w:rsidRPr="00235D03" w:rsidRDefault="00404D5F" w:rsidP="00404D5F">
      <w:pPr>
        <w:pStyle w:val="ListParagraph"/>
        <w:numPr>
          <w:ilvl w:val="0"/>
          <w:numId w:val="30"/>
        </w:numPr>
        <w:spacing w:after="160" w:line="278" w:lineRule="auto"/>
        <w:ind w:left="772" w:hanging="180"/>
        <w:rPr>
          <w:rFonts w:ascii="Calibri" w:hAnsi="Calibri" w:cs="Calibri"/>
          <w:sz w:val="20"/>
          <w:szCs w:val="20"/>
        </w:rPr>
      </w:pPr>
      <w:r w:rsidRPr="00235D03">
        <w:rPr>
          <w:rFonts w:ascii="Calibri" w:hAnsi="Calibri" w:cs="Calibri"/>
          <w:sz w:val="20"/>
          <w:szCs w:val="20"/>
        </w:rPr>
        <w:t xml:space="preserve">Familiarity with networking technologies (e.g., Ethernet/IP, </w:t>
      </w:r>
      <w:proofErr w:type="spellStart"/>
      <w:r w:rsidRPr="00235D03">
        <w:rPr>
          <w:rFonts w:ascii="Calibri" w:hAnsi="Calibri" w:cs="Calibri"/>
          <w:sz w:val="20"/>
          <w:szCs w:val="20"/>
        </w:rPr>
        <w:t>Profinet</w:t>
      </w:r>
      <w:proofErr w:type="spellEnd"/>
      <w:r w:rsidRPr="00235D03">
        <w:rPr>
          <w:rFonts w:ascii="Calibri" w:hAnsi="Calibri" w:cs="Calibri"/>
          <w:sz w:val="20"/>
          <w:szCs w:val="20"/>
        </w:rPr>
        <w:t>, Modbus TCP, OPC UA, MQTT, etc.).</w:t>
      </w:r>
    </w:p>
    <w:p w14:paraId="6947BFAD" w14:textId="77777777" w:rsidR="00404D5F" w:rsidRPr="00235D03" w:rsidRDefault="00404D5F" w:rsidP="00404D5F">
      <w:pPr>
        <w:pStyle w:val="ListParagraph"/>
        <w:numPr>
          <w:ilvl w:val="0"/>
          <w:numId w:val="30"/>
        </w:numPr>
        <w:spacing w:after="160" w:line="278" w:lineRule="auto"/>
        <w:ind w:left="772" w:hanging="180"/>
        <w:rPr>
          <w:rFonts w:ascii="Calibri" w:hAnsi="Calibri" w:cs="Calibri"/>
          <w:sz w:val="20"/>
          <w:szCs w:val="20"/>
        </w:rPr>
      </w:pPr>
      <w:r w:rsidRPr="00235D03">
        <w:rPr>
          <w:rFonts w:ascii="Calibri" w:hAnsi="Calibri" w:cs="Calibri"/>
          <w:sz w:val="20"/>
          <w:szCs w:val="20"/>
        </w:rPr>
        <w:t>Documentation platforms (MS Office, Visio, MS Projects).</w:t>
      </w:r>
    </w:p>
    <w:p w14:paraId="00913980" w14:textId="77777777" w:rsidR="00404D5F" w:rsidRDefault="00404D5F" w:rsidP="00404D5F">
      <w:pPr>
        <w:pStyle w:val="ListParagraph"/>
        <w:ind w:left="502"/>
        <w:rPr>
          <w:rFonts w:ascii="Calibri" w:hAnsi="Calibri" w:cs="Calibri"/>
          <w:sz w:val="20"/>
          <w:szCs w:val="20"/>
        </w:rPr>
      </w:pPr>
    </w:p>
    <w:p w14:paraId="5E579B52" w14:textId="77777777" w:rsidR="00404D5F" w:rsidRPr="003D586E" w:rsidRDefault="00404D5F" w:rsidP="00404D5F">
      <w:pPr>
        <w:pStyle w:val="ListParagraph"/>
        <w:numPr>
          <w:ilvl w:val="0"/>
          <w:numId w:val="19"/>
        </w:numPr>
        <w:spacing w:after="160" w:line="278" w:lineRule="auto"/>
        <w:ind w:left="502"/>
        <w:rPr>
          <w:rFonts w:ascii="Calibri" w:hAnsi="Calibri" w:cs="Calibri"/>
          <w:sz w:val="20"/>
          <w:szCs w:val="20"/>
        </w:rPr>
      </w:pPr>
      <w:r w:rsidRPr="003D586E">
        <w:rPr>
          <w:rFonts w:ascii="Calibri" w:hAnsi="Calibri" w:cs="Calibri"/>
          <w:sz w:val="20"/>
          <w:szCs w:val="20"/>
        </w:rPr>
        <w:t>The following knowledge areas are advantageous but not compulsory:</w:t>
      </w:r>
    </w:p>
    <w:p w14:paraId="61EE7EFE" w14:textId="77777777" w:rsidR="00404D5F" w:rsidRPr="00235D03" w:rsidRDefault="00404D5F" w:rsidP="00404D5F">
      <w:pPr>
        <w:pStyle w:val="ListParagraph"/>
        <w:numPr>
          <w:ilvl w:val="0"/>
          <w:numId w:val="31"/>
        </w:numPr>
        <w:spacing w:after="160" w:line="278" w:lineRule="auto"/>
        <w:ind w:left="772" w:hanging="180"/>
        <w:rPr>
          <w:rFonts w:ascii="Calibri" w:hAnsi="Calibri" w:cs="Calibri"/>
          <w:sz w:val="20"/>
          <w:szCs w:val="20"/>
        </w:rPr>
      </w:pPr>
      <w:r w:rsidRPr="00235D03">
        <w:rPr>
          <w:rFonts w:ascii="Calibri" w:hAnsi="Calibri" w:cs="Calibri"/>
          <w:sz w:val="20"/>
          <w:szCs w:val="20"/>
        </w:rPr>
        <w:t>Historians (e.g., CODRA</w:t>
      </w:r>
      <w:r>
        <w:rPr>
          <w:rFonts w:ascii="Calibri" w:hAnsi="Calibri" w:cs="Calibri"/>
          <w:sz w:val="20"/>
          <w:szCs w:val="20"/>
        </w:rPr>
        <w:t xml:space="preserve"> Panorama</w:t>
      </w:r>
      <w:r w:rsidRPr="00235D03">
        <w:rPr>
          <w:rFonts w:ascii="Calibri" w:hAnsi="Calibri" w:cs="Calibri"/>
          <w:sz w:val="20"/>
          <w:szCs w:val="20"/>
        </w:rPr>
        <w:t xml:space="preserve"> </w:t>
      </w:r>
      <w:r>
        <w:rPr>
          <w:rFonts w:ascii="Calibri" w:hAnsi="Calibri" w:cs="Calibri"/>
          <w:sz w:val="20"/>
          <w:szCs w:val="20"/>
        </w:rPr>
        <w:t>H</w:t>
      </w:r>
      <w:r w:rsidRPr="00235D03">
        <w:rPr>
          <w:rFonts w:ascii="Calibri" w:hAnsi="Calibri" w:cs="Calibri"/>
          <w:sz w:val="20"/>
          <w:szCs w:val="20"/>
        </w:rPr>
        <w:t>2)</w:t>
      </w:r>
    </w:p>
    <w:p w14:paraId="158AB24A" w14:textId="77777777" w:rsidR="00404D5F" w:rsidRPr="00235D03" w:rsidRDefault="00404D5F" w:rsidP="00404D5F">
      <w:pPr>
        <w:pStyle w:val="ListParagraph"/>
        <w:numPr>
          <w:ilvl w:val="0"/>
          <w:numId w:val="31"/>
        </w:numPr>
        <w:spacing w:after="160" w:line="278" w:lineRule="auto"/>
        <w:ind w:left="772" w:hanging="180"/>
        <w:rPr>
          <w:rFonts w:ascii="Calibri" w:hAnsi="Calibri" w:cs="Calibri"/>
          <w:sz w:val="20"/>
          <w:szCs w:val="20"/>
        </w:rPr>
      </w:pPr>
      <w:proofErr w:type="spellStart"/>
      <w:r w:rsidRPr="00235D03">
        <w:rPr>
          <w:rFonts w:ascii="Calibri" w:hAnsi="Calibri" w:cs="Calibri"/>
          <w:sz w:val="20"/>
          <w:szCs w:val="20"/>
        </w:rPr>
        <w:t>KepServerEx</w:t>
      </w:r>
      <w:proofErr w:type="spellEnd"/>
      <w:r w:rsidRPr="00235D03">
        <w:rPr>
          <w:rFonts w:ascii="Calibri" w:hAnsi="Calibri" w:cs="Calibri"/>
          <w:sz w:val="20"/>
          <w:szCs w:val="20"/>
        </w:rPr>
        <w:t xml:space="preserve"> and/or similar technologies</w:t>
      </w:r>
    </w:p>
    <w:p w14:paraId="04E67676" w14:textId="77777777" w:rsidR="00404D5F" w:rsidRPr="00235D03" w:rsidRDefault="00404D5F" w:rsidP="00404D5F">
      <w:pPr>
        <w:pStyle w:val="ListParagraph"/>
        <w:numPr>
          <w:ilvl w:val="0"/>
          <w:numId w:val="31"/>
        </w:numPr>
        <w:spacing w:after="160" w:line="278" w:lineRule="auto"/>
        <w:ind w:left="772" w:hanging="180"/>
        <w:rPr>
          <w:rFonts w:ascii="Calibri" w:hAnsi="Calibri" w:cs="Calibri"/>
          <w:sz w:val="20"/>
          <w:szCs w:val="20"/>
        </w:rPr>
      </w:pPr>
      <w:r w:rsidRPr="00235D03">
        <w:rPr>
          <w:rFonts w:ascii="Calibri" w:hAnsi="Calibri" w:cs="Calibri"/>
          <w:sz w:val="20"/>
          <w:szCs w:val="20"/>
        </w:rPr>
        <w:t>Tableau and/or similar data visualization platforms.</w:t>
      </w:r>
    </w:p>
    <w:p w14:paraId="185B3B7A" w14:textId="77777777" w:rsidR="00404D5F" w:rsidRPr="00404D5F" w:rsidRDefault="00404D5F" w:rsidP="00404D5F">
      <w:pPr>
        <w:pStyle w:val="Heading1"/>
        <w:numPr>
          <w:ilvl w:val="1"/>
          <w:numId w:val="32"/>
        </w:numPr>
        <w:rPr>
          <w:rFonts w:ascii="Calibri" w:hAnsi="Calibri" w:cs="Calibri"/>
          <w:bCs/>
          <w:sz w:val="22"/>
        </w:rPr>
      </w:pPr>
      <w:r w:rsidRPr="00235D03">
        <w:rPr>
          <w:rFonts w:ascii="Calibri" w:hAnsi="Calibri" w:cs="Calibri"/>
          <w:bCs/>
          <w:sz w:val="22"/>
        </w:rPr>
        <w:lastRenderedPageBreak/>
        <w:t>Governance and Quality Assurance</w:t>
      </w:r>
    </w:p>
    <w:p w14:paraId="7F056A0B" w14:textId="77777777" w:rsidR="00404D5F" w:rsidRPr="00235D03" w:rsidRDefault="00404D5F" w:rsidP="00404D5F">
      <w:pPr>
        <w:pStyle w:val="ListParagraph"/>
        <w:numPr>
          <w:ilvl w:val="0"/>
          <w:numId w:val="18"/>
        </w:numPr>
        <w:spacing w:after="160" w:line="278" w:lineRule="auto"/>
        <w:ind w:left="502"/>
        <w:rPr>
          <w:rFonts w:ascii="Calibri" w:hAnsi="Calibri" w:cs="Calibri"/>
          <w:sz w:val="20"/>
          <w:szCs w:val="20"/>
        </w:rPr>
      </w:pPr>
      <w:r w:rsidRPr="00235D03">
        <w:rPr>
          <w:rFonts w:ascii="Calibri" w:hAnsi="Calibri" w:cs="Calibri"/>
          <w:sz w:val="20"/>
          <w:szCs w:val="20"/>
        </w:rPr>
        <w:t>All work shall be performed in accordance with internal quality management systems (ISO 9001 or equivalent) and relevant safety standards such as IEC 61508</w:t>
      </w:r>
      <w:r>
        <w:rPr>
          <w:rFonts w:ascii="Calibri" w:hAnsi="Calibri" w:cs="Calibri"/>
          <w:sz w:val="20"/>
          <w:szCs w:val="20"/>
        </w:rPr>
        <w:t xml:space="preserve"> &amp; IEC 61511</w:t>
      </w:r>
      <w:r w:rsidRPr="00235D03">
        <w:rPr>
          <w:rFonts w:ascii="Calibri" w:hAnsi="Calibri" w:cs="Calibri"/>
          <w:sz w:val="20"/>
          <w:szCs w:val="20"/>
        </w:rPr>
        <w:t xml:space="preserve"> for functional safety lifecycle management.</w:t>
      </w:r>
    </w:p>
    <w:p w14:paraId="0DC22714" w14:textId="77777777" w:rsidR="00404D5F" w:rsidRPr="00235D03" w:rsidRDefault="00404D5F" w:rsidP="00404D5F">
      <w:pPr>
        <w:pStyle w:val="ListParagraph"/>
        <w:numPr>
          <w:ilvl w:val="0"/>
          <w:numId w:val="18"/>
        </w:numPr>
        <w:spacing w:after="160" w:line="278" w:lineRule="auto"/>
        <w:ind w:left="502"/>
        <w:rPr>
          <w:rFonts w:ascii="Calibri" w:hAnsi="Calibri" w:cs="Calibri"/>
          <w:sz w:val="20"/>
          <w:szCs w:val="20"/>
        </w:rPr>
      </w:pPr>
      <w:r w:rsidRPr="00235D03">
        <w:rPr>
          <w:rFonts w:ascii="Calibri" w:hAnsi="Calibri" w:cs="Calibri"/>
          <w:sz w:val="20"/>
          <w:szCs w:val="20"/>
        </w:rPr>
        <w:t>Engineering outputs are to be peer-reviewed and verified according to the established procedures.</w:t>
      </w:r>
    </w:p>
    <w:p w14:paraId="6C61E023" w14:textId="77777777" w:rsidR="00404D5F" w:rsidRPr="00235D03" w:rsidRDefault="00404D5F" w:rsidP="00404D5F">
      <w:pPr>
        <w:pStyle w:val="ListParagraph"/>
        <w:numPr>
          <w:ilvl w:val="0"/>
          <w:numId w:val="18"/>
        </w:numPr>
        <w:spacing w:after="160" w:line="278" w:lineRule="auto"/>
        <w:ind w:left="502"/>
        <w:rPr>
          <w:rFonts w:ascii="Calibri" w:hAnsi="Calibri" w:cs="Calibri"/>
          <w:sz w:val="20"/>
          <w:szCs w:val="20"/>
        </w:rPr>
      </w:pPr>
      <w:r w:rsidRPr="00235D03">
        <w:rPr>
          <w:rFonts w:ascii="Calibri" w:hAnsi="Calibri" w:cs="Calibri"/>
          <w:sz w:val="20"/>
          <w:szCs w:val="20"/>
        </w:rPr>
        <w:t>Periodic audits shall be conducted to ensure alignment with project milestones, budgets, and quality criteria.</w:t>
      </w:r>
    </w:p>
    <w:p w14:paraId="01E08F90" w14:textId="77777777" w:rsidR="00404D5F" w:rsidRPr="00235D03" w:rsidRDefault="00404D5F" w:rsidP="00404D5F">
      <w:pPr>
        <w:pStyle w:val="ListParagraph"/>
        <w:numPr>
          <w:ilvl w:val="0"/>
          <w:numId w:val="18"/>
        </w:numPr>
        <w:spacing w:after="160" w:line="278" w:lineRule="auto"/>
        <w:ind w:left="502"/>
        <w:rPr>
          <w:rFonts w:ascii="Calibri" w:hAnsi="Calibri" w:cs="Calibri"/>
          <w:sz w:val="20"/>
          <w:szCs w:val="20"/>
        </w:rPr>
      </w:pPr>
      <w:r w:rsidRPr="00235D03">
        <w:rPr>
          <w:rFonts w:ascii="Calibri" w:hAnsi="Calibri" w:cs="Calibri"/>
          <w:sz w:val="20"/>
          <w:szCs w:val="20"/>
        </w:rPr>
        <w:t>Ensure adherence to lifecycle documentation procedures aligned with ISA-95 where applicable.</w:t>
      </w:r>
    </w:p>
    <w:p w14:paraId="1EF029B5" w14:textId="77777777" w:rsidR="00404D5F" w:rsidRPr="00235D03" w:rsidRDefault="00404D5F" w:rsidP="00404D5F">
      <w:pPr>
        <w:pStyle w:val="ListParagraph"/>
        <w:numPr>
          <w:ilvl w:val="0"/>
          <w:numId w:val="18"/>
        </w:numPr>
        <w:spacing w:after="160" w:line="278" w:lineRule="auto"/>
        <w:ind w:left="502"/>
        <w:rPr>
          <w:rFonts w:ascii="Calibri" w:hAnsi="Calibri" w:cs="Calibri"/>
          <w:sz w:val="20"/>
          <w:szCs w:val="20"/>
        </w:rPr>
      </w:pPr>
      <w:r w:rsidRPr="00235D03">
        <w:rPr>
          <w:rFonts w:ascii="Calibri" w:hAnsi="Calibri" w:cs="Calibri"/>
          <w:sz w:val="20"/>
          <w:szCs w:val="20"/>
        </w:rPr>
        <w:t>Incorporate risk assessment tools such as Failure Modes and Effects Analysis (FMEA) during design and review phases to identify and mitigate potential failure points.</w:t>
      </w:r>
    </w:p>
    <w:p w14:paraId="7E7CC68A" w14:textId="77777777" w:rsidR="00404D5F" w:rsidRPr="00235D03" w:rsidRDefault="00404D5F" w:rsidP="00404D5F">
      <w:pPr>
        <w:pStyle w:val="ListParagraph"/>
        <w:numPr>
          <w:ilvl w:val="0"/>
          <w:numId w:val="18"/>
        </w:numPr>
        <w:spacing w:after="160" w:line="278" w:lineRule="auto"/>
        <w:ind w:left="502"/>
        <w:rPr>
          <w:rFonts w:ascii="Calibri" w:hAnsi="Calibri" w:cs="Calibri"/>
          <w:sz w:val="20"/>
          <w:szCs w:val="20"/>
        </w:rPr>
      </w:pPr>
      <w:r w:rsidRPr="00235D03">
        <w:rPr>
          <w:rFonts w:ascii="Calibri" w:hAnsi="Calibri" w:cs="Calibri"/>
          <w:sz w:val="20"/>
          <w:szCs w:val="20"/>
        </w:rPr>
        <w:t>Participate in continuous improvement programs targeting reliability, cost-effectiveness, and lifecycle compliance of control systems.</w:t>
      </w:r>
    </w:p>
    <w:p w14:paraId="13D99F69" w14:textId="77777777" w:rsidR="00404D5F" w:rsidRPr="00235D03" w:rsidRDefault="00404D5F" w:rsidP="00404D5F">
      <w:pPr>
        <w:pStyle w:val="ListParagraph"/>
        <w:numPr>
          <w:ilvl w:val="0"/>
          <w:numId w:val="18"/>
        </w:numPr>
        <w:spacing w:after="160" w:line="278" w:lineRule="auto"/>
        <w:ind w:left="502"/>
        <w:rPr>
          <w:rFonts w:ascii="Calibri" w:hAnsi="Calibri" w:cs="Calibri"/>
          <w:sz w:val="20"/>
          <w:szCs w:val="20"/>
        </w:rPr>
      </w:pPr>
      <w:r w:rsidRPr="00235D03">
        <w:rPr>
          <w:rFonts w:ascii="Calibri" w:hAnsi="Calibri" w:cs="Calibri"/>
          <w:sz w:val="20"/>
          <w:szCs w:val="20"/>
        </w:rPr>
        <w:t>Apply Good Engineering Practices (GEP) and ensure the system is audit-ready for regulatory inspections.</w:t>
      </w:r>
    </w:p>
    <w:p w14:paraId="7B0114D5" w14:textId="77777777" w:rsidR="004333BA" w:rsidRDefault="004333BA" w:rsidP="00B50387">
      <w:pPr>
        <w:pStyle w:val="PlainText"/>
        <w:ind w:firstLine="360"/>
      </w:pPr>
    </w:p>
    <w:p w14:paraId="5DAA55C8" w14:textId="66E22699" w:rsidR="00155894" w:rsidRPr="0096640D" w:rsidRDefault="00155894" w:rsidP="00B50387">
      <w:pPr>
        <w:pStyle w:val="ListParagraph"/>
        <w:numPr>
          <w:ilvl w:val="0"/>
          <w:numId w:val="3"/>
        </w:numPr>
        <w:shd w:val="clear" w:color="auto" w:fill="FFFFFF"/>
        <w:spacing w:after="0" w:line="240" w:lineRule="auto"/>
        <w:rPr>
          <w:rFonts w:eastAsia="Times New Roman" w:cstheme="minorHAnsi"/>
          <w:b/>
          <w:color w:val="000000"/>
          <w:w w:val="105"/>
          <w:sz w:val="24"/>
          <w:szCs w:val="24"/>
          <w:u w:val="single"/>
        </w:rPr>
      </w:pPr>
      <w:r w:rsidRPr="0096640D">
        <w:rPr>
          <w:rFonts w:eastAsia="Times New Roman" w:cstheme="minorHAnsi"/>
          <w:b/>
          <w:color w:val="000000"/>
          <w:w w:val="101"/>
          <w:sz w:val="24"/>
          <w:szCs w:val="24"/>
          <w:u w:val="single"/>
        </w:rPr>
        <w:t>Pricing</w:t>
      </w:r>
    </w:p>
    <w:p w14:paraId="6AA9C986" w14:textId="77777777" w:rsidR="00155894" w:rsidRPr="00A44540" w:rsidRDefault="00155894" w:rsidP="00B50387">
      <w:pPr>
        <w:widowControl w:val="0"/>
        <w:tabs>
          <w:tab w:val="left" w:pos="2552"/>
        </w:tabs>
        <w:autoSpaceDE w:val="0"/>
        <w:autoSpaceDN w:val="0"/>
        <w:adjustRightInd w:val="0"/>
        <w:spacing w:after="0" w:line="240" w:lineRule="auto"/>
        <w:jc w:val="both"/>
        <w:rPr>
          <w:rFonts w:eastAsia="Times New Roman" w:cstheme="minorHAnsi"/>
          <w:b/>
          <w:color w:val="000000"/>
          <w:w w:val="101"/>
        </w:rPr>
      </w:pPr>
    </w:p>
    <w:p w14:paraId="0EA4FACA" w14:textId="77777777" w:rsidR="00514AE5" w:rsidRPr="00A44540" w:rsidRDefault="006346AD" w:rsidP="00B50387">
      <w:pPr>
        <w:pStyle w:val="ListParagraph"/>
        <w:widowControl w:val="0"/>
        <w:numPr>
          <w:ilvl w:val="0"/>
          <w:numId w:val="2"/>
        </w:numPr>
        <w:tabs>
          <w:tab w:val="left" w:pos="2552"/>
        </w:tabs>
        <w:autoSpaceDE w:val="0"/>
        <w:autoSpaceDN w:val="0"/>
        <w:adjustRightInd w:val="0"/>
        <w:spacing w:after="0" w:line="240" w:lineRule="auto"/>
        <w:jc w:val="both"/>
        <w:rPr>
          <w:rFonts w:eastAsia="Times New Roman" w:cstheme="minorHAnsi"/>
          <w:color w:val="000000"/>
          <w:w w:val="105"/>
        </w:rPr>
      </w:pPr>
      <w:r>
        <w:rPr>
          <w:rFonts w:eastAsia="Times New Roman" w:cstheme="minorHAnsi"/>
          <w:color w:val="000000"/>
          <w:w w:val="105"/>
        </w:rPr>
        <w:t xml:space="preserve">All price must be quoted in </w:t>
      </w:r>
      <w:r w:rsidR="00514AE5" w:rsidRPr="00A44540">
        <w:rPr>
          <w:rFonts w:eastAsia="Times New Roman" w:cstheme="minorHAnsi"/>
          <w:color w:val="000000"/>
          <w:w w:val="105"/>
        </w:rPr>
        <w:t>South African Rand,</w:t>
      </w:r>
      <w:r>
        <w:rPr>
          <w:rFonts w:eastAsia="Times New Roman" w:cstheme="minorHAnsi"/>
          <w:color w:val="000000"/>
          <w:w w:val="105"/>
        </w:rPr>
        <w:t xml:space="preserve"> exclusive of VAT</w:t>
      </w:r>
      <w:r w:rsidR="00514AE5" w:rsidRPr="00A44540">
        <w:rPr>
          <w:rFonts w:eastAsia="Times New Roman" w:cstheme="minorHAnsi"/>
          <w:color w:val="000000"/>
          <w:w w:val="105"/>
        </w:rPr>
        <w:t xml:space="preserve"> with details on price elements that are subjected to escalation and exchange rate fluctuations clearly indicated</w:t>
      </w:r>
      <w:r>
        <w:rPr>
          <w:rFonts w:eastAsia="Times New Roman" w:cstheme="minorHAnsi"/>
          <w:color w:val="000000"/>
          <w:w w:val="105"/>
        </w:rPr>
        <w:t>.</w:t>
      </w:r>
      <w:r w:rsidR="00514AE5" w:rsidRPr="00A44540">
        <w:rPr>
          <w:rFonts w:eastAsia="Times New Roman" w:cstheme="minorHAnsi"/>
          <w:color w:val="000000"/>
          <w:w w:val="105"/>
        </w:rPr>
        <w:t xml:space="preserve"> </w:t>
      </w:r>
    </w:p>
    <w:p w14:paraId="6A35DA71" w14:textId="77777777" w:rsidR="00514AE5" w:rsidRPr="00A44540" w:rsidRDefault="00514AE5" w:rsidP="00B50387">
      <w:pPr>
        <w:pStyle w:val="ListParagraph"/>
        <w:widowControl w:val="0"/>
        <w:numPr>
          <w:ilvl w:val="0"/>
          <w:numId w:val="2"/>
        </w:numPr>
        <w:tabs>
          <w:tab w:val="left" w:pos="2552"/>
        </w:tabs>
        <w:autoSpaceDE w:val="0"/>
        <w:autoSpaceDN w:val="0"/>
        <w:adjustRightInd w:val="0"/>
        <w:spacing w:after="0" w:line="240" w:lineRule="auto"/>
        <w:jc w:val="both"/>
        <w:rPr>
          <w:rFonts w:eastAsia="Times New Roman" w:cstheme="minorHAnsi"/>
          <w:color w:val="000000"/>
          <w:w w:val="105"/>
        </w:rPr>
      </w:pPr>
      <w:r w:rsidRPr="00A44540">
        <w:rPr>
          <w:rFonts w:eastAsia="Times New Roman" w:cstheme="minorHAnsi"/>
          <w:color w:val="000000"/>
          <w:w w:val="105"/>
        </w:rPr>
        <w:t>Price must be fixed and firm</w:t>
      </w:r>
    </w:p>
    <w:p w14:paraId="2F0A10B2" w14:textId="77777777" w:rsidR="00514AE5" w:rsidRDefault="00514AE5" w:rsidP="00B50387">
      <w:pPr>
        <w:pStyle w:val="ListParagraph"/>
        <w:widowControl w:val="0"/>
        <w:numPr>
          <w:ilvl w:val="0"/>
          <w:numId w:val="2"/>
        </w:numPr>
        <w:tabs>
          <w:tab w:val="left" w:pos="2552"/>
        </w:tabs>
        <w:autoSpaceDE w:val="0"/>
        <w:autoSpaceDN w:val="0"/>
        <w:adjustRightInd w:val="0"/>
        <w:spacing w:after="0" w:line="240" w:lineRule="auto"/>
        <w:jc w:val="both"/>
        <w:rPr>
          <w:rFonts w:eastAsia="Times New Roman" w:cstheme="minorHAnsi"/>
          <w:color w:val="000000"/>
          <w:w w:val="105"/>
        </w:rPr>
      </w:pPr>
      <w:r w:rsidRPr="00A44540">
        <w:rPr>
          <w:rFonts w:eastAsia="Times New Roman" w:cstheme="minorHAnsi"/>
          <w:color w:val="000000"/>
          <w:w w:val="105"/>
        </w:rPr>
        <w:t>Price should include additional cost elements such as freight, insurance until acceptance, duty where applicable</w:t>
      </w:r>
      <w:r w:rsidR="001F169B" w:rsidRPr="00A44540">
        <w:rPr>
          <w:rFonts w:eastAsia="Times New Roman" w:cstheme="minorHAnsi"/>
          <w:color w:val="000000"/>
          <w:w w:val="105"/>
        </w:rPr>
        <w:t>, disbursements</w:t>
      </w:r>
      <w:r w:rsidRPr="00A44540">
        <w:rPr>
          <w:rFonts w:eastAsia="Times New Roman" w:cstheme="minorHAnsi"/>
          <w:color w:val="000000"/>
          <w:w w:val="105"/>
        </w:rPr>
        <w:t xml:space="preserve"> etc.</w:t>
      </w:r>
    </w:p>
    <w:p w14:paraId="302F48DE" w14:textId="77777777" w:rsidR="00BA4051" w:rsidRPr="00A44540" w:rsidRDefault="0066139F" w:rsidP="00B50387">
      <w:pPr>
        <w:pStyle w:val="ListParagraph"/>
        <w:widowControl w:val="0"/>
        <w:numPr>
          <w:ilvl w:val="0"/>
          <w:numId w:val="2"/>
        </w:numPr>
        <w:tabs>
          <w:tab w:val="left" w:pos="2552"/>
        </w:tabs>
        <w:autoSpaceDE w:val="0"/>
        <w:autoSpaceDN w:val="0"/>
        <w:adjustRightInd w:val="0"/>
        <w:spacing w:after="0" w:line="240" w:lineRule="auto"/>
        <w:jc w:val="both"/>
        <w:rPr>
          <w:rFonts w:eastAsia="Times New Roman" w:cstheme="minorHAnsi"/>
          <w:color w:val="000000"/>
          <w:w w:val="105"/>
        </w:rPr>
      </w:pPr>
      <w:r>
        <w:rPr>
          <w:rFonts w:eastAsia="Times New Roman" w:cstheme="minorHAnsi"/>
          <w:color w:val="000000"/>
          <w:w w:val="105"/>
        </w:rPr>
        <w:t>Quotation must be completed in full, incomplete quote could result in a quote being disqualified.</w:t>
      </w:r>
    </w:p>
    <w:p w14:paraId="210B3C13" w14:textId="77777777" w:rsidR="00514AE5" w:rsidRPr="00A44540" w:rsidRDefault="00514AE5" w:rsidP="00B50387">
      <w:pPr>
        <w:pStyle w:val="ListParagraph"/>
        <w:widowControl w:val="0"/>
        <w:numPr>
          <w:ilvl w:val="0"/>
          <w:numId w:val="2"/>
        </w:numPr>
        <w:tabs>
          <w:tab w:val="left" w:pos="2552"/>
        </w:tabs>
        <w:autoSpaceDE w:val="0"/>
        <w:autoSpaceDN w:val="0"/>
        <w:adjustRightInd w:val="0"/>
        <w:spacing w:after="0" w:line="240" w:lineRule="auto"/>
        <w:jc w:val="both"/>
        <w:rPr>
          <w:rFonts w:eastAsia="Times New Roman" w:cstheme="minorHAnsi"/>
          <w:color w:val="000000"/>
          <w:w w:val="105"/>
        </w:rPr>
      </w:pPr>
      <w:r w:rsidRPr="00A44540">
        <w:rPr>
          <w:rFonts w:eastAsia="Times New Roman" w:cstheme="minorHAnsi"/>
          <w:color w:val="000000"/>
          <w:w w:val="105"/>
        </w:rPr>
        <w:t>Payment will be according to Necsa’s General Conditions of Purchase</w:t>
      </w:r>
      <w:r w:rsidR="00AD2401">
        <w:rPr>
          <w:rFonts w:eastAsia="Times New Roman" w:cstheme="minorHAnsi"/>
          <w:color w:val="000000"/>
          <w:w w:val="105"/>
        </w:rPr>
        <w:t>.</w:t>
      </w:r>
    </w:p>
    <w:p w14:paraId="470C6D0F" w14:textId="77777777" w:rsidR="000D69F9" w:rsidRPr="00A44540" w:rsidRDefault="000D69F9" w:rsidP="001A799E">
      <w:pPr>
        <w:widowControl w:val="0"/>
        <w:tabs>
          <w:tab w:val="left" w:pos="2552"/>
        </w:tabs>
        <w:autoSpaceDE w:val="0"/>
        <w:autoSpaceDN w:val="0"/>
        <w:adjustRightInd w:val="0"/>
        <w:spacing w:after="0"/>
        <w:jc w:val="both"/>
        <w:rPr>
          <w:rFonts w:eastAsia="Times New Roman" w:cstheme="minorHAnsi"/>
          <w:color w:val="000000"/>
          <w:w w:val="105"/>
        </w:rPr>
      </w:pPr>
    </w:p>
    <w:p w14:paraId="42C0AF37" w14:textId="77777777" w:rsidR="000D69F9" w:rsidRPr="00A44540" w:rsidRDefault="000D69F9" w:rsidP="009E3142">
      <w:pPr>
        <w:pStyle w:val="ListParagraph"/>
        <w:widowControl w:val="0"/>
        <w:numPr>
          <w:ilvl w:val="0"/>
          <w:numId w:val="3"/>
        </w:numPr>
        <w:tabs>
          <w:tab w:val="left" w:pos="2552"/>
        </w:tabs>
        <w:autoSpaceDE w:val="0"/>
        <w:autoSpaceDN w:val="0"/>
        <w:adjustRightInd w:val="0"/>
        <w:spacing w:after="0"/>
        <w:jc w:val="both"/>
        <w:rPr>
          <w:rFonts w:eastAsia="Times New Roman" w:cstheme="minorHAnsi"/>
          <w:b/>
          <w:color w:val="000000"/>
          <w:w w:val="105"/>
          <w:sz w:val="24"/>
          <w:szCs w:val="24"/>
          <w:u w:val="single"/>
        </w:rPr>
      </w:pPr>
      <w:r w:rsidRPr="00A44540">
        <w:rPr>
          <w:rFonts w:eastAsia="Times New Roman" w:cstheme="minorHAnsi"/>
          <w:b/>
          <w:color w:val="000000"/>
          <w:w w:val="105"/>
          <w:sz w:val="24"/>
          <w:szCs w:val="24"/>
          <w:u w:val="single"/>
        </w:rPr>
        <w:t>Evaluation</w:t>
      </w:r>
    </w:p>
    <w:p w14:paraId="750EB7DB" w14:textId="77777777" w:rsidR="00514AE5" w:rsidRPr="0006177F" w:rsidRDefault="00514AE5" w:rsidP="001A799E">
      <w:pPr>
        <w:pStyle w:val="ListParagraph"/>
        <w:widowControl w:val="0"/>
        <w:tabs>
          <w:tab w:val="left" w:pos="2552"/>
        </w:tabs>
        <w:autoSpaceDE w:val="0"/>
        <w:autoSpaceDN w:val="0"/>
        <w:adjustRightInd w:val="0"/>
        <w:spacing w:after="0"/>
        <w:jc w:val="both"/>
        <w:rPr>
          <w:rFonts w:eastAsia="Times New Roman" w:cstheme="minorHAnsi"/>
          <w:b/>
          <w:color w:val="000000"/>
          <w:w w:val="105"/>
        </w:rPr>
      </w:pPr>
    </w:p>
    <w:p w14:paraId="1FB37CF6" w14:textId="77777777" w:rsidR="0006177F" w:rsidRPr="0006177F" w:rsidRDefault="0006177F" w:rsidP="0006177F">
      <w:pPr>
        <w:pStyle w:val="ListParagraph"/>
        <w:numPr>
          <w:ilvl w:val="1"/>
          <w:numId w:val="3"/>
        </w:numPr>
        <w:spacing w:after="0"/>
        <w:jc w:val="both"/>
        <w:rPr>
          <w:rFonts w:cstheme="minorHAnsi"/>
          <w:b/>
          <w:color w:val="000000"/>
          <w:u w:val="single"/>
        </w:rPr>
      </w:pPr>
      <w:r w:rsidRPr="0006177F">
        <w:rPr>
          <w:rFonts w:cstheme="minorHAnsi"/>
          <w:b/>
          <w:color w:val="000000"/>
          <w:u w:val="single"/>
        </w:rPr>
        <w:t>Phase 1- Functionality Evaluation / Technical Evaluation</w:t>
      </w:r>
    </w:p>
    <w:p w14:paraId="43CDB292" w14:textId="77777777" w:rsidR="0006177F" w:rsidRPr="0006177F" w:rsidRDefault="0006177F" w:rsidP="0006177F">
      <w:pPr>
        <w:pStyle w:val="ListParagraph"/>
        <w:spacing w:after="0"/>
        <w:jc w:val="both"/>
        <w:rPr>
          <w:rFonts w:cstheme="minorHAnsi"/>
          <w:b/>
          <w:color w:val="000000"/>
          <w:u w:val="single"/>
        </w:rPr>
      </w:pPr>
    </w:p>
    <w:p w14:paraId="454876A3" w14:textId="77777777" w:rsidR="0006177F" w:rsidRPr="0006177F" w:rsidRDefault="0006177F" w:rsidP="0006177F">
      <w:pPr>
        <w:spacing w:after="0"/>
        <w:jc w:val="both"/>
        <w:rPr>
          <w:rFonts w:cstheme="minorHAnsi"/>
          <w:color w:val="000000"/>
        </w:rPr>
      </w:pPr>
      <w:r w:rsidRPr="0006177F">
        <w:rPr>
          <w:rFonts w:cstheme="minorHAnsi"/>
          <w:color w:val="000000"/>
        </w:rPr>
        <w:t xml:space="preserve">Where functional or technical evaluation criterion is applicable, </w:t>
      </w:r>
      <w:r w:rsidRPr="0006177F">
        <w:rPr>
          <w:rFonts w:eastAsiaTheme="minorEastAsia" w:cstheme="minorHAnsi"/>
        </w:rPr>
        <w:t>assessment will be performed in terms of the criterion listed below and the criterion may include Technical, Performance, Quality and Risk</w:t>
      </w:r>
      <w:r w:rsidRPr="0006177F">
        <w:rPr>
          <w:rFonts w:cstheme="minorHAnsi"/>
          <w:color w:val="000000"/>
        </w:rPr>
        <w:t>.</w:t>
      </w:r>
    </w:p>
    <w:p w14:paraId="07FC1EC3" w14:textId="77777777" w:rsidR="0006177F" w:rsidRPr="0006177F" w:rsidRDefault="0006177F" w:rsidP="0006177F">
      <w:pPr>
        <w:jc w:val="both"/>
        <w:rPr>
          <w:rFonts w:cstheme="minorHAnsi"/>
        </w:rPr>
      </w:pPr>
      <w:r w:rsidRPr="0006177F">
        <w:rPr>
          <w:rFonts w:cstheme="minorHAnsi"/>
        </w:rPr>
        <w:t>If the Bidder’s response to the Technical templates does not indicate that the Bidder can support an acceptable technical solution, the Bidder’s response will be rejected and not evaluated further.</w:t>
      </w:r>
    </w:p>
    <w:p w14:paraId="5FB57CDB" w14:textId="2A8689AA" w:rsidR="0006177F" w:rsidRPr="0006177F" w:rsidRDefault="0006177F" w:rsidP="0006177F">
      <w:pPr>
        <w:spacing w:before="240"/>
        <w:jc w:val="both"/>
        <w:rPr>
          <w:rFonts w:cstheme="minorHAnsi"/>
        </w:rPr>
      </w:pPr>
      <w:r w:rsidRPr="0006177F">
        <w:rPr>
          <w:rFonts w:cstheme="minorHAnsi"/>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14:paraId="573FE096" w14:textId="77777777" w:rsidR="0006177F" w:rsidRPr="0006177F" w:rsidRDefault="0006177F" w:rsidP="0006177F">
      <w:pPr>
        <w:pStyle w:val="ListParagraph"/>
        <w:numPr>
          <w:ilvl w:val="1"/>
          <w:numId w:val="3"/>
        </w:numPr>
        <w:spacing w:after="0"/>
        <w:jc w:val="both"/>
        <w:rPr>
          <w:rFonts w:cstheme="minorHAnsi"/>
          <w:b/>
          <w:u w:val="single"/>
        </w:rPr>
      </w:pPr>
      <w:r w:rsidRPr="0006177F">
        <w:rPr>
          <w:rFonts w:cstheme="minorHAnsi"/>
          <w:b/>
          <w:u w:val="single"/>
        </w:rPr>
        <w:t xml:space="preserve">Phase 2 - Evaluation </w:t>
      </w:r>
      <w:proofErr w:type="gramStart"/>
      <w:r w:rsidRPr="0006177F">
        <w:rPr>
          <w:rFonts w:cstheme="minorHAnsi"/>
          <w:b/>
          <w:u w:val="single"/>
        </w:rPr>
        <w:t>In</w:t>
      </w:r>
      <w:proofErr w:type="gramEnd"/>
      <w:r w:rsidRPr="0006177F">
        <w:rPr>
          <w:rFonts w:cstheme="minorHAnsi"/>
          <w:b/>
          <w:u w:val="single"/>
        </w:rPr>
        <w:t xml:space="preserve"> Terms Of Preferential Procurement Policy Framework Act, 2022</w:t>
      </w:r>
    </w:p>
    <w:p w14:paraId="7ED6F395" w14:textId="77777777" w:rsidR="0006177F" w:rsidRDefault="0006177F" w:rsidP="0006177F">
      <w:pPr>
        <w:spacing w:after="0"/>
        <w:jc w:val="both"/>
        <w:rPr>
          <w:rFonts w:cstheme="minorHAnsi"/>
          <w:color w:val="000000"/>
        </w:rPr>
      </w:pPr>
      <w:r w:rsidRPr="0006177F">
        <w:rPr>
          <w:rFonts w:cstheme="minorHAnsi"/>
          <w:color w:val="000000"/>
        </w:rPr>
        <w:lastRenderedPageBreak/>
        <w:t xml:space="preserve">This bid will be evaluated and adjudicated according to the </w:t>
      </w:r>
      <w:proofErr w:type="gramStart"/>
      <w:r w:rsidRPr="0006177F">
        <w:rPr>
          <w:rFonts w:cstheme="minorHAnsi"/>
          <w:color w:val="000000"/>
        </w:rPr>
        <w:t>80/20 point</w:t>
      </w:r>
      <w:proofErr w:type="gramEnd"/>
      <w:r w:rsidRPr="0006177F">
        <w:rPr>
          <w:rFonts w:cstheme="minorHAnsi"/>
          <w:color w:val="000000"/>
        </w:rPr>
        <w:t xml:space="preserve"> system, in terms of which a maximum of 80 points will be awarded for price and 20 points will be allocated based on the specific goals (B-BBE status level).</w:t>
      </w:r>
    </w:p>
    <w:p w14:paraId="1DF32040" w14:textId="77777777" w:rsidR="00B50387" w:rsidRDefault="00B50387" w:rsidP="0006177F">
      <w:pPr>
        <w:spacing w:after="0"/>
        <w:jc w:val="both"/>
        <w:rPr>
          <w:rFonts w:cstheme="minorHAnsi"/>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3"/>
        <w:gridCol w:w="3818"/>
      </w:tblGrid>
      <w:tr w:rsidR="0006177F" w:rsidRPr="0006177F" w14:paraId="4C16A656" w14:textId="77777777" w:rsidTr="00CE6409">
        <w:tc>
          <w:tcPr>
            <w:tcW w:w="5963" w:type="dxa"/>
            <w:shd w:val="clear" w:color="auto" w:fill="C00000"/>
            <w:vAlign w:val="bottom"/>
          </w:tcPr>
          <w:p w14:paraId="49B2A7B6" w14:textId="77777777" w:rsidR="0006177F" w:rsidRPr="0006177F" w:rsidRDefault="0006177F" w:rsidP="00CE6409">
            <w:pPr>
              <w:widowControl w:val="0"/>
              <w:tabs>
                <w:tab w:val="left" w:pos="2880"/>
                <w:tab w:val="left" w:pos="5760"/>
                <w:tab w:val="left" w:pos="7920"/>
              </w:tabs>
              <w:spacing w:after="120" w:line="240" w:lineRule="auto"/>
              <w:jc w:val="center"/>
              <w:rPr>
                <w:rFonts w:eastAsia="Times New Roman" w:cstheme="minorHAnsi"/>
                <w:b/>
                <w:snapToGrid w:val="0"/>
                <w:lang w:val="en-GB"/>
              </w:rPr>
            </w:pPr>
          </w:p>
        </w:tc>
        <w:tc>
          <w:tcPr>
            <w:tcW w:w="3818" w:type="dxa"/>
            <w:shd w:val="clear" w:color="auto" w:fill="C00000"/>
            <w:vAlign w:val="bottom"/>
          </w:tcPr>
          <w:p w14:paraId="65D8E002" w14:textId="77777777" w:rsidR="0006177F" w:rsidRPr="0006177F" w:rsidRDefault="0006177F" w:rsidP="00CE6409">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06177F">
              <w:rPr>
                <w:rFonts w:eastAsia="Times New Roman" w:cstheme="minorHAnsi"/>
                <w:b/>
                <w:snapToGrid w:val="0"/>
                <w:lang w:val="en-GB"/>
              </w:rPr>
              <w:t>POINTS</w:t>
            </w:r>
          </w:p>
        </w:tc>
      </w:tr>
      <w:tr w:rsidR="0006177F" w:rsidRPr="0006177F" w14:paraId="17A6FA68" w14:textId="77777777" w:rsidTr="00CE6409">
        <w:tc>
          <w:tcPr>
            <w:tcW w:w="5963" w:type="dxa"/>
            <w:shd w:val="clear" w:color="auto" w:fill="auto"/>
            <w:vAlign w:val="bottom"/>
          </w:tcPr>
          <w:p w14:paraId="1BF80384" w14:textId="77777777" w:rsidR="0006177F" w:rsidRPr="0006177F" w:rsidRDefault="0006177F" w:rsidP="00CE6409">
            <w:pPr>
              <w:widowControl w:val="0"/>
              <w:tabs>
                <w:tab w:val="left" w:pos="2880"/>
                <w:tab w:val="left" w:pos="5760"/>
                <w:tab w:val="left" w:pos="7920"/>
              </w:tabs>
              <w:spacing w:after="120" w:line="240" w:lineRule="auto"/>
              <w:rPr>
                <w:rFonts w:eastAsia="Times New Roman" w:cstheme="minorHAnsi"/>
                <w:snapToGrid w:val="0"/>
                <w:lang w:val="en-GB"/>
              </w:rPr>
            </w:pPr>
            <w:r w:rsidRPr="0006177F">
              <w:rPr>
                <w:rFonts w:eastAsia="Times New Roman" w:cstheme="minorHAnsi"/>
                <w:b/>
                <w:snapToGrid w:val="0"/>
                <w:lang w:val="en-GB"/>
              </w:rPr>
              <w:t>PRICE</w:t>
            </w:r>
          </w:p>
        </w:tc>
        <w:tc>
          <w:tcPr>
            <w:tcW w:w="3818" w:type="dxa"/>
            <w:shd w:val="clear" w:color="auto" w:fill="auto"/>
          </w:tcPr>
          <w:p w14:paraId="14ABA35E" w14:textId="77777777" w:rsidR="0006177F" w:rsidRPr="0006177F" w:rsidRDefault="0006177F" w:rsidP="00CE6409">
            <w:pPr>
              <w:widowControl w:val="0"/>
              <w:tabs>
                <w:tab w:val="left" w:pos="2880"/>
                <w:tab w:val="left" w:pos="5760"/>
                <w:tab w:val="left" w:pos="7920"/>
              </w:tabs>
              <w:spacing w:after="120" w:line="240" w:lineRule="auto"/>
              <w:jc w:val="center"/>
              <w:rPr>
                <w:rFonts w:eastAsia="Times New Roman" w:cstheme="minorHAnsi"/>
                <w:b/>
                <w:bCs/>
                <w:snapToGrid w:val="0"/>
                <w:highlight w:val="yellow"/>
                <w:lang w:val="en-GB"/>
              </w:rPr>
            </w:pPr>
            <w:r w:rsidRPr="0006177F">
              <w:rPr>
                <w:rFonts w:eastAsia="Times New Roman" w:cstheme="minorHAnsi"/>
                <w:b/>
                <w:bCs/>
                <w:snapToGrid w:val="0"/>
                <w:lang w:val="en-GB"/>
              </w:rPr>
              <w:t>80</w:t>
            </w:r>
          </w:p>
        </w:tc>
      </w:tr>
      <w:tr w:rsidR="0006177F" w:rsidRPr="0006177F" w14:paraId="370F3E0C" w14:textId="77777777" w:rsidTr="00CE6409">
        <w:tc>
          <w:tcPr>
            <w:tcW w:w="5963" w:type="dxa"/>
            <w:shd w:val="clear" w:color="auto" w:fill="auto"/>
            <w:vAlign w:val="bottom"/>
          </w:tcPr>
          <w:p w14:paraId="7BE13687" w14:textId="77777777" w:rsidR="0006177F" w:rsidRPr="0006177F" w:rsidRDefault="0006177F" w:rsidP="00CE6409">
            <w:pPr>
              <w:widowControl w:val="0"/>
              <w:tabs>
                <w:tab w:val="left" w:pos="2880"/>
                <w:tab w:val="left" w:pos="5760"/>
                <w:tab w:val="left" w:pos="7920"/>
              </w:tabs>
              <w:spacing w:after="120" w:line="240" w:lineRule="auto"/>
              <w:rPr>
                <w:rFonts w:eastAsia="Times New Roman" w:cstheme="minorHAnsi"/>
                <w:snapToGrid w:val="0"/>
                <w:lang w:val="en-GB"/>
              </w:rPr>
            </w:pPr>
            <w:r w:rsidRPr="0006177F">
              <w:rPr>
                <w:rFonts w:eastAsia="Times New Roman" w:cstheme="minorHAnsi"/>
                <w:b/>
                <w:snapToGrid w:val="0"/>
                <w:lang w:val="en-GB"/>
              </w:rPr>
              <w:t xml:space="preserve">SPECIFIC GOALS </w:t>
            </w:r>
            <w:proofErr w:type="gramStart"/>
            <w:r w:rsidRPr="0006177F">
              <w:rPr>
                <w:rFonts w:eastAsia="Times New Roman" w:cstheme="minorHAnsi"/>
                <w:b/>
                <w:snapToGrid w:val="0"/>
                <w:lang w:val="en-GB"/>
              </w:rPr>
              <w:t>( B</w:t>
            </w:r>
            <w:proofErr w:type="gramEnd"/>
            <w:r w:rsidRPr="0006177F">
              <w:rPr>
                <w:rFonts w:eastAsia="Times New Roman" w:cstheme="minorHAnsi"/>
                <w:b/>
                <w:snapToGrid w:val="0"/>
                <w:lang w:val="en-GB"/>
              </w:rPr>
              <w:t>-BBEE status level)</w:t>
            </w:r>
          </w:p>
        </w:tc>
        <w:tc>
          <w:tcPr>
            <w:tcW w:w="3818" w:type="dxa"/>
            <w:shd w:val="clear" w:color="auto" w:fill="auto"/>
          </w:tcPr>
          <w:p w14:paraId="09F5D594" w14:textId="77777777" w:rsidR="0006177F" w:rsidRPr="0006177F" w:rsidRDefault="0006177F" w:rsidP="00CE6409">
            <w:pPr>
              <w:widowControl w:val="0"/>
              <w:tabs>
                <w:tab w:val="left" w:pos="2880"/>
                <w:tab w:val="left" w:pos="5760"/>
                <w:tab w:val="left" w:pos="7920"/>
              </w:tabs>
              <w:spacing w:after="120" w:line="240" w:lineRule="auto"/>
              <w:jc w:val="center"/>
              <w:rPr>
                <w:rFonts w:eastAsia="Times New Roman" w:cstheme="minorHAnsi"/>
                <w:b/>
                <w:bCs/>
                <w:snapToGrid w:val="0"/>
                <w:lang w:val="en-GB"/>
              </w:rPr>
            </w:pPr>
            <w:r w:rsidRPr="0006177F">
              <w:rPr>
                <w:rFonts w:eastAsia="Times New Roman" w:cstheme="minorHAnsi"/>
                <w:b/>
                <w:bCs/>
                <w:snapToGrid w:val="0"/>
                <w:lang w:val="en-GB"/>
              </w:rPr>
              <w:t>20</w:t>
            </w:r>
          </w:p>
        </w:tc>
      </w:tr>
      <w:tr w:rsidR="0006177F" w:rsidRPr="0006177F" w14:paraId="1DA26B75" w14:textId="77777777" w:rsidTr="00CE6409">
        <w:tc>
          <w:tcPr>
            <w:tcW w:w="5963" w:type="dxa"/>
            <w:shd w:val="clear" w:color="auto" w:fill="auto"/>
            <w:vAlign w:val="bottom"/>
          </w:tcPr>
          <w:p w14:paraId="5ECC1D70" w14:textId="77777777" w:rsidR="0006177F" w:rsidRPr="0006177F" w:rsidRDefault="0006177F" w:rsidP="00CE6409">
            <w:pPr>
              <w:widowControl w:val="0"/>
              <w:tabs>
                <w:tab w:val="left" w:pos="2880"/>
                <w:tab w:val="left" w:pos="5760"/>
                <w:tab w:val="left" w:pos="7920"/>
              </w:tabs>
              <w:spacing w:after="120" w:line="240" w:lineRule="auto"/>
              <w:rPr>
                <w:rFonts w:eastAsia="Times New Roman" w:cstheme="minorHAnsi"/>
                <w:snapToGrid w:val="0"/>
                <w:lang w:val="en-GB"/>
              </w:rPr>
            </w:pPr>
            <w:r w:rsidRPr="0006177F">
              <w:rPr>
                <w:rFonts w:eastAsia="Times New Roman" w:cstheme="minorHAnsi"/>
                <w:b/>
                <w:snapToGrid w:val="0"/>
                <w:lang w:val="en-GB"/>
              </w:rPr>
              <w:t xml:space="preserve">Total points for Price and SPECIFIC GOALS </w:t>
            </w:r>
          </w:p>
        </w:tc>
        <w:tc>
          <w:tcPr>
            <w:tcW w:w="3818" w:type="dxa"/>
            <w:shd w:val="clear" w:color="auto" w:fill="C00000"/>
          </w:tcPr>
          <w:p w14:paraId="57922BAD" w14:textId="77777777" w:rsidR="0006177F" w:rsidRPr="0006177F" w:rsidRDefault="0006177F" w:rsidP="00CE6409">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06177F">
              <w:rPr>
                <w:rFonts w:eastAsia="Times New Roman" w:cstheme="minorHAnsi"/>
                <w:b/>
                <w:snapToGrid w:val="0"/>
                <w:lang w:val="en-GB"/>
              </w:rPr>
              <w:t>100</w:t>
            </w:r>
          </w:p>
        </w:tc>
      </w:tr>
    </w:tbl>
    <w:p w14:paraId="57CED7CD" w14:textId="77777777" w:rsidR="0006177F" w:rsidRDefault="0006177F" w:rsidP="0006177F">
      <w:pPr>
        <w:spacing w:after="0"/>
        <w:jc w:val="both"/>
        <w:rPr>
          <w:rFonts w:cstheme="minorHAnsi"/>
          <w:b/>
          <w:color w:val="FF0000"/>
        </w:rPr>
      </w:pPr>
    </w:p>
    <w:p w14:paraId="3539AA9E" w14:textId="77777777" w:rsidR="0006177F" w:rsidRPr="0006177F" w:rsidRDefault="0006177F" w:rsidP="0006177F">
      <w:pPr>
        <w:spacing w:after="0"/>
        <w:jc w:val="both"/>
        <w:rPr>
          <w:rFonts w:cstheme="minorHAnsi"/>
          <w:b/>
        </w:rPr>
      </w:pPr>
      <w:r w:rsidRPr="0006177F">
        <w:rPr>
          <w:rFonts w:cstheme="minorHAnsi"/>
          <w:b/>
        </w:rPr>
        <w:t>Preference goal</w:t>
      </w:r>
    </w:p>
    <w:p w14:paraId="00532C65" w14:textId="77777777" w:rsidR="0006177F" w:rsidRPr="0006177F" w:rsidRDefault="0006177F" w:rsidP="0006177F">
      <w:pPr>
        <w:spacing w:after="0"/>
        <w:jc w:val="both"/>
        <w:rPr>
          <w:rFonts w:cstheme="minorHAnsi"/>
          <w:b/>
        </w:rPr>
      </w:pPr>
      <w:r w:rsidRPr="0006177F">
        <w:rPr>
          <w:rFonts w:cstheme="minorHAnsi"/>
          <w:b/>
        </w:rPr>
        <w:t>B-BBEE status level contributor</w:t>
      </w:r>
    </w:p>
    <w:p w14:paraId="11DACCA0" w14:textId="77777777" w:rsidR="0006177F" w:rsidRPr="0006177F" w:rsidRDefault="0006177F" w:rsidP="0006177F">
      <w:pPr>
        <w:spacing w:after="0"/>
        <w:jc w:val="both"/>
        <w:rPr>
          <w:rFonts w:cstheme="minorHAnsi"/>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06177F" w:rsidRPr="0006177F" w14:paraId="5028C00D" w14:textId="77777777" w:rsidTr="00CE6409">
        <w:trPr>
          <w:trHeight w:val="863"/>
        </w:trPr>
        <w:tc>
          <w:tcPr>
            <w:tcW w:w="3533" w:type="dxa"/>
            <w:shd w:val="clear" w:color="auto" w:fill="C00000"/>
            <w:vAlign w:val="center"/>
          </w:tcPr>
          <w:p w14:paraId="11E8D6DE" w14:textId="77777777" w:rsidR="0006177F" w:rsidRPr="0006177F" w:rsidRDefault="0006177F" w:rsidP="00CE6409">
            <w:pPr>
              <w:pStyle w:val="NormalWeb"/>
              <w:kinsoku w:val="0"/>
              <w:overflowPunct w:val="0"/>
              <w:spacing w:before="96" w:after="0"/>
              <w:jc w:val="center"/>
              <w:textAlignment w:val="baseline"/>
              <w:rPr>
                <w:rFonts w:asciiTheme="minorHAnsi" w:hAnsiTheme="minorHAnsi" w:cstheme="minorHAnsi"/>
                <w:b/>
                <w:sz w:val="22"/>
                <w:szCs w:val="22"/>
              </w:rPr>
            </w:pPr>
            <w:r w:rsidRPr="0006177F">
              <w:rPr>
                <w:rFonts w:asciiTheme="minorHAnsi" w:hAnsiTheme="minorHAnsi" w:cstheme="minorHAnsi"/>
                <w:b/>
                <w:kern w:val="24"/>
                <w:sz w:val="22"/>
                <w:szCs w:val="22"/>
              </w:rPr>
              <w:t>B-BBEE Status Level of Contributor</w:t>
            </w:r>
          </w:p>
        </w:tc>
        <w:tc>
          <w:tcPr>
            <w:tcW w:w="6390" w:type="dxa"/>
            <w:shd w:val="clear" w:color="auto" w:fill="C00000"/>
            <w:vAlign w:val="center"/>
          </w:tcPr>
          <w:p w14:paraId="2C87C218" w14:textId="77777777" w:rsidR="0006177F" w:rsidRPr="0006177F" w:rsidRDefault="0006177F" w:rsidP="00CE6409">
            <w:pPr>
              <w:pStyle w:val="NormalWeb"/>
              <w:kinsoku w:val="0"/>
              <w:overflowPunct w:val="0"/>
              <w:spacing w:before="96" w:after="0"/>
              <w:jc w:val="center"/>
              <w:textAlignment w:val="baseline"/>
              <w:rPr>
                <w:rFonts w:asciiTheme="minorHAnsi" w:hAnsiTheme="minorHAnsi" w:cstheme="minorHAnsi"/>
                <w:b/>
                <w:kern w:val="24"/>
                <w:sz w:val="22"/>
                <w:szCs w:val="22"/>
              </w:rPr>
            </w:pPr>
            <w:r w:rsidRPr="0006177F">
              <w:rPr>
                <w:rFonts w:asciiTheme="minorHAnsi" w:hAnsiTheme="minorHAnsi" w:cstheme="minorHAnsi"/>
                <w:b/>
                <w:kern w:val="24"/>
                <w:sz w:val="22"/>
                <w:szCs w:val="22"/>
              </w:rPr>
              <w:t>Number of points</w:t>
            </w:r>
          </w:p>
          <w:p w14:paraId="6F2DEEA2" w14:textId="77777777" w:rsidR="0006177F" w:rsidRPr="0006177F" w:rsidRDefault="0006177F" w:rsidP="00CE6409">
            <w:pPr>
              <w:pStyle w:val="NormalWeb"/>
              <w:kinsoku w:val="0"/>
              <w:overflowPunct w:val="0"/>
              <w:spacing w:before="96" w:after="0"/>
              <w:jc w:val="center"/>
              <w:textAlignment w:val="baseline"/>
              <w:rPr>
                <w:rFonts w:asciiTheme="minorHAnsi" w:hAnsiTheme="minorHAnsi" w:cstheme="minorHAnsi"/>
                <w:b/>
                <w:sz w:val="22"/>
                <w:szCs w:val="22"/>
              </w:rPr>
            </w:pPr>
            <w:r w:rsidRPr="0006177F">
              <w:rPr>
                <w:rFonts w:asciiTheme="minorHAnsi" w:hAnsiTheme="minorHAnsi" w:cstheme="minorHAnsi"/>
                <w:b/>
                <w:kern w:val="24"/>
                <w:sz w:val="22"/>
                <w:szCs w:val="22"/>
              </w:rPr>
              <w:t>(80/20 system)</w:t>
            </w:r>
          </w:p>
        </w:tc>
      </w:tr>
      <w:tr w:rsidR="0006177F" w:rsidRPr="0006177F" w14:paraId="2768CEE0" w14:textId="77777777" w:rsidTr="00CE6409">
        <w:trPr>
          <w:trHeight w:val="317"/>
        </w:trPr>
        <w:tc>
          <w:tcPr>
            <w:tcW w:w="3533" w:type="dxa"/>
            <w:shd w:val="clear" w:color="auto" w:fill="auto"/>
          </w:tcPr>
          <w:p w14:paraId="465C8EA9"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1</w:t>
            </w:r>
          </w:p>
        </w:tc>
        <w:tc>
          <w:tcPr>
            <w:tcW w:w="6390" w:type="dxa"/>
            <w:shd w:val="clear" w:color="auto" w:fill="auto"/>
          </w:tcPr>
          <w:p w14:paraId="67D9BE5C"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20</w:t>
            </w:r>
          </w:p>
        </w:tc>
      </w:tr>
      <w:tr w:rsidR="0006177F" w:rsidRPr="0006177F" w14:paraId="7D5327C5" w14:textId="77777777" w:rsidTr="00CE6409">
        <w:trPr>
          <w:trHeight w:val="317"/>
        </w:trPr>
        <w:tc>
          <w:tcPr>
            <w:tcW w:w="3533" w:type="dxa"/>
            <w:shd w:val="clear" w:color="auto" w:fill="auto"/>
          </w:tcPr>
          <w:p w14:paraId="7AD54016"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2</w:t>
            </w:r>
          </w:p>
        </w:tc>
        <w:tc>
          <w:tcPr>
            <w:tcW w:w="6390" w:type="dxa"/>
            <w:shd w:val="clear" w:color="auto" w:fill="auto"/>
          </w:tcPr>
          <w:p w14:paraId="62088E97"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18</w:t>
            </w:r>
          </w:p>
        </w:tc>
      </w:tr>
      <w:tr w:rsidR="0006177F" w:rsidRPr="0006177F" w14:paraId="4063DD58" w14:textId="77777777" w:rsidTr="00CE6409">
        <w:trPr>
          <w:trHeight w:val="317"/>
        </w:trPr>
        <w:tc>
          <w:tcPr>
            <w:tcW w:w="3533" w:type="dxa"/>
            <w:shd w:val="clear" w:color="auto" w:fill="auto"/>
          </w:tcPr>
          <w:p w14:paraId="7A29A680"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3</w:t>
            </w:r>
          </w:p>
        </w:tc>
        <w:tc>
          <w:tcPr>
            <w:tcW w:w="6390" w:type="dxa"/>
            <w:shd w:val="clear" w:color="auto" w:fill="auto"/>
          </w:tcPr>
          <w:p w14:paraId="2AE5791B"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14</w:t>
            </w:r>
          </w:p>
        </w:tc>
      </w:tr>
      <w:tr w:rsidR="0006177F" w:rsidRPr="0006177F" w14:paraId="107F7825" w14:textId="77777777" w:rsidTr="00CE6409">
        <w:trPr>
          <w:trHeight w:val="317"/>
        </w:trPr>
        <w:tc>
          <w:tcPr>
            <w:tcW w:w="3533" w:type="dxa"/>
            <w:shd w:val="clear" w:color="auto" w:fill="auto"/>
          </w:tcPr>
          <w:p w14:paraId="522F5F52"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4</w:t>
            </w:r>
          </w:p>
        </w:tc>
        <w:tc>
          <w:tcPr>
            <w:tcW w:w="6390" w:type="dxa"/>
            <w:shd w:val="clear" w:color="auto" w:fill="auto"/>
          </w:tcPr>
          <w:p w14:paraId="7E68AB45"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12</w:t>
            </w:r>
          </w:p>
        </w:tc>
      </w:tr>
      <w:tr w:rsidR="0006177F" w:rsidRPr="0006177F" w14:paraId="46634804" w14:textId="77777777" w:rsidTr="00CE6409">
        <w:trPr>
          <w:trHeight w:val="317"/>
        </w:trPr>
        <w:tc>
          <w:tcPr>
            <w:tcW w:w="3533" w:type="dxa"/>
            <w:shd w:val="clear" w:color="auto" w:fill="auto"/>
          </w:tcPr>
          <w:p w14:paraId="0530E382"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5</w:t>
            </w:r>
          </w:p>
        </w:tc>
        <w:tc>
          <w:tcPr>
            <w:tcW w:w="6390" w:type="dxa"/>
            <w:shd w:val="clear" w:color="auto" w:fill="auto"/>
          </w:tcPr>
          <w:p w14:paraId="3F94B151"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8</w:t>
            </w:r>
          </w:p>
        </w:tc>
      </w:tr>
      <w:tr w:rsidR="0006177F" w:rsidRPr="0006177F" w14:paraId="4B3D68D8" w14:textId="77777777" w:rsidTr="00CE6409">
        <w:trPr>
          <w:trHeight w:val="317"/>
        </w:trPr>
        <w:tc>
          <w:tcPr>
            <w:tcW w:w="3533" w:type="dxa"/>
            <w:shd w:val="clear" w:color="auto" w:fill="auto"/>
          </w:tcPr>
          <w:p w14:paraId="69CEA841"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6</w:t>
            </w:r>
          </w:p>
        </w:tc>
        <w:tc>
          <w:tcPr>
            <w:tcW w:w="6390" w:type="dxa"/>
            <w:shd w:val="clear" w:color="auto" w:fill="auto"/>
          </w:tcPr>
          <w:p w14:paraId="3819A78C"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6</w:t>
            </w:r>
          </w:p>
        </w:tc>
      </w:tr>
      <w:tr w:rsidR="0006177F" w:rsidRPr="0006177F" w14:paraId="10C20441" w14:textId="77777777" w:rsidTr="00CE6409">
        <w:trPr>
          <w:trHeight w:val="317"/>
        </w:trPr>
        <w:tc>
          <w:tcPr>
            <w:tcW w:w="3533" w:type="dxa"/>
            <w:shd w:val="clear" w:color="auto" w:fill="auto"/>
          </w:tcPr>
          <w:p w14:paraId="0DEC0F26"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7</w:t>
            </w:r>
          </w:p>
        </w:tc>
        <w:tc>
          <w:tcPr>
            <w:tcW w:w="6390" w:type="dxa"/>
            <w:shd w:val="clear" w:color="auto" w:fill="auto"/>
          </w:tcPr>
          <w:p w14:paraId="340DCEC4"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4</w:t>
            </w:r>
          </w:p>
        </w:tc>
      </w:tr>
      <w:tr w:rsidR="0006177F" w:rsidRPr="0006177F" w14:paraId="54DC01B1" w14:textId="77777777" w:rsidTr="00CE6409">
        <w:trPr>
          <w:trHeight w:val="317"/>
        </w:trPr>
        <w:tc>
          <w:tcPr>
            <w:tcW w:w="3533" w:type="dxa"/>
            <w:shd w:val="clear" w:color="auto" w:fill="auto"/>
          </w:tcPr>
          <w:p w14:paraId="7E29FD4A"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8</w:t>
            </w:r>
          </w:p>
        </w:tc>
        <w:tc>
          <w:tcPr>
            <w:tcW w:w="6390" w:type="dxa"/>
            <w:shd w:val="clear" w:color="auto" w:fill="auto"/>
          </w:tcPr>
          <w:p w14:paraId="2BE6EB42"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2</w:t>
            </w:r>
          </w:p>
        </w:tc>
      </w:tr>
      <w:tr w:rsidR="0006177F" w:rsidRPr="0006177F" w14:paraId="5756AA48" w14:textId="77777777" w:rsidTr="00CE6409">
        <w:trPr>
          <w:trHeight w:val="317"/>
        </w:trPr>
        <w:tc>
          <w:tcPr>
            <w:tcW w:w="3533" w:type="dxa"/>
            <w:shd w:val="clear" w:color="auto" w:fill="auto"/>
          </w:tcPr>
          <w:p w14:paraId="1739BE6B"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Non-compliant contributor</w:t>
            </w:r>
          </w:p>
        </w:tc>
        <w:tc>
          <w:tcPr>
            <w:tcW w:w="6390" w:type="dxa"/>
            <w:shd w:val="clear" w:color="auto" w:fill="auto"/>
          </w:tcPr>
          <w:p w14:paraId="1D4ABD8E" w14:textId="77777777" w:rsidR="0006177F" w:rsidRPr="0006177F" w:rsidRDefault="0006177F" w:rsidP="00CE6409">
            <w:pPr>
              <w:pStyle w:val="NormalWeb"/>
              <w:kinsoku w:val="0"/>
              <w:overflowPunct w:val="0"/>
              <w:spacing w:before="115" w:after="0"/>
              <w:jc w:val="center"/>
              <w:textAlignment w:val="baseline"/>
              <w:rPr>
                <w:rFonts w:asciiTheme="minorHAnsi" w:hAnsiTheme="minorHAnsi" w:cstheme="minorHAnsi"/>
                <w:sz w:val="22"/>
                <w:szCs w:val="22"/>
              </w:rPr>
            </w:pPr>
            <w:r w:rsidRPr="0006177F">
              <w:rPr>
                <w:rFonts w:asciiTheme="minorHAnsi" w:hAnsiTheme="minorHAnsi" w:cstheme="minorHAnsi"/>
                <w:kern w:val="24"/>
                <w:sz w:val="22"/>
                <w:szCs w:val="22"/>
              </w:rPr>
              <w:t>0</w:t>
            </w:r>
          </w:p>
        </w:tc>
      </w:tr>
    </w:tbl>
    <w:p w14:paraId="32CF60C0" w14:textId="77777777" w:rsidR="0006177F" w:rsidRPr="0006177F" w:rsidRDefault="0006177F" w:rsidP="0006177F">
      <w:pPr>
        <w:spacing w:after="0"/>
        <w:jc w:val="both"/>
        <w:rPr>
          <w:rFonts w:cstheme="minorHAnsi"/>
          <w:b/>
          <w:color w:val="FF0000"/>
        </w:rPr>
      </w:pPr>
    </w:p>
    <w:p w14:paraId="58BF825C" w14:textId="77777777" w:rsidR="0006177F" w:rsidRPr="0006177F" w:rsidRDefault="0006177F" w:rsidP="0006177F">
      <w:pPr>
        <w:spacing w:after="0"/>
        <w:jc w:val="both"/>
        <w:rPr>
          <w:rFonts w:cstheme="minorHAnsi"/>
          <w:color w:val="FF0000"/>
        </w:rPr>
      </w:pPr>
    </w:p>
    <w:p w14:paraId="45F8F0BE" w14:textId="77777777" w:rsidR="0006177F" w:rsidRPr="0006177F" w:rsidRDefault="0006177F" w:rsidP="0006177F">
      <w:pPr>
        <w:pStyle w:val="ListParagraph"/>
        <w:numPr>
          <w:ilvl w:val="0"/>
          <w:numId w:val="3"/>
        </w:numPr>
        <w:spacing w:after="0"/>
        <w:jc w:val="both"/>
        <w:rPr>
          <w:rFonts w:cstheme="minorHAnsi"/>
          <w:u w:val="single"/>
        </w:rPr>
      </w:pPr>
      <w:r w:rsidRPr="0006177F">
        <w:rPr>
          <w:rFonts w:cstheme="minorHAnsi"/>
          <w:u w:val="single"/>
        </w:rPr>
        <w:t>Required Documentation</w:t>
      </w:r>
    </w:p>
    <w:p w14:paraId="7A388362" w14:textId="77777777" w:rsidR="0006177F" w:rsidRPr="0006177F" w:rsidRDefault="0006177F" w:rsidP="0006177F">
      <w:pPr>
        <w:pStyle w:val="ListParagraph"/>
        <w:numPr>
          <w:ilvl w:val="0"/>
          <w:numId w:val="1"/>
        </w:numPr>
        <w:spacing w:after="0"/>
        <w:jc w:val="both"/>
        <w:rPr>
          <w:rFonts w:cstheme="minorHAnsi"/>
        </w:rPr>
      </w:pPr>
      <w:r w:rsidRPr="0006177F">
        <w:rPr>
          <w:rFonts w:cstheme="minorHAnsi"/>
        </w:rPr>
        <w:t xml:space="preserve">Tax Clearance Certificate </w:t>
      </w:r>
      <w:proofErr w:type="gramStart"/>
      <w:r w:rsidRPr="0006177F">
        <w:rPr>
          <w:rFonts w:cstheme="minorHAnsi"/>
        </w:rPr>
        <w:t>( Tax</w:t>
      </w:r>
      <w:proofErr w:type="gramEnd"/>
      <w:r w:rsidRPr="0006177F">
        <w:rPr>
          <w:rFonts w:cstheme="minorHAnsi"/>
        </w:rPr>
        <w:t xml:space="preserve"> pin issued by SARS)</w:t>
      </w:r>
    </w:p>
    <w:p w14:paraId="6515490D" w14:textId="77777777" w:rsidR="0006177F" w:rsidRPr="0006177F" w:rsidRDefault="0006177F" w:rsidP="0006177F">
      <w:pPr>
        <w:pStyle w:val="ListParagraph"/>
        <w:numPr>
          <w:ilvl w:val="0"/>
          <w:numId w:val="1"/>
        </w:numPr>
        <w:spacing w:after="0"/>
        <w:jc w:val="both"/>
        <w:rPr>
          <w:rFonts w:cstheme="minorHAnsi"/>
        </w:rPr>
      </w:pPr>
      <w:r w:rsidRPr="0006177F">
        <w:rPr>
          <w:rFonts w:cstheme="minorHAnsi"/>
        </w:rPr>
        <w:t xml:space="preserve">Declaration of interest </w:t>
      </w:r>
      <w:proofErr w:type="gramStart"/>
      <w:r w:rsidRPr="0006177F">
        <w:rPr>
          <w:rFonts w:cstheme="minorHAnsi"/>
        </w:rPr>
        <w:t>( SBD</w:t>
      </w:r>
      <w:proofErr w:type="gramEnd"/>
      <w:r w:rsidRPr="0006177F">
        <w:rPr>
          <w:rFonts w:cstheme="minorHAnsi"/>
        </w:rPr>
        <w:t xml:space="preserve"> 4)</w:t>
      </w:r>
    </w:p>
    <w:p w14:paraId="7CA05AB3" w14:textId="77777777" w:rsidR="0006177F" w:rsidRPr="0006177F" w:rsidRDefault="0006177F" w:rsidP="0006177F">
      <w:pPr>
        <w:pStyle w:val="ListParagraph"/>
        <w:numPr>
          <w:ilvl w:val="0"/>
          <w:numId w:val="1"/>
        </w:numPr>
        <w:spacing w:after="0"/>
        <w:jc w:val="both"/>
        <w:rPr>
          <w:rFonts w:cstheme="minorHAnsi"/>
        </w:rPr>
      </w:pPr>
      <w:r w:rsidRPr="0006177F">
        <w:rPr>
          <w:rFonts w:cstheme="minorHAnsi"/>
        </w:rPr>
        <w:t>BEE Certificate / Applicable Affidavit if classified as EME</w:t>
      </w:r>
    </w:p>
    <w:p w14:paraId="2EC48335" w14:textId="77777777" w:rsidR="0006177F" w:rsidRPr="0006177F" w:rsidRDefault="0006177F" w:rsidP="0006177F">
      <w:pPr>
        <w:pStyle w:val="ListParagraph"/>
        <w:numPr>
          <w:ilvl w:val="0"/>
          <w:numId w:val="1"/>
        </w:numPr>
        <w:spacing w:after="0"/>
        <w:jc w:val="both"/>
        <w:rPr>
          <w:rFonts w:cstheme="minorHAnsi"/>
        </w:rPr>
      </w:pPr>
      <w:r w:rsidRPr="0006177F">
        <w:rPr>
          <w:rFonts w:cstheme="minorHAnsi"/>
        </w:rPr>
        <w:t>Letter of Good Standing (COID) only if Applicable due to the nature of work required</w:t>
      </w:r>
    </w:p>
    <w:p w14:paraId="43EA5D99" w14:textId="77777777" w:rsidR="0006177F" w:rsidRPr="0006177F" w:rsidRDefault="0006177F" w:rsidP="0006177F">
      <w:pPr>
        <w:pStyle w:val="ListParagraph"/>
        <w:numPr>
          <w:ilvl w:val="0"/>
          <w:numId w:val="1"/>
        </w:numPr>
        <w:spacing w:after="0"/>
        <w:jc w:val="both"/>
        <w:rPr>
          <w:rFonts w:cstheme="minorHAnsi"/>
        </w:rPr>
      </w:pPr>
      <w:r w:rsidRPr="0006177F">
        <w:rPr>
          <w:rFonts w:cstheme="minorHAnsi"/>
        </w:rPr>
        <w:t>Any other document or certification that might have been requested on this RFQ</w:t>
      </w:r>
    </w:p>
    <w:p w14:paraId="11158C27" w14:textId="77777777" w:rsidR="0006177F" w:rsidRPr="0006177F" w:rsidRDefault="0006177F" w:rsidP="0006177F">
      <w:pPr>
        <w:pStyle w:val="ListParagraph"/>
        <w:spacing w:after="0"/>
        <w:jc w:val="both"/>
        <w:rPr>
          <w:rFonts w:cstheme="minorHAnsi"/>
        </w:rPr>
      </w:pPr>
    </w:p>
    <w:p w14:paraId="02AE7848" w14:textId="77777777" w:rsidR="0006177F" w:rsidRPr="0006177F" w:rsidRDefault="0006177F" w:rsidP="0006177F">
      <w:pPr>
        <w:pStyle w:val="ListParagraph"/>
        <w:numPr>
          <w:ilvl w:val="0"/>
          <w:numId w:val="3"/>
        </w:numPr>
        <w:spacing w:after="0"/>
        <w:jc w:val="both"/>
        <w:rPr>
          <w:rFonts w:cstheme="minorHAnsi"/>
          <w:b/>
          <w:u w:val="single"/>
        </w:rPr>
      </w:pPr>
      <w:r w:rsidRPr="0006177F">
        <w:rPr>
          <w:rFonts w:cstheme="minorHAnsi"/>
          <w:b/>
          <w:u w:val="single"/>
        </w:rPr>
        <w:t>Important</w:t>
      </w:r>
    </w:p>
    <w:p w14:paraId="7A4919E6" w14:textId="77777777" w:rsidR="0006177F" w:rsidRPr="0006177F" w:rsidRDefault="0006177F" w:rsidP="0006177F">
      <w:pPr>
        <w:spacing w:after="0"/>
        <w:jc w:val="both"/>
        <w:rPr>
          <w:rFonts w:cstheme="minorHAnsi"/>
          <w:b/>
          <w:u w:val="single"/>
        </w:rPr>
      </w:pPr>
    </w:p>
    <w:p w14:paraId="29BACDD7" w14:textId="77777777" w:rsidR="0006177F" w:rsidRPr="0006177F" w:rsidRDefault="0006177F" w:rsidP="0006177F">
      <w:pPr>
        <w:pStyle w:val="ListParagraph"/>
        <w:numPr>
          <w:ilvl w:val="1"/>
          <w:numId w:val="3"/>
        </w:numPr>
        <w:spacing w:after="0"/>
        <w:jc w:val="both"/>
        <w:rPr>
          <w:rFonts w:cstheme="minorHAnsi"/>
          <w:u w:val="single"/>
        </w:rPr>
      </w:pPr>
      <w:r w:rsidRPr="0006177F">
        <w:rPr>
          <w:rFonts w:cstheme="minorHAnsi"/>
        </w:rPr>
        <w:t>Quotation must be submitted on or before the RFQ closing date and time stated above.</w:t>
      </w:r>
    </w:p>
    <w:p w14:paraId="7E778B9E" w14:textId="77777777" w:rsidR="0006177F" w:rsidRPr="0006177F" w:rsidRDefault="0006177F" w:rsidP="0006177F">
      <w:pPr>
        <w:pStyle w:val="ListParagraph"/>
        <w:numPr>
          <w:ilvl w:val="1"/>
          <w:numId w:val="3"/>
        </w:numPr>
        <w:spacing w:after="0"/>
        <w:jc w:val="both"/>
        <w:rPr>
          <w:rFonts w:cstheme="minorHAnsi"/>
          <w:u w:val="single"/>
        </w:rPr>
      </w:pPr>
      <w:r w:rsidRPr="0006177F">
        <w:rPr>
          <w:rFonts w:cstheme="minorHAnsi"/>
        </w:rPr>
        <w:lastRenderedPageBreak/>
        <w:t xml:space="preserve">Orders above R 30 000 will be evaluated according to the PPPFA 80/20-point system and a functionality scorecard where applicable and the ones above R 1 Million will be subjected to the tender process. </w:t>
      </w:r>
    </w:p>
    <w:p w14:paraId="4B34166C" w14:textId="77777777" w:rsidR="0006177F" w:rsidRPr="0006177F" w:rsidRDefault="0006177F" w:rsidP="0006177F">
      <w:pPr>
        <w:pStyle w:val="ListParagraph"/>
        <w:numPr>
          <w:ilvl w:val="1"/>
          <w:numId w:val="3"/>
        </w:numPr>
        <w:spacing w:after="0"/>
        <w:jc w:val="both"/>
        <w:rPr>
          <w:rFonts w:cstheme="minorHAnsi"/>
          <w:u w:val="single"/>
        </w:rPr>
      </w:pPr>
      <w:r w:rsidRPr="0006177F">
        <w:rPr>
          <w:rFonts w:cstheme="minorHAnsi"/>
          <w:color w:val="000000"/>
        </w:rPr>
        <w:t xml:space="preserve">This RFQ is subjected to the </w:t>
      </w:r>
      <w:r w:rsidRPr="0006177F">
        <w:rPr>
          <w:rFonts w:cstheme="minorHAnsi"/>
        </w:rPr>
        <w:t>Necsa’s General Conditions of Purchase</w:t>
      </w:r>
      <w:r w:rsidRPr="0006177F">
        <w:rPr>
          <w:rFonts w:cstheme="minorHAnsi"/>
          <w:color w:val="000000"/>
        </w:rPr>
        <w:t xml:space="preserve">, Preferential Procurement Policy Framework Act 2000 and the Preferential Procurement Regulations, 2022, the General Conditions of Contract (GCC) and, if applicable, any other legislation or special conditions of contract </w:t>
      </w:r>
    </w:p>
    <w:p w14:paraId="284D07F9" w14:textId="77777777" w:rsidR="0006177F" w:rsidRPr="0006177F" w:rsidRDefault="0006177F" w:rsidP="0006177F">
      <w:pPr>
        <w:pStyle w:val="ListParagraph"/>
        <w:numPr>
          <w:ilvl w:val="1"/>
          <w:numId w:val="3"/>
        </w:numPr>
        <w:spacing w:after="0"/>
        <w:jc w:val="both"/>
        <w:rPr>
          <w:rFonts w:cstheme="minorHAnsi"/>
          <w:u w:val="single"/>
        </w:rPr>
      </w:pPr>
      <w:r w:rsidRPr="0006177F">
        <w:rPr>
          <w:rFonts w:cstheme="minorHAnsi"/>
          <w:color w:val="000000"/>
        </w:rPr>
        <w:t xml:space="preserve">Failure on the part of a bidder to submit proof of B-BBEE Status level of contributor together with the bid, will be interpreted to mean that preference points for specific goals are not claimed. </w:t>
      </w:r>
    </w:p>
    <w:p w14:paraId="2E37B406" w14:textId="77777777" w:rsidR="0006177F" w:rsidRPr="0006177F" w:rsidRDefault="0006177F" w:rsidP="0006177F">
      <w:pPr>
        <w:pStyle w:val="ListParagraph"/>
        <w:numPr>
          <w:ilvl w:val="1"/>
          <w:numId w:val="3"/>
        </w:numPr>
        <w:spacing w:after="0"/>
        <w:jc w:val="both"/>
        <w:rPr>
          <w:rFonts w:cstheme="minorHAnsi"/>
          <w:u w:val="single"/>
        </w:rPr>
      </w:pPr>
      <w:r w:rsidRPr="0006177F">
        <w:rPr>
          <w:rFonts w:cstheme="minorHAnsi"/>
          <w:color w:val="000000"/>
        </w:rPr>
        <w:t xml:space="preserve">The purchaser reserves the right to require of a bidder, either before a bid is adjudicated or at any time subsequently, to substantiate any claim in regard to specific goals, in any manner required by the purchaser. </w:t>
      </w:r>
    </w:p>
    <w:p w14:paraId="2A02187B" w14:textId="4FB40554" w:rsidR="0006177F" w:rsidRPr="0006177F" w:rsidRDefault="0006177F" w:rsidP="0006177F">
      <w:pPr>
        <w:pStyle w:val="ListParagraph"/>
        <w:numPr>
          <w:ilvl w:val="1"/>
          <w:numId w:val="3"/>
        </w:numPr>
        <w:spacing w:after="0"/>
        <w:jc w:val="both"/>
        <w:rPr>
          <w:rFonts w:cstheme="minorHAnsi"/>
          <w:u w:val="single"/>
        </w:rPr>
      </w:pPr>
      <w:r w:rsidRPr="0006177F">
        <w:rPr>
          <w:rFonts w:eastAsiaTheme="minorEastAsia" w:cstheme="minorHAnsi"/>
          <w:bCs/>
          <w:iCs/>
          <w:lang w:val="en-US"/>
        </w:rPr>
        <w:t>For a</w:t>
      </w:r>
      <w:r w:rsidRPr="0006177F">
        <w:rPr>
          <w:rFonts w:eastAsiaTheme="minorEastAsia" w:cstheme="minorHAnsi"/>
        </w:rPr>
        <w:t xml:space="preserve"> Bidder to obtain clarity on any matter arising from or referred to in this document, please refer queries, in writing, to the contact details provided above. Under no circumstances may any other employee within N</w:t>
      </w:r>
      <w:r>
        <w:rPr>
          <w:rFonts w:eastAsiaTheme="minorEastAsia" w:cstheme="minorHAnsi"/>
        </w:rPr>
        <w:t>TP</w:t>
      </w:r>
      <w:r w:rsidRPr="0006177F">
        <w:rPr>
          <w:rFonts w:eastAsiaTheme="minorEastAsia" w:cstheme="minorHAnsi"/>
        </w:rPr>
        <w:t xml:space="preserve"> be approached for any information. Any such action might result in a disqualification of a response submitted in competition to this RFQ.</w:t>
      </w:r>
    </w:p>
    <w:p w14:paraId="2D71F968" w14:textId="0D935E2D" w:rsidR="0006177F" w:rsidRPr="0006177F" w:rsidRDefault="0006177F" w:rsidP="0006177F">
      <w:pPr>
        <w:pStyle w:val="ListParagraph"/>
        <w:numPr>
          <w:ilvl w:val="1"/>
          <w:numId w:val="3"/>
        </w:numPr>
        <w:spacing w:after="0"/>
        <w:jc w:val="both"/>
        <w:rPr>
          <w:rFonts w:cstheme="minorHAnsi"/>
          <w:u w:val="single"/>
        </w:rPr>
      </w:pPr>
      <w:r w:rsidRPr="0006177F">
        <w:rPr>
          <w:rFonts w:eastAsiaTheme="minorEastAsia" w:cstheme="minorHAnsi"/>
        </w:rPr>
        <w:t xml:space="preserve"> </w:t>
      </w:r>
      <w:r w:rsidRPr="0006177F">
        <w:rPr>
          <w:rFonts w:cstheme="minorHAnsi"/>
          <w:bCs/>
        </w:rPr>
        <w:t xml:space="preserve">No goods and/or services should be delivered to </w:t>
      </w:r>
      <w:r>
        <w:rPr>
          <w:rFonts w:cstheme="minorHAnsi"/>
          <w:bCs/>
        </w:rPr>
        <w:t>NTP</w:t>
      </w:r>
      <w:r w:rsidRPr="0006177F">
        <w:rPr>
          <w:rFonts w:cstheme="minorHAnsi"/>
          <w:bCs/>
        </w:rPr>
        <w:t xml:space="preserve"> without an official </w:t>
      </w:r>
      <w:r>
        <w:rPr>
          <w:rFonts w:cstheme="minorHAnsi"/>
          <w:bCs/>
        </w:rPr>
        <w:t>NTP</w:t>
      </w:r>
      <w:r w:rsidRPr="0006177F">
        <w:rPr>
          <w:rFonts w:cstheme="minorHAnsi"/>
          <w:bCs/>
        </w:rPr>
        <w:t xml:space="preserve"> Purchase order.</w:t>
      </w:r>
    </w:p>
    <w:p w14:paraId="0879D2A4" w14:textId="575BE035" w:rsidR="0006177F" w:rsidRPr="0006177F" w:rsidRDefault="0006177F" w:rsidP="0006177F">
      <w:pPr>
        <w:pStyle w:val="ListParagraph"/>
        <w:numPr>
          <w:ilvl w:val="1"/>
          <w:numId w:val="3"/>
        </w:numPr>
        <w:spacing w:after="0"/>
        <w:jc w:val="both"/>
        <w:rPr>
          <w:rFonts w:cstheme="minorHAnsi"/>
          <w:u w:val="single"/>
        </w:rPr>
      </w:pPr>
      <w:r w:rsidRPr="0006177F">
        <w:rPr>
          <w:rFonts w:cstheme="minorHAnsi"/>
          <w:bCs/>
        </w:rPr>
        <w:t xml:space="preserve"> </w:t>
      </w:r>
      <w:r w:rsidRPr="0006177F">
        <w:rPr>
          <w:rFonts w:eastAsiaTheme="minorEastAsia" w:cstheme="minorHAnsi"/>
        </w:rPr>
        <w:t>N</w:t>
      </w:r>
      <w:r>
        <w:rPr>
          <w:rFonts w:eastAsiaTheme="minorEastAsia" w:cstheme="minorHAnsi"/>
        </w:rPr>
        <w:t>TP</w:t>
      </w:r>
      <w:r w:rsidRPr="0006177F">
        <w:rPr>
          <w:rFonts w:eastAsiaTheme="minorEastAsia" w:cstheme="minorHAnsi"/>
        </w:rPr>
        <w:t xml:space="preserve"> reserves the right to; cancel or reject any quote and not to award the RFQ to the lowest Bidder or award parts of the RFQ to different Bidders, or not to award the RFQ at all.</w:t>
      </w:r>
    </w:p>
    <w:p w14:paraId="44929879" w14:textId="05BF126A" w:rsidR="0006177F" w:rsidRPr="0006177F" w:rsidRDefault="0006177F" w:rsidP="0006177F">
      <w:pPr>
        <w:pStyle w:val="ListParagraph"/>
        <w:numPr>
          <w:ilvl w:val="1"/>
          <w:numId w:val="3"/>
        </w:numPr>
        <w:spacing w:after="0"/>
        <w:jc w:val="both"/>
        <w:rPr>
          <w:rFonts w:cstheme="minorHAnsi"/>
          <w:u w:val="single"/>
        </w:rPr>
      </w:pPr>
      <w:r w:rsidRPr="0006177F">
        <w:rPr>
          <w:rFonts w:cstheme="minorHAnsi"/>
        </w:rPr>
        <w:t>The supplier shall under no circumstances offer, promise or make any gift, payment, loan, reward, inducement, benefit or other advantage, which may be construed as being made to solicit any favour, to any N</w:t>
      </w:r>
      <w:r>
        <w:rPr>
          <w:rFonts w:cstheme="minorHAnsi"/>
        </w:rPr>
        <w:t>TP</w:t>
      </w:r>
      <w:r w:rsidRPr="0006177F">
        <w:rPr>
          <w:rFonts w:cstheme="minorHAnsi"/>
        </w:rPr>
        <w:t xml:space="preserve"> employee or its representatives. Such an act shall constitute a material breach of the Agreement and the N</w:t>
      </w:r>
      <w:r>
        <w:rPr>
          <w:rFonts w:cstheme="minorHAnsi"/>
        </w:rPr>
        <w:t>TP</w:t>
      </w:r>
      <w:r w:rsidRPr="0006177F">
        <w:rPr>
          <w:rFonts w:cstheme="minorHAnsi"/>
        </w:rPr>
        <w:t xml:space="preserve"> shall be entitled to terminate the Agreement forthwith, without prejudice to any of its rights</w:t>
      </w:r>
    </w:p>
    <w:p w14:paraId="46F02AF4" w14:textId="77777777" w:rsidR="0006177F" w:rsidRPr="0006177F" w:rsidRDefault="0006177F" w:rsidP="0006177F">
      <w:pPr>
        <w:pStyle w:val="ListParagraph"/>
        <w:numPr>
          <w:ilvl w:val="1"/>
          <w:numId w:val="3"/>
        </w:numPr>
        <w:spacing w:after="0"/>
        <w:jc w:val="both"/>
        <w:rPr>
          <w:rFonts w:cstheme="minorHAnsi"/>
          <w:u w:val="single"/>
        </w:rPr>
      </w:pPr>
      <w:r w:rsidRPr="0006177F">
        <w:rPr>
          <w:rFonts w:eastAsiaTheme="minorEastAsia" w:cstheme="minorHAnsi"/>
        </w:rPr>
        <w:t xml:space="preserve">By responding to this request, it shall be construed that: the bidder, hereby acknowledge to be fully conversant with the details and conditions set out in the </w:t>
      </w:r>
      <w:r w:rsidRPr="0006177F">
        <w:rPr>
          <w:rFonts w:cstheme="minorHAnsi"/>
        </w:rPr>
        <w:t>Necsa’s General Conditions of Purchase</w:t>
      </w:r>
      <w:r w:rsidRPr="0006177F">
        <w:rPr>
          <w:rFonts w:cstheme="minorHAnsi"/>
          <w:color w:val="000000"/>
        </w:rPr>
        <w:t>, Preferential Procurement Policy Framework Act 2000 and the Preferential Procurement Regulations, 2022, the General Conditions of Contract (GCC)</w:t>
      </w:r>
      <w:r w:rsidRPr="0006177F">
        <w:rPr>
          <w:rFonts w:eastAsiaTheme="minorEastAsia" w:cstheme="minorHAnsi"/>
        </w:rPr>
        <w:t>, Technical Information and Specifications attached, and hereby agree to supply, render services or perform works in accordance therewith</w:t>
      </w:r>
    </w:p>
    <w:p w14:paraId="4761B1F7" w14:textId="3407862F" w:rsidR="00707CE7" w:rsidRPr="0006177F" w:rsidRDefault="00707CE7" w:rsidP="0006177F">
      <w:pPr>
        <w:pStyle w:val="ListParagraph"/>
        <w:spacing w:after="0"/>
        <w:jc w:val="both"/>
        <w:rPr>
          <w:rFonts w:cstheme="minorHAnsi"/>
          <w:b/>
          <w:u w:val="single"/>
        </w:rPr>
      </w:pPr>
    </w:p>
    <w:sectPr w:rsidR="00707CE7" w:rsidRPr="0006177F" w:rsidSect="008F6D30">
      <w:headerReference w:type="default" r:id="rId14"/>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BD68E" w14:textId="77777777" w:rsidR="00710B60" w:rsidRDefault="00710B60" w:rsidP="00990BD1">
      <w:pPr>
        <w:spacing w:after="0" w:line="240" w:lineRule="auto"/>
      </w:pPr>
      <w:r>
        <w:separator/>
      </w:r>
    </w:p>
  </w:endnote>
  <w:endnote w:type="continuationSeparator" w:id="0">
    <w:p w14:paraId="04A16147" w14:textId="77777777" w:rsidR="00710B60" w:rsidRDefault="00710B60"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C8C86" w14:textId="77777777" w:rsidR="00710B60" w:rsidRDefault="00710B60" w:rsidP="00990BD1">
      <w:pPr>
        <w:spacing w:after="0" w:line="240" w:lineRule="auto"/>
      </w:pPr>
      <w:r>
        <w:separator/>
      </w:r>
    </w:p>
  </w:footnote>
  <w:footnote w:type="continuationSeparator" w:id="0">
    <w:p w14:paraId="4CA70D3D" w14:textId="77777777" w:rsidR="00710B60" w:rsidRDefault="00710B60"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65F5D397" w14:textId="77777777" w:rsidTr="00707CE7">
      <w:trPr>
        <w:trHeight w:val="319"/>
      </w:trPr>
      <w:tc>
        <w:tcPr>
          <w:tcW w:w="2065" w:type="dxa"/>
          <w:vMerge w:val="restart"/>
          <w:tcBorders>
            <w:bottom w:val="single" w:sz="8" w:space="0" w:color="000000"/>
            <w:right w:val="single" w:sz="8" w:space="0" w:color="000000"/>
          </w:tcBorders>
        </w:tcPr>
        <w:p w14:paraId="0B42C360" w14:textId="77777777" w:rsidR="00707CE7" w:rsidRDefault="00707CE7" w:rsidP="00707CE7">
          <w:pPr>
            <w:pStyle w:val="TableParagraph"/>
            <w:ind w:left="15"/>
            <w:rPr>
              <w:rFonts w:ascii="Times New Roman"/>
              <w:sz w:val="20"/>
            </w:rPr>
          </w:pPr>
          <w:r>
            <w:rPr>
              <w:rFonts w:ascii="Times New Roman"/>
              <w:noProof/>
              <w:sz w:val="20"/>
              <w:lang w:val="en-ZA" w:eastAsia="en-ZA"/>
            </w:rPr>
            <w:drawing>
              <wp:inline distT="0" distB="0" distL="0" distR="0" wp14:anchorId="4E61C359" wp14:editId="179015C9">
                <wp:extent cx="1241854" cy="62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41854" cy="624840"/>
                        </a:xfrm>
                        <a:prstGeom prst="rect">
                          <a:avLst/>
                        </a:prstGeom>
                      </pic:spPr>
                    </pic:pic>
                  </a:graphicData>
                </a:graphic>
              </wp:inline>
            </w:drawing>
          </w:r>
        </w:p>
      </w:tc>
      <w:tc>
        <w:tcPr>
          <w:tcW w:w="5154" w:type="dxa"/>
          <w:vMerge w:val="restart"/>
          <w:tcBorders>
            <w:top w:val="single" w:sz="6" w:space="0" w:color="000000"/>
            <w:left w:val="single" w:sz="8" w:space="0" w:color="000000"/>
            <w:bottom w:val="single" w:sz="8" w:space="0" w:color="000000"/>
            <w:right w:val="single" w:sz="8" w:space="0" w:color="000000"/>
          </w:tcBorders>
        </w:tcPr>
        <w:p w14:paraId="1B4DE376"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161BF871"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4A16C0F8" w14:textId="77777777" w:rsidR="00707CE7" w:rsidRDefault="00707CE7" w:rsidP="00707CE7">
          <w:pPr>
            <w:pStyle w:val="TableParagraph"/>
            <w:spacing w:before="23"/>
            <w:ind w:left="98"/>
            <w:rPr>
              <w:sz w:val="20"/>
            </w:rPr>
          </w:pPr>
          <w:r>
            <w:rPr>
              <w:sz w:val="20"/>
            </w:rPr>
            <w:t>FBD-SCM-2017-FRM-</w:t>
          </w:r>
          <w:r>
            <w:rPr>
              <w:spacing w:val="-4"/>
              <w:sz w:val="20"/>
            </w:rPr>
            <w:t>0027</w:t>
          </w:r>
        </w:p>
      </w:tc>
    </w:tr>
    <w:tr w:rsidR="00707CE7" w14:paraId="34B47CB7" w14:textId="77777777" w:rsidTr="00707CE7">
      <w:trPr>
        <w:trHeight w:val="320"/>
      </w:trPr>
      <w:tc>
        <w:tcPr>
          <w:tcW w:w="2065" w:type="dxa"/>
          <w:vMerge/>
          <w:tcBorders>
            <w:top w:val="nil"/>
            <w:bottom w:val="single" w:sz="8" w:space="0" w:color="000000"/>
            <w:right w:val="single" w:sz="8" w:space="0" w:color="000000"/>
          </w:tcBorders>
        </w:tcPr>
        <w:p w14:paraId="22C33E78"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374049AD"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385741A6"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067E41F1" w14:textId="77777777" w:rsidR="00707CE7" w:rsidRDefault="00707CE7" w:rsidP="00707CE7">
          <w:pPr>
            <w:pStyle w:val="TableParagraph"/>
            <w:spacing w:before="23"/>
            <w:ind w:left="98"/>
            <w:rPr>
              <w:sz w:val="20"/>
            </w:rPr>
          </w:pPr>
          <w:r>
            <w:rPr>
              <w:sz w:val="20"/>
            </w:rPr>
            <w:t>5</w:t>
          </w:r>
        </w:p>
      </w:tc>
    </w:tr>
    <w:tr w:rsidR="00707CE7" w14:paraId="27402F26" w14:textId="77777777" w:rsidTr="00707CE7">
      <w:trPr>
        <w:trHeight w:val="320"/>
      </w:trPr>
      <w:tc>
        <w:tcPr>
          <w:tcW w:w="2065" w:type="dxa"/>
          <w:vMerge/>
          <w:tcBorders>
            <w:top w:val="nil"/>
            <w:bottom w:val="single" w:sz="8" w:space="0" w:color="000000"/>
            <w:right w:val="single" w:sz="8" w:space="0" w:color="000000"/>
          </w:tcBorders>
        </w:tcPr>
        <w:p w14:paraId="0B213ADF"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14DC2DF1"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5DDB417A"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3F6BD7BC" w14:textId="57ACB649" w:rsidR="00707CE7" w:rsidRDefault="00B50387" w:rsidP="00B50387">
          <w:pPr>
            <w:pStyle w:val="TableParagraph"/>
            <w:spacing w:before="23"/>
            <w:rPr>
              <w:sz w:val="20"/>
            </w:rPr>
          </w:pPr>
          <w:r w:rsidRPr="00B50387">
            <w:rPr>
              <w:sz w:val="20"/>
            </w:rPr>
            <w:t xml:space="preserve">Page </w:t>
          </w:r>
          <w:r w:rsidRPr="00B50387">
            <w:rPr>
              <w:b/>
              <w:bCs/>
              <w:sz w:val="20"/>
            </w:rPr>
            <w:fldChar w:fldCharType="begin"/>
          </w:r>
          <w:r w:rsidRPr="00B50387">
            <w:rPr>
              <w:b/>
              <w:bCs/>
              <w:sz w:val="20"/>
            </w:rPr>
            <w:instrText xml:space="preserve"> PAGE  \* Arabic  \* MERGEFORMAT </w:instrText>
          </w:r>
          <w:r w:rsidRPr="00B50387">
            <w:rPr>
              <w:b/>
              <w:bCs/>
              <w:sz w:val="20"/>
            </w:rPr>
            <w:fldChar w:fldCharType="separate"/>
          </w:r>
          <w:r w:rsidRPr="00B50387">
            <w:rPr>
              <w:b/>
              <w:bCs/>
              <w:noProof/>
              <w:sz w:val="20"/>
            </w:rPr>
            <w:t>1</w:t>
          </w:r>
          <w:r w:rsidRPr="00B50387">
            <w:rPr>
              <w:b/>
              <w:bCs/>
              <w:sz w:val="20"/>
            </w:rPr>
            <w:fldChar w:fldCharType="end"/>
          </w:r>
          <w:r w:rsidRPr="00B50387">
            <w:rPr>
              <w:sz w:val="20"/>
            </w:rPr>
            <w:t xml:space="preserve"> of </w:t>
          </w:r>
          <w:r w:rsidRPr="00B50387">
            <w:rPr>
              <w:b/>
              <w:bCs/>
              <w:sz w:val="20"/>
            </w:rPr>
            <w:fldChar w:fldCharType="begin"/>
          </w:r>
          <w:r w:rsidRPr="00B50387">
            <w:rPr>
              <w:b/>
              <w:bCs/>
              <w:sz w:val="20"/>
            </w:rPr>
            <w:instrText xml:space="preserve"> NUMPAGES  \* Arabic  \* MERGEFORMAT </w:instrText>
          </w:r>
          <w:r w:rsidRPr="00B50387">
            <w:rPr>
              <w:b/>
              <w:bCs/>
              <w:sz w:val="20"/>
            </w:rPr>
            <w:fldChar w:fldCharType="separate"/>
          </w:r>
          <w:r w:rsidRPr="00B50387">
            <w:rPr>
              <w:b/>
              <w:bCs/>
              <w:noProof/>
              <w:sz w:val="20"/>
            </w:rPr>
            <w:t>2</w:t>
          </w:r>
          <w:r w:rsidRPr="00B50387">
            <w:rPr>
              <w:b/>
              <w:bCs/>
              <w:sz w:val="20"/>
            </w:rPr>
            <w:fldChar w:fldCharType="end"/>
          </w:r>
        </w:p>
      </w:tc>
    </w:tr>
  </w:tbl>
  <w:p w14:paraId="645D9533"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2024"/>
    <w:multiLevelType w:val="multilevel"/>
    <w:tmpl w:val="71E03D9E"/>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B351D"/>
    <w:multiLevelType w:val="hybridMultilevel"/>
    <w:tmpl w:val="C9683C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60301"/>
    <w:multiLevelType w:val="multilevel"/>
    <w:tmpl w:val="5CF6A82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77830"/>
    <w:multiLevelType w:val="multilevel"/>
    <w:tmpl w:val="E4C4C94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33D4F"/>
    <w:multiLevelType w:val="hybridMultilevel"/>
    <w:tmpl w:val="6122D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62C71"/>
    <w:multiLevelType w:val="multilevel"/>
    <w:tmpl w:val="6FB2810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507EF"/>
    <w:multiLevelType w:val="multilevel"/>
    <w:tmpl w:val="CCC07E1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2C5FDB"/>
    <w:multiLevelType w:val="hybridMultilevel"/>
    <w:tmpl w:val="225441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9915A9"/>
    <w:multiLevelType w:val="multilevel"/>
    <w:tmpl w:val="D7E647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406B1"/>
    <w:multiLevelType w:val="multilevel"/>
    <w:tmpl w:val="681EBCF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D4798"/>
    <w:multiLevelType w:val="multilevel"/>
    <w:tmpl w:val="19DC837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6B5DCA"/>
    <w:multiLevelType w:val="hybridMultilevel"/>
    <w:tmpl w:val="9A5AE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9566D"/>
    <w:multiLevelType w:val="hybridMultilevel"/>
    <w:tmpl w:val="1C289A42"/>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78B7F20"/>
    <w:multiLevelType w:val="hybridMultilevel"/>
    <w:tmpl w:val="665EA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D1B4E"/>
    <w:multiLevelType w:val="multilevel"/>
    <w:tmpl w:val="6532C87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A7186"/>
    <w:multiLevelType w:val="multilevel"/>
    <w:tmpl w:val="AD0081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EB557FB"/>
    <w:multiLevelType w:val="multilevel"/>
    <w:tmpl w:val="25628F1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914F2E"/>
    <w:multiLevelType w:val="hybridMultilevel"/>
    <w:tmpl w:val="C5920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86801"/>
    <w:multiLevelType w:val="hybridMultilevel"/>
    <w:tmpl w:val="914C7C96"/>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7E4380E"/>
    <w:multiLevelType w:val="multilevel"/>
    <w:tmpl w:val="C55499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ABF4DA1"/>
    <w:multiLevelType w:val="hybridMultilevel"/>
    <w:tmpl w:val="B8EA7D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35ECA"/>
    <w:multiLevelType w:val="hybridMultilevel"/>
    <w:tmpl w:val="7B54C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B5D1F"/>
    <w:multiLevelType w:val="multilevel"/>
    <w:tmpl w:val="A8D4596E"/>
    <w:lvl w:ilvl="0">
      <w:start w:val="1"/>
      <w:numFmt w:val="decimal"/>
      <w:lvlText w:val="%1."/>
      <w:lvlJc w:val="left"/>
      <w:pPr>
        <w:ind w:left="360"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E10E5B"/>
    <w:multiLevelType w:val="multilevel"/>
    <w:tmpl w:val="9D7C0A8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82808"/>
    <w:multiLevelType w:val="hybridMultilevel"/>
    <w:tmpl w:val="1C289A42"/>
    <w:lvl w:ilvl="0" w:tplc="FFFFFFFF">
      <w:start w:val="1"/>
      <w:numFmt w:val="lowerRoman"/>
      <w:lvlText w:val="%1."/>
      <w:lvlJc w:val="righ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6"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96430D"/>
    <w:multiLevelType w:val="hybridMultilevel"/>
    <w:tmpl w:val="F2D46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95A58"/>
    <w:multiLevelType w:val="multilevel"/>
    <w:tmpl w:val="0A4079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468F0"/>
    <w:multiLevelType w:val="hybridMultilevel"/>
    <w:tmpl w:val="3CCCBC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4F242E"/>
    <w:multiLevelType w:val="multilevel"/>
    <w:tmpl w:val="170A528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15B92"/>
    <w:multiLevelType w:val="multilevel"/>
    <w:tmpl w:val="937C8C02"/>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num w:numId="1">
    <w:abstractNumId w:val="20"/>
  </w:num>
  <w:num w:numId="2">
    <w:abstractNumId w:val="26"/>
  </w:num>
  <w:num w:numId="3">
    <w:abstractNumId w:val="15"/>
  </w:num>
  <w:num w:numId="4">
    <w:abstractNumId w:val="0"/>
  </w:num>
  <w:num w:numId="5">
    <w:abstractNumId w:val="5"/>
  </w:num>
  <w:num w:numId="6">
    <w:abstractNumId w:val="19"/>
  </w:num>
  <w:num w:numId="7">
    <w:abstractNumId w:val="8"/>
  </w:num>
  <w:num w:numId="8">
    <w:abstractNumId w:val="2"/>
  </w:num>
  <w:num w:numId="9">
    <w:abstractNumId w:val="6"/>
  </w:num>
  <w:num w:numId="10">
    <w:abstractNumId w:val="30"/>
  </w:num>
  <w:num w:numId="11">
    <w:abstractNumId w:val="10"/>
  </w:num>
  <w:num w:numId="12">
    <w:abstractNumId w:val="3"/>
  </w:num>
  <w:num w:numId="13">
    <w:abstractNumId w:val="16"/>
  </w:num>
  <w:num w:numId="14">
    <w:abstractNumId w:val="24"/>
  </w:num>
  <w:num w:numId="15">
    <w:abstractNumId w:val="9"/>
  </w:num>
  <w:num w:numId="16">
    <w:abstractNumId w:val="28"/>
  </w:num>
  <w:num w:numId="17">
    <w:abstractNumId w:val="14"/>
  </w:num>
  <w:num w:numId="18">
    <w:abstractNumId w:val="29"/>
  </w:num>
  <w:num w:numId="19">
    <w:abstractNumId w:val="7"/>
  </w:num>
  <w:num w:numId="20">
    <w:abstractNumId w:val="22"/>
  </w:num>
  <w:num w:numId="21">
    <w:abstractNumId w:val="18"/>
  </w:num>
  <w:num w:numId="22">
    <w:abstractNumId w:val="11"/>
  </w:num>
  <w:num w:numId="23">
    <w:abstractNumId w:val="17"/>
  </w:num>
  <w:num w:numId="24">
    <w:abstractNumId w:val="27"/>
  </w:num>
  <w:num w:numId="25">
    <w:abstractNumId w:val="4"/>
  </w:num>
  <w:num w:numId="26">
    <w:abstractNumId w:val="1"/>
  </w:num>
  <w:num w:numId="27">
    <w:abstractNumId w:val="13"/>
  </w:num>
  <w:num w:numId="28">
    <w:abstractNumId w:val="21"/>
  </w:num>
  <w:num w:numId="29">
    <w:abstractNumId w:val="23"/>
  </w:num>
  <w:num w:numId="30">
    <w:abstractNumId w:val="12"/>
  </w:num>
  <w:num w:numId="31">
    <w:abstractNumId w:val="25"/>
  </w:num>
  <w:num w:numId="32">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99"/>
    <w:rsid w:val="0000129C"/>
    <w:rsid w:val="0001508E"/>
    <w:rsid w:val="00015673"/>
    <w:rsid w:val="00015AF1"/>
    <w:rsid w:val="00024434"/>
    <w:rsid w:val="00024925"/>
    <w:rsid w:val="00026653"/>
    <w:rsid w:val="0002678D"/>
    <w:rsid w:val="000278AE"/>
    <w:rsid w:val="000308D0"/>
    <w:rsid w:val="00031E16"/>
    <w:rsid w:val="00033F30"/>
    <w:rsid w:val="00037B75"/>
    <w:rsid w:val="0004472D"/>
    <w:rsid w:val="00060268"/>
    <w:rsid w:val="0006177F"/>
    <w:rsid w:val="00067F0B"/>
    <w:rsid w:val="00073E6A"/>
    <w:rsid w:val="00082554"/>
    <w:rsid w:val="000871AC"/>
    <w:rsid w:val="00091CE3"/>
    <w:rsid w:val="000B5B8E"/>
    <w:rsid w:val="000C0511"/>
    <w:rsid w:val="000C3DF7"/>
    <w:rsid w:val="000C7C5C"/>
    <w:rsid w:val="000D207A"/>
    <w:rsid w:val="000D2B04"/>
    <w:rsid w:val="000D5365"/>
    <w:rsid w:val="000D5F78"/>
    <w:rsid w:val="000D69F9"/>
    <w:rsid w:val="000E5711"/>
    <w:rsid w:val="000F0F5B"/>
    <w:rsid w:val="000F5818"/>
    <w:rsid w:val="00100F40"/>
    <w:rsid w:val="001036AD"/>
    <w:rsid w:val="0011404B"/>
    <w:rsid w:val="001311EE"/>
    <w:rsid w:val="0013239A"/>
    <w:rsid w:val="00133791"/>
    <w:rsid w:val="0014302D"/>
    <w:rsid w:val="001448BD"/>
    <w:rsid w:val="0015065D"/>
    <w:rsid w:val="001527AB"/>
    <w:rsid w:val="00155894"/>
    <w:rsid w:val="001566F4"/>
    <w:rsid w:val="00161A94"/>
    <w:rsid w:val="00166F53"/>
    <w:rsid w:val="0017062B"/>
    <w:rsid w:val="00172242"/>
    <w:rsid w:val="00180DE6"/>
    <w:rsid w:val="00187A44"/>
    <w:rsid w:val="001911FD"/>
    <w:rsid w:val="00196E90"/>
    <w:rsid w:val="001A061D"/>
    <w:rsid w:val="001A1B5F"/>
    <w:rsid w:val="001A3B04"/>
    <w:rsid w:val="001A799E"/>
    <w:rsid w:val="001B1D1B"/>
    <w:rsid w:val="001C11F4"/>
    <w:rsid w:val="001C316D"/>
    <w:rsid w:val="001C7C35"/>
    <w:rsid w:val="001D77EE"/>
    <w:rsid w:val="001E52E8"/>
    <w:rsid w:val="001F0EB1"/>
    <w:rsid w:val="001F1662"/>
    <w:rsid w:val="001F169B"/>
    <w:rsid w:val="001F16C6"/>
    <w:rsid w:val="002010F5"/>
    <w:rsid w:val="00203B76"/>
    <w:rsid w:val="00203E56"/>
    <w:rsid w:val="00205B57"/>
    <w:rsid w:val="002121C7"/>
    <w:rsid w:val="00212DB4"/>
    <w:rsid w:val="00230CB3"/>
    <w:rsid w:val="00244753"/>
    <w:rsid w:val="002554EE"/>
    <w:rsid w:val="00256802"/>
    <w:rsid w:val="002579DE"/>
    <w:rsid w:val="0026043B"/>
    <w:rsid w:val="00265D22"/>
    <w:rsid w:val="00267E19"/>
    <w:rsid w:val="0028377E"/>
    <w:rsid w:val="00286D4A"/>
    <w:rsid w:val="00297C2A"/>
    <w:rsid w:val="002B17CE"/>
    <w:rsid w:val="002B54A2"/>
    <w:rsid w:val="002C1C0C"/>
    <w:rsid w:val="002C1ECD"/>
    <w:rsid w:val="002C45A8"/>
    <w:rsid w:val="002D3989"/>
    <w:rsid w:val="002D3F9B"/>
    <w:rsid w:val="002F70F7"/>
    <w:rsid w:val="002F7101"/>
    <w:rsid w:val="0030142F"/>
    <w:rsid w:val="00302A0A"/>
    <w:rsid w:val="00311D93"/>
    <w:rsid w:val="00312D18"/>
    <w:rsid w:val="00320717"/>
    <w:rsid w:val="00320C38"/>
    <w:rsid w:val="0034488A"/>
    <w:rsid w:val="00351BBE"/>
    <w:rsid w:val="00353BF5"/>
    <w:rsid w:val="00353F73"/>
    <w:rsid w:val="003616F8"/>
    <w:rsid w:val="0036212E"/>
    <w:rsid w:val="00366739"/>
    <w:rsid w:val="00367818"/>
    <w:rsid w:val="00367AA8"/>
    <w:rsid w:val="0038158B"/>
    <w:rsid w:val="0038666F"/>
    <w:rsid w:val="00387598"/>
    <w:rsid w:val="003904E1"/>
    <w:rsid w:val="00391545"/>
    <w:rsid w:val="003955BE"/>
    <w:rsid w:val="003A014A"/>
    <w:rsid w:val="003A117D"/>
    <w:rsid w:val="003B0257"/>
    <w:rsid w:val="003B760D"/>
    <w:rsid w:val="003C4628"/>
    <w:rsid w:val="003D0ACB"/>
    <w:rsid w:val="003D5DF6"/>
    <w:rsid w:val="003D708F"/>
    <w:rsid w:val="003E104C"/>
    <w:rsid w:val="003E106B"/>
    <w:rsid w:val="003E1620"/>
    <w:rsid w:val="003E1B43"/>
    <w:rsid w:val="003F56B1"/>
    <w:rsid w:val="00402EF8"/>
    <w:rsid w:val="00404D5F"/>
    <w:rsid w:val="004057A2"/>
    <w:rsid w:val="00414409"/>
    <w:rsid w:val="00421D7E"/>
    <w:rsid w:val="00425664"/>
    <w:rsid w:val="00426FEC"/>
    <w:rsid w:val="004333BA"/>
    <w:rsid w:val="0043432D"/>
    <w:rsid w:val="004364B2"/>
    <w:rsid w:val="004669E4"/>
    <w:rsid w:val="00471B6B"/>
    <w:rsid w:val="00475088"/>
    <w:rsid w:val="0048292C"/>
    <w:rsid w:val="00485665"/>
    <w:rsid w:val="00491C47"/>
    <w:rsid w:val="004A3FCD"/>
    <w:rsid w:val="004C4CBF"/>
    <w:rsid w:val="004C6298"/>
    <w:rsid w:val="004D0F51"/>
    <w:rsid w:val="004D3E40"/>
    <w:rsid w:val="004D49C3"/>
    <w:rsid w:val="004D54EE"/>
    <w:rsid w:val="004E60F3"/>
    <w:rsid w:val="00514AE5"/>
    <w:rsid w:val="00521433"/>
    <w:rsid w:val="005307F6"/>
    <w:rsid w:val="00530B1C"/>
    <w:rsid w:val="00537523"/>
    <w:rsid w:val="005376A9"/>
    <w:rsid w:val="005400AC"/>
    <w:rsid w:val="00547AF9"/>
    <w:rsid w:val="00547EEE"/>
    <w:rsid w:val="00554306"/>
    <w:rsid w:val="005547D2"/>
    <w:rsid w:val="005576A0"/>
    <w:rsid w:val="00557828"/>
    <w:rsid w:val="00560B78"/>
    <w:rsid w:val="00560F8F"/>
    <w:rsid w:val="00570AFD"/>
    <w:rsid w:val="00574C0F"/>
    <w:rsid w:val="005A0161"/>
    <w:rsid w:val="005A5FAD"/>
    <w:rsid w:val="005A61E7"/>
    <w:rsid w:val="005A6E1D"/>
    <w:rsid w:val="005B3592"/>
    <w:rsid w:val="005B51B7"/>
    <w:rsid w:val="005C547A"/>
    <w:rsid w:val="005D251E"/>
    <w:rsid w:val="005D3EA3"/>
    <w:rsid w:val="005D4B22"/>
    <w:rsid w:val="005E2259"/>
    <w:rsid w:val="005E49F2"/>
    <w:rsid w:val="005F0BD1"/>
    <w:rsid w:val="005F6283"/>
    <w:rsid w:val="0060761A"/>
    <w:rsid w:val="00614740"/>
    <w:rsid w:val="00616607"/>
    <w:rsid w:val="006166C2"/>
    <w:rsid w:val="006346AD"/>
    <w:rsid w:val="006356B0"/>
    <w:rsid w:val="00644904"/>
    <w:rsid w:val="00644A34"/>
    <w:rsid w:val="00650E63"/>
    <w:rsid w:val="00651FC4"/>
    <w:rsid w:val="006554AE"/>
    <w:rsid w:val="0066139F"/>
    <w:rsid w:val="0067379F"/>
    <w:rsid w:val="00685925"/>
    <w:rsid w:val="00693BEA"/>
    <w:rsid w:val="0069514B"/>
    <w:rsid w:val="00695296"/>
    <w:rsid w:val="006970F0"/>
    <w:rsid w:val="006A2B90"/>
    <w:rsid w:val="006A421D"/>
    <w:rsid w:val="006A5715"/>
    <w:rsid w:val="006B1B37"/>
    <w:rsid w:val="006B7F1E"/>
    <w:rsid w:val="006C0D15"/>
    <w:rsid w:val="006C22A1"/>
    <w:rsid w:val="006C4A21"/>
    <w:rsid w:val="006C62A4"/>
    <w:rsid w:val="006D11CD"/>
    <w:rsid w:val="006D13FE"/>
    <w:rsid w:val="006D3A67"/>
    <w:rsid w:val="006D4084"/>
    <w:rsid w:val="006D7113"/>
    <w:rsid w:val="006D745A"/>
    <w:rsid w:val="006F7A6D"/>
    <w:rsid w:val="007060B1"/>
    <w:rsid w:val="00707CE7"/>
    <w:rsid w:val="00710B60"/>
    <w:rsid w:val="00721A73"/>
    <w:rsid w:val="007236D2"/>
    <w:rsid w:val="00725378"/>
    <w:rsid w:val="007303E1"/>
    <w:rsid w:val="00745227"/>
    <w:rsid w:val="00745D44"/>
    <w:rsid w:val="00752F61"/>
    <w:rsid w:val="007533C0"/>
    <w:rsid w:val="007533CE"/>
    <w:rsid w:val="00755D42"/>
    <w:rsid w:val="00774F77"/>
    <w:rsid w:val="0077699F"/>
    <w:rsid w:val="00776A67"/>
    <w:rsid w:val="00796CA4"/>
    <w:rsid w:val="007A0DAA"/>
    <w:rsid w:val="007A1178"/>
    <w:rsid w:val="007A7CBD"/>
    <w:rsid w:val="007B0C1A"/>
    <w:rsid w:val="007C0CF5"/>
    <w:rsid w:val="007C281F"/>
    <w:rsid w:val="007D1453"/>
    <w:rsid w:val="007D14E3"/>
    <w:rsid w:val="007D1DDA"/>
    <w:rsid w:val="007D649C"/>
    <w:rsid w:val="007D72AA"/>
    <w:rsid w:val="007E0F7D"/>
    <w:rsid w:val="007E3852"/>
    <w:rsid w:val="007E646E"/>
    <w:rsid w:val="007E7684"/>
    <w:rsid w:val="007F6002"/>
    <w:rsid w:val="0080164F"/>
    <w:rsid w:val="00802372"/>
    <w:rsid w:val="008049D8"/>
    <w:rsid w:val="0080596B"/>
    <w:rsid w:val="00807E6D"/>
    <w:rsid w:val="00817113"/>
    <w:rsid w:val="00825A09"/>
    <w:rsid w:val="0083340C"/>
    <w:rsid w:val="0083660F"/>
    <w:rsid w:val="00842345"/>
    <w:rsid w:val="008622E9"/>
    <w:rsid w:val="00867596"/>
    <w:rsid w:val="00883ADB"/>
    <w:rsid w:val="00883C4E"/>
    <w:rsid w:val="008904F1"/>
    <w:rsid w:val="00890AE1"/>
    <w:rsid w:val="008947FB"/>
    <w:rsid w:val="0089720E"/>
    <w:rsid w:val="008A3967"/>
    <w:rsid w:val="008A50DF"/>
    <w:rsid w:val="008A7211"/>
    <w:rsid w:val="008E49EC"/>
    <w:rsid w:val="008E4A81"/>
    <w:rsid w:val="008E4B98"/>
    <w:rsid w:val="008F1551"/>
    <w:rsid w:val="008F6D30"/>
    <w:rsid w:val="009033BD"/>
    <w:rsid w:val="00903BD8"/>
    <w:rsid w:val="00910B1E"/>
    <w:rsid w:val="009160D9"/>
    <w:rsid w:val="00916503"/>
    <w:rsid w:val="0093123C"/>
    <w:rsid w:val="009323BD"/>
    <w:rsid w:val="0094127D"/>
    <w:rsid w:val="00942386"/>
    <w:rsid w:val="00946ACA"/>
    <w:rsid w:val="0095034F"/>
    <w:rsid w:val="00950ABD"/>
    <w:rsid w:val="00961790"/>
    <w:rsid w:val="0096640D"/>
    <w:rsid w:val="00975603"/>
    <w:rsid w:val="009764F7"/>
    <w:rsid w:val="00990BD1"/>
    <w:rsid w:val="0099245F"/>
    <w:rsid w:val="00993469"/>
    <w:rsid w:val="00994410"/>
    <w:rsid w:val="0099630E"/>
    <w:rsid w:val="009A0C13"/>
    <w:rsid w:val="009A1B1F"/>
    <w:rsid w:val="009A3F2F"/>
    <w:rsid w:val="009A7901"/>
    <w:rsid w:val="009B1A76"/>
    <w:rsid w:val="009B2E6B"/>
    <w:rsid w:val="009B5E41"/>
    <w:rsid w:val="009B6299"/>
    <w:rsid w:val="009C4E77"/>
    <w:rsid w:val="009C5499"/>
    <w:rsid w:val="009C5BFB"/>
    <w:rsid w:val="009D6BF6"/>
    <w:rsid w:val="009E3142"/>
    <w:rsid w:val="009F17F7"/>
    <w:rsid w:val="009F581E"/>
    <w:rsid w:val="009F5863"/>
    <w:rsid w:val="009F603B"/>
    <w:rsid w:val="00A00E52"/>
    <w:rsid w:val="00A01998"/>
    <w:rsid w:val="00A01A19"/>
    <w:rsid w:val="00A040F3"/>
    <w:rsid w:val="00A10367"/>
    <w:rsid w:val="00A12161"/>
    <w:rsid w:val="00A1229A"/>
    <w:rsid w:val="00A20F9C"/>
    <w:rsid w:val="00A21272"/>
    <w:rsid w:val="00A221D7"/>
    <w:rsid w:val="00A31C62"/>
    <w:rsid w:val="00A41113"/>
    <w:rsid w:val="00A44540"/>
    <w:rsid w:val="00A4676A"/>
    <w:rsid w:val="00A50A5E"/>
    <w:rsid w:val="00A5428F"/>
    <w:rsid w:val="00A575A3"/>
    <w:rsid w:val="00A66B8F"/>
    <w:rsid w:val="00A708D2"/>
    <w:rsid w:val="00A75E8C"/>
    <w:rsid w:val="00A77706"/>
    <w:rsid w:val="00A84DB5"/>
    <w:rsid w:val="00A869B5"/>
    <w:rsid w:val="00A93278"/>
    <w:rsid w:val="00A97702"/>
    <w:rsid w:val="00AA02CB"/>
    <w:rsid w:val="00AB0360"/>
    <w:rsid w:val="00AB1029"/>
    <w:rsid w:val="00AB1545"/>
    <w:rsid w:val="00AB42EC"/>
    <w:rsid w:val="00AB6E44"/>
    <w:rsid w:val="00AC34A9"/>
    <w:rsid w:val="00AC5C21"/>
    <w:rsid w:val="00AC6FF5"/>
    <w:rsid w:val="00AD0D3A"/>
    <w:rsid w:val="00AD0FB2"/>
    <w:rsid w:val="00AD2401"/>
    <w:rsid w:val="00AE44A6"/>
    <w:rsid w:val="00B04BFC"/>
    <w:rsid w:val="00B10B85"/>
    <w:rsid w:val="00B1692C"/>
    <w:rsid w:val="00B20A80"/>
    <w:rsid w:val="00B26695"/>
    <w:rsid w:val="00B43979"/>
    <w:rsid w:val="00B50387"/>
    <w:rsid w:val="00B54B8A"/>
    <w:rsid w:val="00B66474"/>
    <w:rsid w:val="00B70805"/>
    <w:rsid w:val="00B82EDF"/>
    <w:rsid w:val="00B84691"/>
    <w:rsid w:val="00B84D00"/>
    <w:rsid w:val="00B929FB"/>
    <w:rsid w:val="00B92E63"/>
    <w:rsid w:val="00B9410C"/>
    <w:rsid w:val="00BA4051"/>
    <w:rsid w:val="00BB0121"/>
    <w:rsid w:val="00BB2F0D"/>
    <w:rsid w:val="00BC1746"/>
    <w:rsid w:val="00BD22E5"/>
    <w:rsid w:val="00BE10D6"/>
    <w:rsid w:val="00BE29E0"/>
    <w:rsid w:val="00BE7BDB"/>
    <w:rsid w:val="00BF0084"/>
    <w:rsid w:val="00BF3752"/>
    <w:rsid w:val="00C0053E"/>
    <w:rsid w:val="00C03258"/>
    <w:rsid w:val="00C03A7C"/>
    <w:rsid w:val="00C1026D"/>
    <w:rsid w:val="00C1242E"/>
    <w:rsid w:val="00C27ADD"/>
    <w:rsid w:val="00C30095"/>
    <w:rsid w:val="00C30258"/>
    <w:rsid w:val="00C31CD3"/>
    <w:rsid w:val="00C40CD0"/>
    <w:rsid w:val="00C41D68"/>
    <w:rsid w:val="00C51F61"/>
    <w:rsid w:val="00C57054"/>
    <w:rsid w:val="00C6118E"/>
    <w:rsid w:val="00C6572F"/>
    <w:rsid w:val="00C74469"/>
    <w:rsid w:val="00C75561"/>
    <w:rsid w:val="00CB01CF"/>
    <w:rsid w:val="00CB169D"/>
    <w:rsid w:val="00CD0B19"/>
    <w:rsid w:val="00CD2AD0"/>
    <w:rsid w:val="00CD623A"/>
    <w:rsid w:val="00CE4FFC"/>
    <w:rsid w:val="00CE5158"/>
    <w:rsid w:val="00CE61DC"/>
    <w:rsid w:val="00CF3A11"/>
    <w:rsid w:val="00CF69F0"/>
    <w:rsid w:val="00CF6BC3"/>
    <w:rsid w:val="00D02017"/>
    <w:rsid w:val="00D02998"/>
    <w:rsid w:val="00D11878"/>
    <w:rsid w:val="00D12696"/>
    <w:rsid w:val="00D1798F"/>
    <w:rsid w:val="00D2386A"/>
    <w:rsid w:val="00D270FE"/>
    <w:rsid w:val="00D3199B"/>
    <w:rsid w:val="00D40D4E"/>
    <w:rsid w:val="00D51675"/>
    <w:rsid w:val="00D52E21"/>
    <w:rsid w:val="00D632DF"/>
    <w:rsid w:val="00D82748"/>
    <w:rsid w:val="00D84E6A"/>
    <w:rsid w:val="00D85084"/>
    <w:rsid w:val="00D86CE9"/>
    <w:rsid w:val="00D93E82"/>
    <w:rsid w:val="00D95ECF"/>
    <w:rsid w:val="00DA0CD0"/>
    <w:rsid w:val="00DA2400"/>
    <w:rsid w:val="00DA3676"/>
    <w:rsid w:val="00DB01E9"/>
    <w:rsid w:val="00DB289D"/>
    <w:rsid w:val="00DC12C6"/>
    <w:rsid w:val="00DD3E53"/>
    <w:rsid w:val="00DD468D"/>
    <w:rsid w:val="00DE114A"/>
    <w:rsid w:val="00DE160A"/>
    <w:rsid w:val="00DE1794"/>
    <w:rsid w:val="00DE2C2E"/>
    <w:rsid w:val="00DE436E"/>
    <w:rsid w:val="00DE76DE"/>
    <w:rsid w:val="00DF415F"/>
    <w:rsid w:val="00DF6EEF"/>
    <w:rsid w:val="00E024B7"/>
    <w:rsid w:val="00E042AB"/>
    <w:rsid w:val="00E11231"/>
    <w:rsid w:val="00E21734"/>
    <w:rsid w:val="00E27360"/>
    <w:rsid w:val="00E344FC"/>
    <w:rsid w:val="00E37641"/>
    <w:rsid w:val="00E4190B"/>
    <w:rsid w:val="00E45BA0"/>
    <w:rsid w:val="00E469C8"/>
    <w:rsid w:val="00E51A2D"/>
    <w:rsid w:val="00E5291C"/>
    <w:rsid w:val="00E52A7E"/>
    <w:rsid w:val="00E53CB6"/>
    <w:rsid w:val="00E55591"/>
    <w:rsid w:val="00E57686"/>
    <w:rsid w:val="00E62C12"/>
    <w:rsid w:val="00E66CBE"/>
    <w:rsid w:val="00E73129"/>
    <w:rsid w:val="00E75686"/>
    <w:rsid w:val="00E81AE6"/>
    <w:rsid w:val="00E85C21"/>
    <w:rsid w:val="00E90D07"/>
    <w:rsid w:val="00E960D4"/>
    <w:rsid w:val="00EA1CA2"/>
    <w:rsid w:val="00EA7395"/>
    <w:rsid w:val="00EB19C1"/>
    <w:rsid w:val="00EB5670"/>
    <w:rsid w:val="00EC1E7D"/>
    <w:rsid w:val="00EC23A7"/>
    <w:rsid w:val="00ED0194"/>
    <w:rsid w:val="00ED6867"/>
    <w:rsid w:val="00EF49BD"/>
    <w:rsid w:val="00F113BD"/>
    <w:rsid w:val="00F177EF"/>
    <w:rsid w:val="00F224EF"/>
    <w:rsid w:val="00F22FC7"/>
    <w:rsid w:val="00F27238"/>
    <w:rsid w:val="00F27709"/>
    <w:rsid w:val="00F313C6"/>
    <w:rsid w:val="00F3484A"/>
    <w:rsid w:val="00F44B43"/>
    <w:rsid w:val="00F553AA"/>
    <w:rsid w:val="00F64CD1"/>
    <w:rsid w:val="00F666AA"/>
    <w:rsid w:val="00F9542C"/>
    <w:rsid w:val="00FB18D7"/>
    <w:rsid w:val="00FB241C"/>
    <w:rsid w:val="00FB54F8"/>
    <w:rsid w:val="00FC3771"/>
    <w:rsid w:val="00FC3F2A"/>
    <w:rsid w:val="00FD6476"/>
    <w:rsid w:val="00FE56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5319"/>
  <w15:docId w15:val="{92EDA7AE-4577-41FA-A436-A733CC5F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nhideWhenUsed/>
    <w:qFormat/>
    <w:rsid w:val="00CF6BC3"/>
    <w:pPr>
      <w:keepNext/>
      <w:spacing w:before="240" w:after="60" w:line="240" w:lineRule="auto"/>
      <w:outlineLvl w:val="2"/>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character" w:styleId="UnresolvedMention">
    <w:name w:val="Unresolved Mention"/>
    <w:basedOn w:val="DefaultParagraphFont"/>
    <w:uiPriority w:val="99"/>
    <w:semiHidden/>
    <w:unhideWhenUsed/>
    <w:rsid w:val="00091CE3"/>
    <w:rPr>
      <w:color w:val="605E5C"/>
      <w:shd w:val="clear" w:color="auto" w:fill="E1DFDD"/>
    </w:rPr>
  </w:style>
  <w:style w:type="paragraph" w:styleId="PlainText">
    <w:name w:val="Plain Text"/>
    <w:basedOn w:val="Normal"/>
    <w:link w:val="PlainTextChar"/>
    <w:uiPriority w:val="99"/>
    <w:unhideWhenUsed/>
    <w:rsid w:val="0030142F"/>
    <w:pPr>
      <w:spacing w:after="0" w:line="240" w:lineRule="auto"/>
    </w:pPr>
    <w:rPr>
      <w:rFonts w:ascii="Calibri" w:eastAsia="Times New Roman" w:hAnsi="Calibri"/>
      <w:kern w:val="2"/>
      <w:szCs w:val="21"/>
      <w:lang w:eastAsia="en-US"/>
      <w14:ligatures w14:val="standardContextual"/>
    </w:rPr>
  </w:style>
  <w:style w:type="character" w:customStyle="1" w:styleId="PlainTextChar">
    <w:name w:val="Plain Text Char"/>
    <w:basedOn w:val="DefaultParagraphFont"/>
    <w:link w:val="PlainText"/>
    <w:uiPriority w:val="99"/>
    <w:rsid w:val="0030142F"/>
    <w:rPr>
      <w:rFonts w:ascii="Calibri" w:eastAsia="Times New Roman" w:hAnsi="Calibr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23686184">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376707843">
      <w:bodyDiv w:val="1"/>
      <w:marLeft w:val="0"/>
      <w:marRight w:val="0"/>
      <w:marTop w:val="0"/>
      <w:marBottom w:val="0"/>
      <w:divBdr>
        <w:top w:val="none" w:sz="0" w:space="0" w:color="auto"/>
        <w:left w:val="none" w:sz="0" w:space="0" w:color="auto"/>
        <w:bottom w:val="none" w:sz="0" w:space="0" w:color="auto"/>
        <w:right w:val="none" w:sz="0" w:space="0" w:color="auto"/>
      </w:divBdr>
    </w:div>
    <w:div w:id="607545493">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659625573">
      <w:bodyDiv w:val="1"/>
      <w:marLeft w:val="0"/>
      <w:marRight w:val="0"/>
      <w:marTop w:val="0"/>
      <w:marBottom w:val="0"/>
      <w:divBdr>
        <w:top w:val="none" w:sz="0" w:space="0" w:color="auto"/>
        <w:left w:val="none" w:sz="0" w:space="0" w:color="auto"/>
        <w:bottom w:val="none" w:sz="0" w:space="0" w:color="auto"/>
        <w:right w:val="none" w:sz="0" w:space="0" w:color="auto"/>
      </w:divBdr>
    </w:div>
    <w:div w:id="682321752">
      <w:bodyDiv w:val="1"/>
      <w:marLeft w:val="0"/>
      <w:marRight w:val="0"/>
      <w:marTop w:val="0"/>
      <w:marBottom w:val="0"/>
      <w:divBdr>
        <w:top w:val="none" w:sz="0" w:space="0" w:color="auto"/>
        <w:left w:val="none" w:sz="0" w:space="0" w:color="auto"/>
        <w:bottom w:val="none" w:sz="0" w:space="0" w:color="auto"/>
        <w:right w:val="none" w:sz="0" w:space="0" w:color="auto"/>
      </w:divBdr>
    </w:div>
    <w:div w:id="750470581">
      <w:bodyDiv w:val="1"/>
      <w:marLeft w:val="0"/>
      <w:marRight w:val="0"/>
      <w:marTop w:val="0"/>
      <w:marBottom w:val="0"/>
      <w:divBdr>
        <w:top w:val="none" w:sz="0" w:space="0" w:color="auto"/>
        <w:left w:val="none" w:sz="0" w:space="0" w:color="auto"/>
        <w:bottom w:val="none" w:sz="0" w:space="0" w:color="auto"/>
        <w:right w:val="none" w:sz="0" w:space="0" w:color="auto"/>
      </w:divBdr>
    </w:div>
    <w:div w:id="779489120">
      <w:bodyDiv w:val="1"/>
      <w:marLeft w:val="0"/>
      <w:marRight w:val="0"/>
      <w:marTop w:val="0"/>
      <w:marBottom w:val="0"/>
      <w:divBdr>
        <w:top w:val="none" w:sz="0" w:space="0" w:color="auto"/>
        <w:left w:val="none" w:sz="0" w:space="0" w:color="auto"/>
        <w:bottom w:val="none" w:sz="0" w:space="0" w:color="auto"/>
        <w:right w:val="none" w:sz="0" w:space="0" w:color="auto"/>
      </w:divBdr>
    </w:div>
    <w:div w:id="782310738">
      <w:bodyDiv w:val="1"/>
      <w:marLeft w:val="0"/>
      <w:marRight w:val="0"/>
      <w:marTop w:val="0"/>
      <w:marBottom w:val="0"/>
      <w:divBdr>
        <w:top w:val="none" w:sz="0" w:space="0" w:color="auto"/>
        <w:left w:val="none" w:sz="0" w:space="0" w:color="auto"/>
        <w:bottom w:val="none" w:sz="0" w:space="0" w:color="auto"/>
        <w:right w:val="none" w:sz="0" w:space="0" w:color="auto"/>
      </w:divBdr>
    </w:div>
    <w:div w:id="872571985">
      <w:bodyDiv w:val="1"/>
      <w:marLeft w:val="0"/>
      <w:marRight w:val="0"/>
      <w:marTop w:val="0"/>
      <w:marBottom w:val="0"/>
      <w:divBdr>
        <w:top w:val="none" w:sz="0" w:space="0" w:color="auto"/>
        <w:left w:val="none" w:sz="0" w:space="0" w:color="auto"/>
        <w:bottom w:val="none" w:sz="0" w:space="0" w:color="auto"/>
        <w:right w:val="none" w:sz="0" w:space="0" w:color="auto"/>
      </w:divBdr>
    </w:div>
    <w:div w:id="912198197">
      <w:bodyDiv w:val="1"/>
      <w:marLeft w:val="0"/>
      <w:marRight w:val="0"/>
      <w:marTop w:val="0"/>
      <w:marBottom w:val="0"/>
      <w:divBdr>
        <w:top w:val="none" w:sz="0" w:space="0" w:color="auto"/>
        <w:left w:val="none" w:sz="0" w:space="0" w:color="auto"/>
        <w:bottom w:val="none" w:sz="0" w:space="0" w:color="auto"/>
        <w:right w:val="none" w:sz="0" w:space="0" w:color="auto"/>
      </w:divBdr>
    </w:div>
    <w:div w:id="1051198088">
      <w:bodyDiv w:val="1"/>
      <w:marLeft w:val="0"/>
      <w:marRight w:val="0"/>
      <w:marTop w:val="0"/>
      <w:marBottom w:val="0"/>
      <w:divBdr>
        <w:top w:val="none" w:sz="0" w:space="0" w:color="auto"/>
        <w:left w:val="none" w:sz="0" w:space="0" w:color="auto"/>
        <w:bottom w:val="none" w:sz="0" w:space="0" w:color="auto"/>
        <w:right w:val="none" w:sz="0" w:space="0" w:color="auto"/>
      </w:divBdr>
    </w:div>
    <w:div w:id="1144002389">
      <w:bodyDiv w:val="1"/>
      <w:marLeft w:val="0"/>
      <w:marRight w:val="0"/>
      <w:marTop w:val="0"/>
      <w:marBottom w:val="0"/>
      <w:divBdr>
        <w:top w:val="none" w:sz="0" w:space="0" w:color="auto"/>
        <w:left w:val="none" w:sz="0" w:space="0" w:color="auto"/>
        <w:bottom w:val="none" w:sz="0" w:space="0" w:color="auto"/>
        <w:right w:val="none" w:sz="0" w:space="0" w:color="auto"/>
      </w:divBdr>
    </w:div>
    <w:div w:id="1242717449">
      <w:bodyDiv w:val="1"/>
      <w:marLeft w:val="0"/>
      <w:marRight w:val="0"/>
      <w:marTop w:val="0"/>
      <w:marBottom w:val="0"/>
      <w:divBdr>
        <w:top w:val="none" w:sz="0" w:space="0" w:color="auto"/>
        <w:left w:val="none" w:sz="0" w:space="0" w:color="auto"/>
        <w:bottom w:val="none" w:sz="0" w:space="0" w:color="auto"/>
        <w:right w:val="none" w:sz="0" w:space="0" w:color="auto"/>
      </w:divBdr>
    </w:div>
    <w:div w:id="1328174562">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549754644">
      <w:bodyDiv w:val="1"/>
      <w:marLeft w:val="0"/>
      <w:marRight w:val="0"/>
      <w:marTop w:val="0"/>
      <w:marBottom w:val="0"/>
      <w:divBdr>
        <w:top w:val="none" w:sz="0" w:space="0" w:color="auto"/>
        <w:left w:val="none" w:sz="0" w:space="0" w:color="auto"/>
        <w:bottom w:val="none" w:sz="0" w:space="0" w:color="auto"/>
        <w:right w:val="none" w:sz="0" w:space="0" w:color="auto"/>
      </w:divBdr>
    </w:div>
    <w:div w:id="1560480632">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604992870">
      <w:bodyDiv w:val="1"/>
      <w:marLeft w:val="0"/>
      <w:marRight w:val="0"/>
      <w:marTop w:val="0"/>
      <w:marBottom w:val="0"/>
      <w:divBdr>
        <w:top w:val="none" w:sz="0" w:space="0" w:color="auto"/>
        <w:left w:val="none" w:sz="0" w:space="0" w:color="auto"/>
        <w:bottom w:val="none" w:sz="0" w:space="0" w:color="auto"/>
        <w:right w:val="none" w:sz="0" w:space="0" w:color="auto"/>
      </w:divBdr>
    </w:div>
    <w:div w:id="1670668794">
      <w:bodyDiv w:val="1"/>
      <w:marLeft w:val="0"/>
      <w:marRight w:val="0"/>
      <w:marTop w:val="0"/>
      <w:marBottom w:val="0"/>
      <w:divBdr>
        <w:top w:val="none" w:sz="0" w:space="0" w:color="auto"/>
        <w:left w:val="none" w:sz="0" w:space="0" w:color="auto"/>
        <w:bottom w:val="none" w:sz="0" w:space="0" w:color="auto"/>
        <w:right w:val="none" w:sz="0" w:space="0" w:color="auto"/>
      </w:divBdr>
    </w:div>
    <w:div w:id="1676808923">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1877616098">
      <w:bodyDiv w:val="1"/>
      <w:marLeft w:val="0"/>
      <w:marRight w:val="0"/>
      <w:marTop w:val="0"/>
      <w:marBottom w:val="0"/>
      <w:divBdr>
        <w:top w:val="none" w:sz="0" w:space="0" w:color="auto"/>
        <w:left w:val="none" w:sz="0" w:space="0" w:color="auto"/>
        <w:bottom w:val="none" w:sz="0" w:space="0" w:color="auto"/>
        <w:right w:val="none" w:sz="0" w:space="0" w:color="auto"/>
      </w:divBdr>
    </w:div>
    <w:div w:id="1928272815">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 w:id="2038968804">
      <w:bodyDiv w:val="1"/>
      <w:marLeft w:val="0"/>
      <w:marRight w:val="0"/>
      <w:marTop w:val="0"/>
      <w:marBottom w:val="0"/>
      <w:divBdr>
        <w:top w:val="none" w:sz="0" w:space="0" w:color="auto"/>
        <w:left w:val="none" w:sz="0" w:space="0" w:color="auto"/>
        <w:bottom w:val="none" w:sz="0" w:space="0" w:color="auto"/>
        <w:right w:val="none" w:sz="0" w:space="0" w:color="auto"/>
      </w:divBdr>
    </w:div>
    <w:div w:id="206131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tp.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m@necsa.co.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m@necsa.co.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319403-5105-4df3-9285-0de9e44d55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BC5E40E0E2DC4EAD563EF41F43EA7A" ma:contentTypeVersion="43" ma:contentTypeDescription="Create a new document." ma:contentTypeScope="" ma:versionID="ce1f25486a2eca66f5a40ca5b670113d">
  <xsd:schema xmlns:xsd="http://www.w3.org/2001/XMLSchema" xmlns:xs="http://www.w3.org/2001/XMLSchema" xmlns:p="http://schemas.microsoft.com/office/2006/metadata/properties" xmlns:ns3="c013a355-3517-4f44-b0af-f97d8c6fb738" xmlns:ns4="441e6ce1-7d85-42d6-95f5-be6676fc333e" xmlns:ns5="5d319403-5105-4df3-9285-0de9e44d5535" targetNamespace="http://schemas.microsoft.com/office/2006/metadata/properties" ma:root="true" ma:fieldsID="edcd6a4baf36f4965dde91f5f62df7ad" ns3:_="" ns4:_="" ns5:_="">
    <xsd:import namespace="c013a355-3517-4f44-b0af-f97d8c6fb738"/>
    <xsd:import namespace="441e6ce1-7d85-42d6-95f5-be6676fc333e"/>
    <xsd:import namespace="5d319403-5105-4df3-9285-0de9e44d55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5:_activity" minOccurs="0"/>
                <xsd:element ref="ns5:MediaServiceOCR" minOccurs="0"/>
                <xsd:element ref="ns5:MediaServiceGenerationTime" minOccurs="0"/>
                <xsd:element ref="ns5:MediaServiceEventHashCode"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3a355-3517-4f44-b0af-f97d8c6fb7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6ce1-7d85-42d6-95f5-be6676fc33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319403-5105-4df3-9285-0de9e44d5535" elementFormDefault="qualified">
    <xsd:import namespace="http://schemas.microsoft.com/office/2006/documentManagement/types"/>
    <xsd:import namespace="http://schemas.microsoft.com/office/infopath/2007/PartnerControls"/>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C828-F8E4-4CC4-AFB2-464D6FB21FFE}">
  <ds:schemaRefs>
    <ds:schemaRef ds:uri="http://schemas.microsoft.com/office/2006/metadata/properties"/>
    <ds:schemaRef ds:uri="http://schemas.microsoft.com/office/infopath/2007/PartnerControls"/>
    <ds:schemaRef ds:uri="5d319403-5105-4df3-9285-0de9e44d5535"/>
  </ds:schemaRefs>
</ds:datastoreItem>
</file>

<file path=customXml/itemProps2.xml><?xml version="1.0" encoding="utf-8"?>
<ds:datastoreItem xmlns:ds="http://schemas.openxmlformats.org/officeDocument/2006/customXml" ds:itemID="{D76C15DA-5FFB-4682-825C-360005C2C54B}">
  <ds:schemaRefs>
    <ds:schemaRef ds:uri="http://schemas.microsoft.com/sharepoint/v3/contenttype/forms"/>
  </ds:schemaRefs>
</ds:datastoreItem>
</file>

<file path=customXml/itemProps3.xml><?xml version="1.0" encoding="utf-8"?>
<ds:datastoreItem xmlns:ds="http://schemas.openxmlformats.org/officeDocument/2006/customXml" ds:itemID="{36E9CBA3-E188-447B-852A-2E449B4B3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3a355-3517-4f44-b0af-f97d8c6fb738"/>
    <ds:schemaRef ds:uri="441e6ce1-7d85-42d6-95f5-be6676fc333e"/>
    <ds:schemaRef ds:uri="5d319403-5105-4df3-9285-0de9e44d5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6A660-555D-4682-9244-B4756975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Jacobus Douglas</dc:creator>
  <cp:lastModifiedBy>Buyani Nsibande</cp:lastModifiedBy>
  <cp:revision>5</cp:revision>
  <cp:lastPrinted>2025-04-22T11:05:00Z</cp:lastPrinted>
  <dcterms:created xsi:type="dcterms:W3CDTF">2025-04-25T10:32:00Z</dcterms:created>
  <dcterms:modified xsi:type="dcterms:W3CDTF">2025-05-06T13:31:00Z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-398514540</vt:i4>
  </property>
  <property fmtid="{D5CDD505-2E9C-101B-9397-08002B2CF9AE}" pid="4" name="_EmailSubject">
    <vt:lpwstr>SOW- SCADA.docx</vt:lpwstr>
  </property>
  <property fmtid="{D5CDD505-2E9C-101B-9397-08002B2CF9AE}" pid="5" name="_AuthorEmail">
    <vt:lpwstr>Merriam.Tleane@ntp.co.za</vt:lpwstr>
  </property>
  <property fmtid="{D5CDD505-2E9C-101B-9397-08002B2CF9AE}" pid="6" name="_AuthorEmailDisplayName">
    <vt:lpwstr>Merriam Mashamaite</vt:lpwstr>
  </property>
  <property fmtid="{D5CDD505-2E9C-101B-9397-08002B2CF9AE}" pid="7" name="_PreviousAdHocReviewCycleID">
    <vt:i4>-928699014</vt:i4>
  </property>
  <property fmtid="{D5CDD505-2E9C-101B-9397-08002B2CF9AE}" pid="8" name="ContentTypeId">
    <vt:lpwstr>0x0101007EBC5E40E0E2DC4EAD563EF41F43EA7A</vt:lpwstr>
  </property>
  <property fmtid="{D5CDD505-2E9C-101B-9397-08002B2CF9AE}" pid="9" name="_ReviewingToolsShownOnce">
    <vt:lpwstr/>
  </property>
</Properties>
</file>