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334DA" w:rsidRPr="00A919B1" w14:paraId="50BFEE67" w14:textId="77777777" w:rsidTr="00EC662F">
        <w:tc>
          <w:tcPr>
            <w:tcW w:w="3227" w:type="dxa"/>
          </w:tcPr>
          <w:p w14:paraId="73B4B333" w14:textId="77777777" w:rsidR="00F334DA" w:rsidRPr="00EB6A30" w:rsidRDefault="00F334DA" w:rsidP="00F334DA">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72337C7C" w:rsidR="00F334DA" w:rsidRPr="00336747" w:rsidRDefault="00123C2F" w:rsidP="00F334DA">
            <w:pPr>
              <w:spacing w:line="360" w:lineRule="auto"/>
              <w:jc w:val="both"/>
              <w:rPr>
                <w:rFonts w:ascii="Arial" w:hAnsi="Arial" w:cs="Arial"/>
                <w:sz w:val="20"/>
                <w:lang w:val="en-ZA"/>
              </w:rPr>
            </w:pPr>
            <w:r w:rsidRPr="00123C2F">
              <w:rPr>
                <w:rFonts w:ascii="Arial" w:hAnsi="Arial" w:cs="Arial"/>
                <w:sz w:val="20"/>
              </w:rPr>
              <w:t>Provision of Cyber Security Supply Chain Management</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53507F5" w:rsidR="00EB6A30" w:rsidRPr="00F0521B" w:rsidRDefault="00173F4F" w:rsidP="00EB03A4">
            <w:pPr>
              <w:spacing w:before="60" w:after="60" w:line="276" w:lineRule="auto"/>
              <w:jc w:val="both"/>
              <w:rPr>
                <w:rFonts w:ascii="Arial" w:hAnsi="Arial" w:cs="Arial"/>
                <w:sz w:val="20"/>
              </w:rPr>
            </w:pPr>
            <w:r>
              <w:rPr>
                <w:rFonts w:ascii="Arial" w:hAnsi="Arial" w:cs="Arial"/>
                <w:sz w:val="20"/>
              </w:rPr>
              <w:t>5</w:t>
            </w:r>
            <w:r w:rsidR="00D02E71">
              <w:rPr>
                <w:rFonts w:ascii="Arial" w:hAnsi="Arial" w:cs="Arial"/>
                <w:sz w:val="20"/>
              </w:rPr>
              <w:t xml:space="preserve"> 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8056C6">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shd w:val="clear" w:color="auto" w:fill="auto"/>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shd w:val="clear" w:color="auto" w:fill="auto"/>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shd w:val="clear" w:color="auto" w:fill="auto"/>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shd w:val="clear" w:color="auto" w:fill="auto"/>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shd w:val="clear" w:color="auto" w:fill="auto"/>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shd w:val="clear" w:color="auto" w:fill="auto"/>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shd w:val="clear" w:color="auto" w:fill="auto"/>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shd w:val="clear" w:color="auto" w:fill="auto"/>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shd w:val="clear" w:color="auto" w:fill="auto"/>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123C2F">
      <w:pPr>
        <w:spacing w:before="60" w:after="60" w:line="360" w:lineRule="auto"/>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123C2F">
      <w:pPr>
        <w:autoSpaceDE w:val="0"/>
        <w:autoSpaceDN w:val="0"/>
        <w:adjustRightInd w:val="0"/>
        <w:spacing w:line="360" w:lineRule="auto"/>
        <w:rPr>
          <w:rFonts w:ascii="Arial" w:hAnsi="Arial" w:cs="Arial"/>
          <w:b/>
        </w:rPr>
      </w:pPr>
      <w:r w:rsidRPr="000C379B">
        <w:rPr>
          <w:rFonts w:ascii="Arial" w:hAnsi="Arial" w:cs="Arial"/>
          <w:bCs/>
          <w:sz w:val="20"/>
          <w:lang w:val="en-ZA"/>
        </w:rPr>
        <w:t>award.</w:t>
      </w:r>
    </w:p>
    <w:p w14:paraId="326AE27E" w14:textId="285DE296" w:rsidR="00546E27" w:rsidRDefault="00546E27" w:rsidP="00546E27">
      <w:pPr>
        <w:autoSpaceDE w:val="0"/>
        <w:autoSpaceDN w:val="0"/>
        <w:adjustRightInd w:val="0"/>
        <w:rPr>
          <w:rFonts w:ascii="Arial" w:hAnsi="Arial" w:cs="Arial"/>
          <w:bCs/>
          <w:sz w:val="16"/>
          <w:szCs w:val="16"/>
        </w:rPr>
      </w:pPr>
    </w:p>
    <w:p w14:paraId="34CA644B" w14:textId="3670D017" w:rsidR="007E7D29" w:rsidRDefault="007E7D29"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123C2F" w:rsidRPr="000C5130" w14:paraId="61CC959F" w14:textId="77777777" w:rsidTr="00065BFD">
        <w:trPr>
          <w:trHeight w:val="2424"/>
        </w:trPr>
        <w:tc>
          <w:tcPr>
            <w:tcW w:w="9016" w:type="dxa"/>
            <w:shd w:val="clear" w:color="auto" w:fill="FFFFFF" w:themeFill="background1"/>
          </w:tcPr>
          <w:p w14:paraId="13936513" w14:textId="77777777" w:rsidR="00123C2F" w:rsidRPr="006105B5" w:rsidRDefault="00123C2F" w:rsidP="00123C2F">
            <w:pPr>
              <w:numPr>
                <w:ilvl w:val="0"/>
                <w:numId w:val="30"/>
              </w:numPr>
              <w:tabs>
                <w:tab w:val="left" w:pos="720"/>
              </w:tabs>
              <w:spacing w:line="360" w:lineRule="auto"/>
              <w:jc w:val="both"/>
              <w:rPr>
                <w:rFonts w:ascii="Arial" w:hAnsi="Arial" w:cs="Arial"/>
                <w:sz w:val="20"/>
              </w:rPr>
            </w:pPr>
            <w:r w:rsidRPr="00B11F74">
              <w:rPr>
                <w:rFonts w:ascii="Arial" w:hAnsi="Arial" w:cs="Arial"/>
                <w:b/>
                <w:sz w:val="22"/>
                <w:szCs w:val="22"/>
              </w:rPr>
              <w:t>Transformation – BBBEE Improvement or Retention Plan</w:t>
            </w:r>
            <w:r>
              <w:rPr>
                <w:rFonts w:ascii="Arial" w:hAnsi="Arial" w:cs="Arial"/>
                <w:b/>
                <w:sz w:val="20"/>
              </w:rPr>
              <w:t xml:space="preserve">: </w:t>
            </w:r>
          </w:p>
          <w:p w14:paraId="189948B2" w14:textId="77777777" w:rsidR="00123C2F" w:rsidRPr="00DD747B" w:rsidRDefault="00123C2F" w:rsidP="00123C2F">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4B869062" w14:textId="77777777" w:rsidR="00123C2F" w:rsidRPr="00DD747B" w:rsidRDefault="00123C2F" w:rsidP="00123C2F">
            <w:pPr>
              <w:pStyle w:val="ListParagraph"/>
              <w:spacing w:after="200" w:line="360" w:lineRule="auto"/>
              <w:ind w:left="0"/>
              <w:jc w:val="both"/>
              <w:rPr>
                <w:rFonts w:ascii="Arial" w:hAnsi="Arial" w:cs="Arial"/>
                <w:sz w:val="16"/>
                <w:szCs w:val="16"/>
              </w:rPr>
            </w:pPr>
          </w:p>
          <w:p w14:paraId="045DD087" w14:textId="77777777" w:rsidR="00123C2F" w:rsidRPr="00DD747B" w:rsidRDefault="00123C2F" w:rsidP="00123C2F">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E15851D" w14:textId="77777777" w:rsidR="00123C2F" w:rsidRPr="00DD747B" w:rsidRDefault="00123C2F" w:rsidP="00123C2F">
            <w:pPr>
              <w:pStyle w:val="ListParagraph"/>
              <w:spacing w:after="200" w:line="360" w:lineRule="auto"/>
              <w:ind w:left="0"/>
              <w:jc w:val="both"/>
              <w:rPr>
                <w:rFonts w:ascii="Arial" w:hAnsi="Arial" w:cs="Arial"/>
                <w:sz w:val="16"/>
                <w:szCs w:val="16"/>
              </w:rPr>
            </w:pPr>
          </w:p>
          <w:p w14:paraId="3AA07A9C" w14:textId="77777777" w:rsidR="00123C2F" w:rsidRPr="00DD747B" w:rsidRDefault="00123C2F" w:rsidP="00123C2F">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398C7AAE" w14:textId="77777777" w:rsidR="00123C2F" w:rsidRPr="00DD747B" w:rsidRDefault="00123C2F" w:rsidP="00123C2F">
            <w:pPr>
              <w:pStyle w:val="ListParagraph"/>
              <w:spacing w:after="200" w:line="360" w:lineRule="auto"/>
              <w:ind w:left="0"/>
              <w:jc w:val="both"/>
              <w:rPr>
                <w:rFonts w:ascii="Arial" w:hAnsi="Arial" w:cs="Arial"/>
                <w:sz w:val="16"/>
                <w:szCs w:val="16"/>
              </w:rPr>
            </w:pPr>
          </w:p>
          <w:p w14:paraId="5D4B2E0A" w14:textId="77777777" w:rsidR="00123C2F" w:rsidRPr="00DD747B" w:rsidRDefault="00123C2F" w:rsidP="00123C2F">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283224C1" w14:textId="77777777" w:rsidR="00123C2F" w:rsidRPr="00DD747B" w:rsidRDefault="00123C2F" w:rsidP="00123C2F">
            <w:pPr>
              <w:pStyle w:val="ListParagraph"/>
              <w:spacing w:after="200" w:line="360" w:lineRule="auto"/>
              <w:ind w:left="0"/>
              <w:jc w:val="both"/>
              <w:rPr>
                <w:rFonts w:ascii="Arial" w:hAnsi="Arial" w:cs="Arial"/>
                <w:sz w:val="16"/>
                <w:szCs w:val="16"/>
              </w:rPr>
            </w:pPr>
          </w:p>
          <w:p w14:paraId="26B8C1E7" w14:textId="77777777" w:rsidR="00123C2F" w:rsidRDefault="00123C2F" w:rsidP="00123C2F">
            <w:pPr>
              <w:tabs>
                <w:tab w:val="left" w:pos="720"/>
              </w:tabs>
              <w:spacing w:line="360" w:lineRule="auto"/>
              <w:ind w:left="36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r>
              <w:rPr>
                <w:rFonts w:ascii="Arial" w:hAnsi="Arial" w:cs="Arial"/>
                <w:sz w:val="20"/>
              </w:rPr>
              <w:t>and to submit the following documents as a condition for contract award:</w:t>
            </w:r>
          </w:p>
          <w:p w14:paraId="18F380D4" w14:textId="77777777" w:rsidR="00123C2F" w:rsidRPr="00B22D89" w:rsidRDefault="00123C2F" w:rsidP="00123C2F">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ownership / shareholding (preferably CIPC documentation) inclusive of shareholding breakdown</w:t>
            </w:r>
          </w:p>
          <w:p w14:paraId="50A20A8C" w14:textId="77777777" w:rsidR="00123C2F" w:rsidRPr="00B22D89" w:rsidRDefault="00123C2F" w:rsidP="00123C2F">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Certified ID copies of shareholder(s)</w:t>
            </w:r>
          </w:p>
          <w:p w14:paraId="737B8C46" w14:textId="77777777" w:rsidR="00123C2F" w:rsidRDefault="00123C2F" w:rsidP="00123C2F">
            <w:pPr>
              <w:tabs>
                <w:tab w:val="left" w:pos="720"/>
              </w:tabs>
              <w:spacing w:line="360" w:lineRule="auto"/>
              <w:ind w:left="720"/>
              <w:jc w:val="both"/>
              <w:rPr>
                <w:rFonts w:ascii="Arial" w:hAnsi="Arial" w:cs="Arial"/>
                <w:sz w:val="20"/>
              </w:rPr>
            </w:pPr>
            <w:r w:rsidRPr="00B22D89">
              <w:rPr>
                <w:rFonts w:ascii="Arial" w:hAnsi="Arial" w:cs="Arial"/>
                <w:sz w:val="20"/>
              </w:rPr>
              <w:t>•</w:t>
            </w:r>
            <w:r w:rsidRPr="00B22D89">
              <w:rPr>
                <w:rFonts w:ascii="Arial" w:hAnsi="Arial" w:cs="Arial"/>
                <w:sz w:val="20"/>
              </w:rPr>
              <w:tab/>
              <w:t>Proof of Disability (where applicable)</w:t>
            </w:r>
          </w:p>
          <w:p w14:paraId="65C15D74" w14:textId="77777777" w:rsidR="00123C2F" w:rsidRPr="00DD747B" w:rsidRDefault="00123C2F" w:rsidP="00123C2F">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 xml:space="preserve">A valid B-BBEE certificate or Sworn Affidavit is a condition for contract </w:t>
            </w:r>
            <w:proofErr w:type="gramStart"/>
            <w:r w:rsidRPr="00DD747B">
              <w:rPr>
                <w:rFonts w:ascii="Arial" w:hAnsi="Arial" w:cs="Arial"/>
                <w:sz w:val="20"/>
              </w:rPr>
              <w:t>award, if</w:t>
            </w:r>
            <w:proofErr w:type="gramEnd"/>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w:t>
            </w:r>
            <w:r w:rsidRPr="00DD747B">
              <w:rPr>
                <w:rFonts w:ascii="Arial" w:hAnsi="Arial" w:cs="Arial"/>
                <w:sz w:val="20"/>
              </w:rPr>
              <w:lastRenderedPageBreak/>
              <w:t>your sector unless an entity is at least 51% Black owned you are required to obtain a Sworn affidavit. If your Annual Total Revenue is above R50m you need to submit a Valid B-BBEE certificate</w:t>
            </w:r>
          </w:p>
          <w:p w14:paraId="462B0714" w14:textId="77777777" w:rsidR="00123C2F" w:rsidRPr="00CF781D" w:rsidRDefault="00123C2F" w:rsidP="00123C2F">
            <w:pPr>
              <w:tabs>
                <w:tab w:val="left" w:pos="720"/>
              </w:tabs>
              <w:spacing w:line="276" w:lineRule="auto"/>
              <w:ind w:left="360"/>
              <w:jc w:val="both"/>
              <w:rPr>
                <w:rFonts w:ascii="Arial" w:hAnsi="Arial" w:cs="Arial"/>
                <w:b/>
                <w:sz w:val="20"/>
              </w:rPr>
            </w:pPr>
          </w:p>
          <w:p w14:paraId="7BBB5F3B" w14:textId="77777777" w:rsidR="00123C2F" w:rsidRPr="00D86CD2" w:rsidRDefault="00123C2F" w:rsidP="00123C2F">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5E4159E3" w14:textId="77777777" w:rsidR="00123C2F" w:rsidRDefault="00123C2F" w:rsidP="00123C2F">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0C223242" w14:textId="77777777" w:rsidR="00123C2F" w:rsidRDefault="00123C2F" w:rsidP="00123C2F">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16EECAD2" w14:textId="77777777" w:rsidR="00123C2F" w:rsidRDefault="00123C2F" w:rsidP="00123C2F">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123C2F" w14:paraId="6E1F1386" w14:textId="77777777" w:rsidTr="006872C1">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61E7A0A5" w14:textId="77777777" w:rsidR="00123C2F" w:rsidRDefault="00123C2F" w:rsidP="00123C2F">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0E0AC94A" w14:textId="77777777" w:rsidR="00123C2F" w:rsidRDefault="00123C2F" w:rsidP="00123C2F">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4ED8CC36" w14:textId="77777777" w:rsidR="00123C2F" w:rsidRDefault="00123C2F" w:rsidP="00123C2F">
                  <w:pPr>
                    <w:spacing w:line="276" w:lineRule="auto"/>
                    <w:jc w:val="center"/>
                    <w:rPr>
                      <w:rFonts w:ascii="Arial" w:hAnsi="Arial" w:cs="Arial"/>
                      <w:b/>
                      <w:sz w:val="20"/>
                    </w:rPr>
                  </w:pPr>
                  <w:r>
                    <w:rPr>
                      <w:rFonts w:ascii="Arial" w:hAnsi="Arial" w:cs="Arial"/>
                      <w:b/>
                      <w:sz w:val="20"/>
                    </w:rPr>
                    <w:t>Tenderer Proposal</w:t>
                  </w:r>
                </w:p>
              </w:tc>
            </w:tr>
            <w:tr w:rsidR="00123C2F" w14:paraId="6E62ED25" w14:textId="77777777" w:rsidTr="006872C1">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93CE8B3" w14:textId="77777777" w:rsidR="00123C2F" w:rsidRDefault="00123C2F" w:rsidP="00123C2F">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70B7FFF4" w14:textId="77777777" w:rsidR="00123C2F" w:rsidRPr="007D4E0A" w:rsidRDefault="00123C2F" w:rsidP="00123C2F">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DE3272E" w14:textId="77777777" w:rsidR="00123C2F" w:rsidRPr="007D4E0A" w:rsidRDefault="00123C2F" w:rsidP="00123C2F">
                  <w:pPr>
                    <w:spacing w:line="276" w:lineRule="auto"/>
                    <w:jc w:val="both"/>
                    <w:rPr>
                      <w:rFonts w:ascii="Arial" w:hAnsi="Arial" w:cs="Arial"/>
                      <w:sz w:val="20"/>
                    </w:rPr>
                  </w:pPr>
                </w:p>
              </w:tc>
            </w:tr>
          </w:tbl>
          <w:p w14:paraId="643091AF" w14:textId="77777777" w:rsidR="00123C2F" w:rsidRDefault="00123C2F" w:rsidP="00123C2F">
            <w:pPr>
              <w:tabs>
                <w:tab w:val="left" w:pos="720"/>
              </w:tabs>
              <w:spacing w:line="360" w:lineRule="auto"/>
              <w:ind w:left="360"/>
              <w:jc w:val="both"/>
              <w:rPr>
                <w:rFonts w:ascii="Arial" w:hAnsi="Arial" w:cs="Arial"/>
                <w:b/>
                <w:sz w:val="20"/>
                <w:lang w:val="en-ZA"/>
              </w:rPr>
            </w:pPr>
          </w:p>
          <w:p w14:paraId="3651E07C" w14:textId="77777777" w:rsidR="00123C2F" w:rsidRPr="00D479A6" w:rsidRDefault="00123C2F" w:rsidP="00123C2F">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 xml:space="preserve">Procurement </w:t>
            </w:r>
            <w:proofErr w:type="gramStart"/>
            <w:r>
              <w:rPr>
                <w:rFonts w:ascii="Arial" w:hAnsi="Arial" w:cs="Arial"/>
                <w:b/>
                <w:sz w:val="20"/>
                <w:lang w:val="en-ZA"/>
              </w:rPr>
              <w:t>spend</w:t>
            </w:r>
            <w:proofErr w:type="gramEnd"/>
            <w:r>
              <w:rPr>
                <w:rFonts w:ascii="Arial" w:hAnsi="Arial" w:cs="Arial"/>
                <w:b/>
                <w:sz w:val="20"/>
                <w:lang w:val="en-ZA"/>
              </w:rPr>
              <w:t xml:space="preserve"> on</w:t>
            </w:r>
            <w:r w:rsidRPr="00E01CA7">
              <w:rPr>
                <w:rFonts w:ascii="Arial" w:hAnsi="Arial" w:cs="Arial"/>
                <w:b/>
                <w:sz w:val="20"/>
              </w:rPr>
              <w:t xml:space="preserve"> entities with a minimum 51% black ownership</w:t>
            </w:r>
          </w:p>
          <w:p w14:paraId="7E1DBCD3" w14:textId="77777777" w:rsidR="00123C2F" w:rsidRPr="00A500C7" w:rsidRDefault="00123C2F" w:rsidP="00123C2F">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55E1EB4E" w14:textId="77777777" w:rsidR="00123C2F" w:rsidRPr="00A500C7" w:rsidRDefault="00123C2F" w:rsidP="00123C2F">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570CE487" w14:textId="77777777" w:rsidR="00123C2F" w:rsidRPr="00A500C7" w:rsidRDefault="00123C2F" w:rsidP="00123C2F">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24A7FD0A" w14:textId="77777777" w:rsidR="00123C2F" w:rsidRDefault="00123C2F" w:rsidP="00123C2F">
            <w:pPr>
              <w:tabs>
                <w:tab w:val="left" w:pos="720"/>
              </w:tabs>
              <w:spacing w:line="360" w:lineRule="auto"/>
              <w:ind w:left="360"/>
              <w:jc w:val="both"/>
              <w:rPr>
                <w:rFonts w:ascii="Arial" w:hAnsi="Arial" w:cs="Arial"/>
                <w:sz w:val="20"/>
                <w:lang w:val="en-ZA"/>
              </w:rPr>
            </w:pPr>
          </w:p>
          <w:p w14:paraId="5BA334FC" w14:textId="77777777" w:rsidR="00123C2F" w:rsidRDefault="00123C2F" w:rsidP="00123C2F">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F3484E9" w14:textId="77777777" w:rsidR="00123C2F" w:rsidRDefault="00123C2F" w:rsidP="00123C2F">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123C2F" w:rsidRPr="000C5130" w14:paraId="17A84FDE" w14:textId="77777777" w:rsidTr="006872C1">
              <w:trPr>
                <w:trHeight w:val="364"/>
              </w:trPr>
              <w:tc>
                <w:tcPr>
                  <w:tcW w:w="3291" w:type="dxa"/>
                  <w:shd w:val="clear" w:color="auto" w:fill="D9D9D9" w:themeFill="background1" w:themeFillShade="D9"/>
                </w:tcPr>
                <w:p w14:paraId="3CDB9E8F" w14:textId="77777777" w:rsidR="00123C2F" w:rsidRPr="000C5130" w:rsidRDefault="00123C2F" w:rsidP="00123C2F">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505EAB77" w14:textId="77777777" w:rsidR="00123C2F" w:rsidRPr="000C5130" w:rsidRDefault="00123C2F" w:rsidP="00123C2F">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5AE4D410" w14:textId="77777777" w:rsidR="00123C2F" w:rsidRPr="000C5130" w:rsidRDefault="00123C2F" w:rsidP="00123C2F">
                  <w:pPr>
                    <w:tabs>
                      <w:tab w:val="left" w:pos="720"/>
                    </w:tabs>
                    <w:jc w:val="center"/>
                    <w:rPr>
                      <w:rFonts w:ascii="Arial" w:hAnsi="Arial" w:cs="Arial"/>
                      <w:b/>
                      <w:sz w:val="20"/>
                    </w:rPr>
                  </w:pPr>
                  <w:r w:rsidRPr="000C5130">
                    <w:rPr>
                      <w:rFonts w:ascii="Arial" w:hAnsi="Arial" w:cs="Arial"/>
                      <w:b/>
                      <w:sz w:val="20"/>
                    </w:rPr>
                    <w:t>Tenderer Proposal</w:t>
                  </w:r>
                </w:p>
              </w:tc>
            </w:tr>
            <w:tr w:rsidR="00123C2F" w:rsidRPr="000C5130" w14:paraId="4CB4DC2F" w14:textId="77777777" w:rsidTr="006872C1">
              <w:trPr>
                <w:trHeight w:val="427"/>
              </w:trPr>
              <w:tc>
                <w:tcPr>
                  <w:tcW w:w="3291" w:type="dxa"/>
                  <w:shd w:val="clear" w:color="auto" w:fill="auto"/>
                </w:tcPr>
                <w:p w14:paraId="2F0CBA43" w14:textId="77777777" w:rsidR="00123C2F" w:rsidRPr="000C5130" w:rsidRDefault="00123C2F" w:rsidP="00123C2F">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1652622D" w14:textId="77777777" w:rsidR="00123C2F" w:rsidRPr="000C5130" w:rsidRDefault="00123C2F" w:rsidP="00123C2F">
                  <w:pPr>
                    <w:tabs>
                      <w:tab w:val="left" w:pos="720"/>
                    </w:tabs>
                    <w:jc w:val="center"/>
                    <w:rPr>
                      <w:rFonts w:ascii="Arial" w:hAnsi="Arial" w:cs="Arial"/>
                      <w:sz w:val="20"/>
                    </w:rPr>
                  </w:pPr>
                  <w:r>
                    <w:rPr>
                      <w:rFonts w:ascii="Arial" w:hAnsi="Arial" w:cs="Arial"/>
                      <w:sz w:val="20"/>
                    </w:rPr>
                    <w:t>5.0%</w:t>
                  </w:r>
                </w:p>
              </w:tc>
              <w:tc>
                <w:tcPr>
                  <w:tcW w:w="2120" w:type="dxa"/>
                  <w:shd w:val="clear" w:color="auto" w:fill="auto"/>
                </w:tcPr>
                <w:p w14:paraId="718D16E9" w14:textId="77777777" w:rsidR="00123C2F" w:rsidRPr="000C5130" w:rsidRDefault="00123C2F" w:rsidP="00123C2F">
                  <w:pPr>
                    <w:tabs>
                      <w:tab w:val="left" w:pos="720"/>
                    </w:tabs>
                    <w:jc w:val="both"/>
                    <w:rPr>
                      <w:rFonts w:ascii="Arial" w:hAnsi="Arial" w:cs="Arial"/>
                      <w:sz w:val="20"/>
                    </w:rPr>
                  </w:pPr>
                </w:p>
              </w:tc>
            </w:tr>
            <w:tr w:rsidR="00123C2F" w:rsidRPr="000C5130" w14:paraId="0FC029E8" w14:textId="77777777" w:rsidTr="006872C1">
              <w:trPr>
                <w:trHeight w:val="427"/>
              </w:trPr>
              <w:tc>
                <w:tcPr>
                  <w:tcW w:w="3291" w:type="dxa"/>
                  <w:shd w:val="clear" w:color="auto" w:fill="auto"/>
                </w:tcPr>
                <w:p w14:paraId="516FD482" w14:textId="77777777" w:rsidR="00123C2F" w:rsidRDefault="00123C2F" w:rsidP="00123C2F">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4A386C79" w14:textId="77777777" w:rsidR="00123C2F" w:rsidRPr="000C5130" w:rsidRDefault="00123C2F" w:rsidP="00123C2F">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71A63159" w14:textId="77777777" w:rsidR="00123C2F" w:rsidRPr="000C5130" w:rsidRDefault="00123C2F" w:rsidP="00123C2F">
                  <w:pPr>
                    <w:tabs>
                      <w:tab w:val="left" w:pos="720"/>
                    </w:tabs>
                    <w:jc w:val="both"/>
                    <w:rPr>
                      <w:rFonts w:ascii="Arial" w:hAnsi="Arial" w:cs="Arial"/>
                      <w:sz w:val="20"/>
                    </w:rPr>
                  </w:pPr>
                </w:p>
              </w:tc>
            </w:tr>
            <w:tr w:rsidR="00123C2F" w:rsidRPr="000C5130" w14:paraId="0B84F2EA" w14:textId="77777777" w:rsidTr="006872C1">
              <w:trPr>
                <w:trHeight w:val="427"/>
              </w:trPr>
              <w:tc>
                <w:tcPr>
                  <w:tcW w:w="3291" w:type="dxa"/>
                  <w:shd w:val="clear" w:color="auto" w:fill="auto"/>
                </w:tcPr>
                <w:p w14:paraId="5A146573" w14:textId="77777777" w:rsidR="00123C2F" w:rsidRDefault="00123C2F" w:rsidP="00123C2F">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5B84C125" w14:textId="77777777" w:rsidR="00123C2F" w:rsidRPr="000C5130" w:rsidRDefault="00123C2F" w:rsidP="00123C2F">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0EF29684" w14:textId="77777777" w:rsidR="00123C2F" w:rsidRPr="000C5130" w:rsidRDefault="00123C2F" w:rsidP="00123C2F">
                  <w:pPr>
                    <w:tabs>
                      <w:tab w:val="left" w:pos="720"/>
                    </w:tabs>
                    <w:jc w:val="both"/>
                    <w:rPr>
                      <w:rFonts w:ascii="Arial" w:hAnsi="Arial" w:cs="Arial"/>
                      <w:sz w:val="20"/>
                    </w:rPr>
                  </w:pPr>
                </w:p>
              </w:tc>
            </w:tr>
            <w:tr w:rsidR="00123C2F" w:rsidRPr="000C5130" w14:paraId="7C560266" w14:textId="77777777" w:rsidTr="006872C1">
              <w:trPr>
                <w:trHeight w:val="427"/>
              </w:trPr>
              <w:tc>
                <w:tcPr>
                  <w:tcW w:w="3291" w:type="dxa"/>
                  <w:shd w:val="clear" w:color="auto" w:fill="auto"/>
                </w:tcPr>
                <w:p w14:paraId="0667ADE3" w14:textId="77777777" w:rsidR="00123C2F" w:rsidRDefault="00123C2F" w:rsidP="00123C2F">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52869DC1" w14:textId="77777777" w:rsidR="00123C2F" w:rsidRPr="000C5130" w:rsidRDefault="00123C2F" w:rsidP="00123C2F">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115EC91C" w14:textId="77777777" w:rsidR="00123C2F" w:rsidRPr="000C5130" w:rsidRDefault="00123C2F" w:rsidP="00123C2F">
                  <w:pPr>
                    <w:tabs>
                      <w:tab w:val="left" w:pos="720"/>
                    </w:tabs>
                    <w:jc w:val="both"/>
                    <w:rPr>
                      <w:rFonts w:ascii="Arial" w:hAnsi="Arial" w:cs="Arial"/>
                      <w:sz w:val="20"/>
                    </w:rPr>
                  </w:pPr>
                </w:p>
              </w:tc>
            </w:tr>
          </w:tbl>
          <w:p w14:paraId="0AA6EAFC" w14:textId="77777777" w:rsidR="00123C2F" w:rsidRPr="00861BE0" w:rsidRDefault="00123C2F" w:rsidP="00123C2F">
            <w:pPr>
              <w:tabs>
                <w:tab w:val="left" w:pos="720"/>
              </w:tabs>
              <w:spacing w:line="276" w:lineRule="auto"/>
              <w:jc w:val="both"/>
              <w:rPr>
                <w:rFonts w:ascii="Arial" w:hAnsi="Arial" w:cs="Arial"/>
                <w:sz w:val="20"/>
                <w:lang w:val="en-ZA"/>
              </w:rPr>
            </w:pPr>
          </w:p>
          <w:p w14:paraId="409176A0" w14:textId="77777777" w:rsidR="00123C2F" w:rsidRDefault="00123C2F" w:rsidP="00123C2F">
            <w:pPr>
              <w:tabs>
                <w:tab w:val="left" w:pos="720"/>
              </w:tabs>
              <w:spacing w:line="360" w:lineRule="auto"/>
              <w:ind w:left="360"/>
              <w:jc w:val="both"/>
              <w:rPr>
                <w:rFonts w:ascii="Arial" w:hAnsi="Arial" w:cs="Arial"/>
                <w:b/>
                <w:sz w:val="20"/>
                <w:lang w:val="en-ZA"/>
              </w:rPr>
            </w:pPr>
          </w:p>
          <w:p w14:paraId="2780B0FE" w14:textId="77777777" w:rsidR="00123C2F" w:rsidRDefault="00123C2F" w:rsidP="00123C2F">
            <w:pPr>
              <w:tabs>
                <w:tab w:val="left" w:pos="720"/>
              </w:tabs>
              <w:spacing w:line="360" w:lineRule="auto"/>
              <w:ind w:left="360"/>
              <w:jc w:val="both"/>
              <w:rPr>
                <w:rFonts w:ascii="Arial" w:hAnsi="Arial" w:cs="Arial"/>
                <w:b/>
                <w:sz w:val="20"/>
                <w:lang w:val="en-ZA"/>
              </w:rPr>
            </w:pPr>
          </w:p>
          <w:p w14:paraId="0F12C416" w14:textId="77777777" w:rsidR="00123C2F" w:rsidRPr="00A63536" w:rsidRDefault="00123C2F" w:rsidP="00123C2F">
            <w:pPr>
              <w:numPr>
                <w:ilvl w:val="0"/>
                <w:numId w:val="30"/>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5DF9423A" w14:textId="189BE47D" w:rsidR="00123C2F" w:rsidRDefault="00123C2F" w:rsidP="00123C2F">
            <w:pPr>
              <w:tabs>
                <w:tab w:val="left" w:pos="720"/>
              </w:tabs>
              <w:spacing w:line="360" w:lineRule="auto"/>
              <w:ind w:left="360"/>
              <w:jc w:val="both"/>
              <w:rPr>
                <w:rFonts w:ascii="Arial" w:hAnsi="Arial" w:cs="Arial"/>
                <w:b/>
                <w:sz w:val="20"/>
                <w:lang w:val="en-ZA"/>
              </w:rPr>
            </w:pPr>
          </w:p>
          <w:p w14:paraId="2F994DC0" w14:textId="77777777" w:rsidR="00123C2F" w:rsidRPr="00FA31B2" w:rsidRDefault="00123C2F" w:rsidP="00123C2F">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123C2F" w:rsidRPr="000C5130" w14:paraId="71E2B4E3" w14:textId="77777777" w:rsidTr="006872C1">
              <w:trPr>
                <w:trHeight w:val="341"/>
              </w:trPr>
              <w:tc>
                <w:tcPr>
                  <w:tcW w:w="3676" w:type="dxa"/>
                  <w:shd w:val="clear" w:color="auto" w:fill="D9D9D9" w:themeFill="background1" w:themeFillShade="D9"/>
                </w:tcPr>
                <w:p w14:paraId="3E6E9ACA" w14:textId="77777777" w:rsidR="00123C2F" w:rsidRPr="000C5130" w:rsidRDefault="00123C2F" w:rsidP="00123C2F">
                  <w:pPr>
                    <w:tabs>
                      <w:tab w:val="left" w:pos="720"/>
                    </w:tabs>
                    <w:spacing w:line="276" w:lineRule="auto"/>
                    <w:jc w:val="center"/>
                    <w:rPr>
                      <w:rFonts w:ascii="Arial" w:hAnsi="Arial" w:cs="Arial"/>
                      <w:b/>
                      <w:sz w:val="20"/>
                    </w:rPr>
                  </w:pPr>
                  <w:r>
                    <w:rPr>
                      <w:rFonts w:ascii="Arial" w:hAnsi="Arial" w:cs="Arial"/>
                      <w:b/>
                      <w:sz w:val="20"/>
                    </w:rPr>
                    <w:lastRenderedPageBreak/>
                    <w:t>Type</w:t>
                  </w:r>
                  <w:r w:rsidRPr="000C5130">
                    <w:rPr>
                      <w:rFonts w:ascii="Arial" w:hAnsi="Arial" w:cs="Arial"/>
                      <w:b/>
                      <w:sz w:val="20"/>
                    </w:rPr>
                    <w:t xml:space="preserve"> of Jobs to be created</w:t>
                  </w:r>
                </w:p>
              </w:tc>
              <w:tc>
                <w:tcPr>
                  <w:tcW w:w="3676" w:type="dxa"/>
                  <w:shd w:val="clear" w:color="auto" w:fill="D9D9D9" w:themeFill="background1" w:themeFillShade="D9"/>
                </w:tcPr>
                <w:p w14:paraId="34350A8E" w14:textId="77777777" w:rsidR="00123C2F" w:rsidRPr="000C5130" w:rsidRDefault="00123C2F" w:rsidP="00123C2F">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123C2F" w:rsidRPr="000C5130" w14:paraId="674A6D64" w14:textId="77777777" w:rsidTr="006872C1">
              <w:trPr>
                <w:trHeight w:val="359"/>
              </w:trPr>
              <w:tc>
                <w:tcPr>
                  <w:tcW w:w="3676" w:type="dxa"/>
                  <w:shd w:val="clear" w:color="auto" w:fill="auto"/>
                </w:tcPr>
                <w:p w14:paraId="2142575C" w14:textId="77777777" w:rsidR="00123C2F" w:rsidRPr="000C5130" w:rsidRDefault="00123C2F" w:rsidP="00123C2F">
                  <w:pPr>
                    <w:tabs>
                      <w:tab w:val="left" w:pos="720"/>
                    </w:tabs>
                    <w:spacing w:line="276" w:lineRule="auto"/>
                    <w:jc w:val="both"/>
                    <w:rPr>
                      <w:rFonts w:ascii="Arial" w:hAnsi="Arial" w:cs="Arial"/>
                      <w:sz w:val="20"/>
                    </w:rPr>
                  </w:pPr>
                </w:p>
              </w:tc>
              <w:tc>
                <w:tcPr>
                  <w:tcW w:w="3676" w:type="dxa"/>
                  <w:shd w:val="clear" w:color="auto" w:fill="auto"/>
                </w:tcPr>
                <w:p w14:paraId="091E37AC" w14:textId="77777777" w:rsidR="00123C2F" w:rsidRPr="000C5130" w:rsidRDefault="00123C2F" w:rsidP="00123C2F">
                  <w:pPr>
                    <w:tabs>
                      <w:tab w:val="left" w:pos="720"/>
                    </w:tabs>
                    <w:spacing w:line="276" w:lineRule="auto"/>
                    <w:jc w:val="both"/>
                    <w:rPr>
                      <w:rFonts w:ascii="Arial" w:hAnsi="Arial" w:cs="Arial"/>
                      <w:sz w:val="20"/>
                    </w:rPr>
                  </w:pPr>
                </w:p>
              </w:tc>
            </w:tr>
          </w:tbl>
          <w:p w14:paraId="2D53801A" w14:textId="77777777" w:rsidR="00123C2F" w:rsidRDefault="00123C2F" w:rsidP="00123C2F">
            <w:pPr>
              <w:tabs>
                <w:tab w:val="left" w:pos="720"/>
              </w:tabs>
              <w:spacing w:line="360" w:lineRule="auto"/>
              <w:ind w:left="360"/>
              <w:jc w:val="both"/>
              <w:rPr>
                <w:rFonts w:ascii="Arial" w:hAnsi="Arial" w:cs="Arial"/>
                <w:b/>
                <w:sz w:val="20"/>
                <w:lang w:val="en-ZA"/>
              </w:rPr>
            </w:pPr>
          </w:p>
          <w:p w14:paraId="77663910" w14:textId="77777777" w:rsidR="00123C2F" w:rsidRPr="006E4F88" w:rsidRDefault="00123C2F" w:rsidP="00123C2F">
            <w:pPr>
              <w:tabs>
                <w:tab w:val="left" w:pos="720"/>
              </w:tabs>
              <w:spacing w:line="360" w:lineRule="auto"/>
              <w:ind w:left="360"/>
              <w:jc w:val="both"/>
              <w:rPr>
                <w:rFonts w:ascii="Arial" w:hAnsi="Arial" w:cs="Arial"/>
                <w:b/>
                <w:sz w:val="20"/>
                <w:lang w:val="en-ZA"/>
              </w:rPr>
            </w:pPr>
          </w:p>
          <w:p w14:paraId="27A80FED" w14:textId="77777777" w:rsidR="00123C2F" w:rsidRDefault="00123C2F" w:rsidP="00123C2F">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123C2F" w:rsidRPr="000C5130" w14:paraId="6C04EEB5" w14:textId="77777777" w:rsidTr="006872C1">
              <w:trPr>
                <w:trHeight w:val="287"/>
              </w:trPr>
              <w:tc>
                <w:tcPr>
                  <w:tcW w:w="3694" w:type="dxa"/>
                  <w:shd w:val="clear" w:color="auto" w:fill="D9D9D9" w:themeFill="background1" w:themeFillShade="D9"/>
                </w:tcPr>
                <w:p w14:paraId="7577CD56" w14:textId="77777777" w:rsidR="00123C2F" w:rsidRPr="000C5130" w:rsidRDefault="00123C2F" w:rsidP="00123C2F">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100D5F12" w14:textId="77777777" w:rsidR="00123C2F" w:rsidRPr="000C5130" w:rsidRDefault="00123C2F" w:rsidP="00123C2F">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123C2F" w:rsidRPr="000C5130" w14:paraId="014A77D6" w14:textId="77777777" w:rsidTr="006872C1">
              <w:trPr>
                <w:trHeight w:val="302"/>
              </w:trPr>
              <w:tc>
                <w:tcPr>
                  <w:tcW w:w="3694" w:type="dxa"/>
                  <w:shd w:val="clear" w:color="auto" w:fill="auto"/>
                </w:tcPr>
                <w:p w14:paraId="1446864D" w14:textId="77777777" w:rsidR="00123C2F" w:rsidRPr="000C5130" w:rsidRDefault="00123C2F" w:rsidP="00123C2F">
                  <w:pPr>
                    <w:tabs>
                      <w:tab w:val="left" w:pos="720"/>
                    </w:tabs>
                    <w:spacing w:line="276" w:lineRule="auto"/>
                    <w:jc w:val="both"/>
                    <w:rPr>
                      <w:rFonts w:ascii="Arial" w:hAnsi="Arial" w:cs="Arial"/>
                      <w:sz w:val="20"/>
                    </w:rPr>
                  </w:pPr>
                </w:p>
              </w:tc>
              <w:tc>
                <w:tcPr>
                  <w:tcW w:w="3694" w:type="dxa"/>
                  <w:shd w:val="clear" w:color="auto" w:fill="auto"/>
                </w:tcPr>
                <w:p w14:paraId="709AE4DA" w14:textId="77777777" w:rsidR="00123C2F" w:rsidRPr="000C5130" w:rsidRDefault="00123C2F" w:rsidP="00123C2F">
                  <w:pPr>
                    <w:tabs>
                      <w:tab w:val="left" w:pos="720"/>
                    </w:tabs>
                    <w:spacing w:line="276" w:lineRule="auto"/>
                    <w:jc w:val="both"/>
                    <w:rPr>
                      <w:rFonts w:ascii="Arial" w:hAnsi="Arial" w:cs="Arial"/>
                      <w:sz w:val="20"/>
                    </w:rPr>
                  </w:pPr>
                </w:p>
              </w:tc>
            </w:tr>
          </w:tbl>
          <w:p w14:paraId="20E3EAF1" w14:textId="77777777" w:rsidR="00123C2F" w:rsidRDefault="00123C2F" w:rsidP="00123C2F">
            <w:pPr>
              <w:pStyle w:val="ListParagraph"/>
              <w:rPr>
                <w:rFonts w:ascii="Arial" w:hAnsi="Arial" w:cs="Arial"/>
                <w:b/>
                <w:sz w:val="20"/>
                <w:lang w:val="en-ZA"/>
              </w:rPr>
            </w:pPr>
          </w:p>
          <w:p w14:paraId="62B8DABE" w14:textId="77777777" w:rsidR="00123C2F" w:rsidRDefault="00123C2F" w:rsidP="00123C2F">
            <w:pPr>
              <w:pStyle w:val="ListParagraph"/>
              <w:rPr>
                <w:rFonts w:ascii="Arial" w:hAnsi="Arial" w:cs="Arial"/>
                <w:b/>
                <w:sz w:val="20"/>
                <w:lang w:val="en-ZA"/>
              </w:rPr>
            </w:pPr>
          </w:p>
          <w:p w14:paraId="68ACA365" w14:textId="77777777" w:rsidR="00123C2F" w:rsidRDefault="00123C2F" w:rsidP="00123C2F">
            <w:pPr>
              <w:pStyle w:val="ListParagraph"/>
              <w:rPr>
                <w:rFonts w:ascii="Arial" w:hAnsi="Arial" w:cs="Arial"/>
                <w:b/>
                <w:sz w:val="20"/>
                <w:lang w:val="en-ZA"/>
              </w:rPr>
            </w:pPr>
          </w:p>
          <w:p w14:paraId="42053F4B" w14:textId="77777777" w:rsidR="00123C2F" w:rsidRDefault="00123C2F" w:rsidP="00123C2F">
            <w:pPr>
              <w:tabs>
                <w:tab w:val="left" w:pos="720"/>
              </w:tabs>
              <w:spacing w:line="276" w:lineRule="auto"/>
              <w:ind w:left="360"/>
              <w:jc w:val="both"/>
              <w:rPr>
                <w:rFonts w:ascii="Arial" w:hAnsi="Arial" w:cs="Arial"/>
                <w:b/>
                <w:sz w:val="20"/>
                <w:lang w:val="en-ZA"/>
              </w:rPr>
            </w:pPr>
          </w:p>
          <w:p w14:paraId="5E5A05C6" w14:textId="77777777" w:rsidR="00123C2F" w:rsidRPr="006E4F88" w:rsidRDefault="00123C2F" w:rsidP="00123C2F">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3E9C5B7D" w14:textId="77777777" w:rsidR="00123C2F" w:rsidRDefault="00123C2F" w:rsidP="00123C2F">
            <w:pPr>
              <w:tabs>
                <w:tab w:val="left" w:pos="720"/>
              </w:tabs>
              <w:jc w:val="both"/>
              <w:rPr>
                <w:rFonts w:ascii="Arial" w:hAnsi="Arial" w:cs="Arial"/>
                <w:sz w:val="20"/>
              </w:rPr>
            </w:pPr>
          </w:p>
          <w:p w14:paraId="0F6EAD18" w14:textId="77777777" w:rsidR="00123C2F" w:rsidRPr="007328B8" w:rsidRDefault="00123C2F" w:rsidP="00123C2F">
            <w:pPr>
              <w:spacing w:after="200" w:line="360" w:lineRule="auto"/>
              <w:ind w:left="360"/>
              <w:contextualSpacing/>
              <w:jc w:val="both"/>
              <w:rPr>
                <w:rFonts w:ascii="Arial" w:hAnsi="Arial" w:cs="Arial"/>
                <w:sz w:val="20"/>
              </w:rPr>
            </w:pPr>
            <w:r w:rsidRPr="007328B8">
              <w:rPr>
                <w:rFonts w:ascii="Arial" w:hAnsi="Arial" w:cs="Arial"/>
                <w:sz w:val="20"/>
              </w:rPr>
              <w:t xml:space="preserve">Tenderers are required to submit proposals in a table below for developing the skills of unemployed candidates in the country. Skills development is intended to address Eskom’s core, scarce and critical skills and the </w:t>
            </w:r>
            <w:proofErr w:type="spellStart"/>
            <w:r w:rsidRPr="007328B8">
              <w:rPr>
                <w:rFonts w:ascii="Arial" w:hAnsi="Arial" w:cs="Arial"/>
                <w:sz w:val="20"/>
              </w:rPr>
              <w:t>Mict</w:t>
            </w:r>
            <w:proofErr w:type="spellEnd"/>
            <w:r w:rsidRPr="007328B8">
              <w:rPr>
                <w:rFonts w:ascii="Arial" w:hAnsi="Arial" w:cs="Arial"/>
                <w:sz w:val="20"/>
              </w:rPr>
              <w:t xml:space="preserve"> SETA scarce and critical skills.  These skills are also included in a 2020 list of occupations in high demand as stipulated in the Government Gazette 43937.   Candidates shall be from all provinces in the country, and their composition shall be representative of the population demographics of South Africa</w:t>
            </w:r>
          </w:p>
          <w:p w14:paraId="23F32DAA" w14:textId="77777777" w:rsidR="00123C2F" w:rsidRDefault="00123C2F" w:rsidP="00123C2F">
            <w:pPr>
              <w:spacing w:after="200" w:line="360" w:lineRule="auto"/>
              <w:ind w:left="360"/>
              <w:contextualSpacing/>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123C2F" w:rsidRPr="000C5130" w14:paraId="2A0BDB4B" w14:textId="77777777" w:rsidTr="006872C1">
              <w:trPr>
                <w:trHeight w:val="359"/>
              </w:trPr>
              <w:tc>
                <w:tcPr>
                  <w:tcW w:w="3668" w:type="dxa"/>
                  <w:shd w:val="clear" w:color="auto" w:fill="D9D9D9" w:themeFill="background1" w:themeFillShade="D9"/>
                </w:tcPr>
                <w:p w14:paraId="432B9239" w14:textId="77777777" w:rsidR="00123C2F" w:rsidRPr="000C5130" w:rsidRDefault="00123C2F" w:rsidP="00123C2F">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799568C6" w14:textId="77777777" w:rsidR="00123C2F" w:rsidRDefault="00123C2F" w:rsidP="00123C2F">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73E16C7D" w14:textId="77777777" w:rsidR="00123C2F" w:rsidRPr="000C5130" w:rsidRDefault="00123C2F" w:rsidP="00123C2F">
                  <w:pPr>
                    <w:tabs>
                      <w:tab w:val="left" w:pos="720"/>
                    </w:tabs>
                    <w:jc w:val="center"/>
                    <w:rPr>
                      <w:rFonts w:ascii="Arial" w:hAnsi="Arial" w:cs="Arial"/>
                      <w:b/>
                      <w:sz w:val="20"/>
                    </w:rPr>
                  </w:pPr>
                  <w:r>
                    <w:rPr>
                      <w:rFonts w:ascii="Arial" w:hAnsi="Arial" w:cs="Arial"/>
                      <w:b/>
                      <w:sz w:val="20"/>
                    </w:rPr>
                    <w:t>Proposed Number of Candidates</w:t>
                  </w:r>
                </w:p>
              </w:tc>
            </w:tr>
            <w:tr w:rsidR="00123C2F" w:rsidRPr="000C5130" w14:paraId="78A7EF98" w14:textId="77777777" w:rsidTr="006872C1">
              <w:trPr>
                <w:trHeight w:val="359"/>
              </w:trPr>
              <w:tc>
                <w:tcPr>
                  <w:tcW w:w="3668" w:type="dxa"/>
                  <w:shd w:val="clear" w:color="auto" w:fill="auto"/>
                  <w:vAlign w:val="bottom"/>
                </w:tcPr>
                <w:p w14:paraId="23E884AB" w14:textId="77777777" w:rsidR="00123C2F" w:rsidRDefault="00123C2F" w:rsidP="00123C2F">
                  <w:pPr>
                    <w:spacing w:line="276" w:lineRule="auto"/>
                    <w:rPr>
                      <w:rFonts w:ascii="Arial" w:hAnsi="Arial" w:cs="Arial"/>
                      <w:sz w:val="20"/>
                    </w:rPr>
                  </w:pPr>
                  <w:r>
                    <w:rPr>
                      <w:rFonts w:ascii="Arial" w:hAnsi="Arial" w:cs="Arial"/>
                      <w:sz w:val="20"/>
                    </w:rPr>
                    <w:t>Microsoft Certified cybersecurity architect</w:t>
                  </w:r>
                </w:p>
              </w:tc>
              <w:tc>
                <w:tcPr>
                  <w:tcW w:w="1674" w:type="dxa"/>
                </w:tcPr>
                <w:p w14:paraId="2A366558" w14:textId="77777777" w:rsidR="00123C2F" w:rsidRDefault="00123C2F" w:rsidP="00123C2F">
                  <w:pPr>
                    <w:jc w:val="center"/>
                    <w:rPr>
                      <w:rFonts w:ascii="Arial" w:hAnsi="Arial" w:cs="Arial"/>
                      <w:sz w:val="20"/>
                    </w:rPr>
                  </w:pPr>
                  <w:r>
                    <w:rPr>
                      <w:rFonts w:ascii="Arial" w:hAnsi="Arial" w:cs="Arial"/>
                      <w:sz w:val="20"/>
                    </w:rPr>
                    <w:t>2</w:t>
                  </w:r>
                </w:p>
              </w:tc>
              <w:tc>
                <w:tcPr>
                  <w:tcW w:w="1984" w:type="dxa"/>
                </w:tcPr>
                <w:p w14:paraId="03DAB6EA" w14:textId="77777777" w:rsidR="00123C2F" w:rsidRPr="008A3FC8" w:rsidRDefault="00123C2F" w:rsidP="00123C2F">
                  <w:pPr>
                    <w:tabs>
                      <w:tab w:val="left" w:pos="720"/>
                    </w:tabs>
                    <w:jc w:val="center"/>
                    <w:rPr>
                      <w:rFonts w:ascii="Arial" w:hAnsi="Arial" w:cs="Arial"/>
                      <w:b/>
                      <w:sz w:val="20"/>
                    </w:rPr>
                  </w:pPr>
                </w:p>
              </w:tc>
            </w:tr>
            <w:tr w:rsidR="00123C2F" w:rsidRPr="000C5130" w14:paraId="513DBD65" w14:textId="77777777" w:rsidTr="006872C1">
              <w:trPr>
                <w:trHeight w:val="359"/>
              </w:trPr>
              <w:tc>
                <w:tcPr>
                  <w:tcW w:w="3668" w:type="dxa"/>
                  <w:shd w:val="clear" w:color="auto" w:fill="auto"/>
                  <w:vAlign w:val="bottom"/>
                </w:tcPr>
                <w:p w14:paraId="5D9F8A16" w14:textId="77777777" w:rsidR="00123C2F" w:rsidRDefault="00123C2F" w:rsidP="00123C2F">
                  <w:pPr>
                    <w:spacing w:line="276" w:lineRule="auto"/>
                    <w:rPr>
                      <w:rFonts w:ascii="Arial" w:hAnsi="Arial" w:cs="Arial"/>
                      <w:sz w:val="20"/>
                    </w:rPr>
                  </w:pPr>
                  <w:r>
                    <w:rPr>
                      <w:rFonts w:ascii="Arial" w:hAnsi="Arial" w:cs="Arial"/>
                      <w:sz w:val="20"/>
                    </w:rPr>
                    <w:t>CompTIA Security+</w:t>
                  </w:r>
                </w:p>
              </w:tc>
              <w:tc>
                <w:tcPr>
                  <w:tcW w:w="1674" w:type="dxa"/>
                </w:tcPr>
                <w:p w14:paraId="4C814F2C" w14:textId="77777777" w:rsidR="00123C2F" w:rsidRDefault="00123C2F" w:rsidP="00123C2F">
                  <w:pPr>
                    <w:jc w:val="center"/>
                    <w:rPr>
                      <w:rFonts w:ascii="Arial" w:hAnsi="Arial" w:cs="Arial"/>
                      <w:sz w:val="20"/>
                    </w:rPr>
                  </w:pPr>
                  <w:r>
                    <w:rPr>
                      <w:rFonts w:ascii="Arial" w:hAnsi="Arial" w:cs="Arial"/>
                      <w:sz w:val="20"/>
                    </w:rPr>
                    <w:t>2</w:t>
                  </w:r>
                </w:p>
              </w:tc>
              <w:tc>
                <w:tcPr>
                  <w:tcW w:w="1984" w:type="dxa"/>
                </w:tcPr>
                <w:p w14:paraId="17C73B61" w14:textId="77777777" w:rsidR="00123C2F" w:rsidRPr="008A3FC8" w:rsidRDefault="00123C2F" w:rsidP="00123C2F">
                  <w:pPr>
                    <w:tabs>
                      <w:tab w:val="left" w:pos="720"/>
                    </w:tabs>
                    <w:jc w:val="center"/>
                    <w:rPr>
                      <w:rFonts w:ascii="Arial" w:hAnsi="Arial" w:cs="Arial"/>
                      <w:b/>
                      <w:sz w:val="20"/>
                    </w:rPr>
                  </w:pPr>
                </w:p>
              </w:tc>
            </w:tr>
          </w:tbl>
          <w:p w14:paraId="4897BEA2" w14:textId="77777777" w:rsidR="00123C2F" w:rsidRPr="007328B8" w:rsidRDefault="00123C2F" w:rsidP="00123C2F">
            <w:pPr>
              <w:spacing w:after="200" w:line="360" w:lineRule="auto"/>
              <w:ind w:left="360"/>
              <w:contextualSpacing/>
              <w:jc w:val="both"/>
              <w:rPr>
                <w:rFonts w:ascii="Arial" w:hAnsi="Arial" w:cs="Arial"/>
                <w:sz w:val="20"/>
                <w:lang w:val="en-ZA"/>
              </w:rPr>
            </w:pPr>
          </w:p>
          <w:p w14:paraId="007918C2" w14:textId="77777777" w:rsidR="00123C2F" w:rsidRDefault="00123C2F" w:rsidP="00123C2F">
            <w:pPr>
              <w:spacing w:after="200" w:line="360" w:lineRule="auto"/>
              <w:ind w:left="360"/>
              <w:contextualSpacing/>
              <w:jc w:val="both"/>
              <w:rPr>
                <w:rFonts w:ascii="Arial" w:hAnsi="Arial" w:cs="Arial"/>
                <w:sz w:val="20"/>
                <w:lang w:val="en-ZA"/>
              </w:rPr>
            </w:pPr>
          </w:p>
          <w:p w14:paraId="40B77E07" w14:textId="77777777" w:rsidR="00123C2F" w:rsidRPr="007328B8" w:rsidRDefault="00123C2F" w:rsidP="00123C2F">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5A6AAB2F" w14:textId="77777777" w:rsidR="00123C2F" w:rsidRPr="007328B8" w:rsidRDefault="00123C2F" w:rsidP="00123C2F">
            <w:pPr>
              <w:spacing w:after="200" w:line="360" w:lineRule="auto"/>
              <w:ind w:left="360"/>
              <w:contextualSpacing/>
              <w:jc w:val="both"/>
              <w:rPr>
                <w:rFonts w:ascii="Arial" w:hAnsi="Arial" w:cs="Arial"/>
                <w:sz w:val="20"/>
                <w:lang w:val="en-ZA"/>
              </w:rPr>
            </w:pPr>
          </w:p>
          <w:p w14:paraId="71443C5C" w14:textId="49360ACE" w:rsidR="00123C2F" w:rsidRPr="000C5130" w:rsidRDefault="00123C2F" w:rsidP="00123C2F">
            <w:pPr>
              <w:spacing w:after="200" w:line="360" w:lineRule="auto"/>
              <w:ind w:left="360"/>
              <w:contextualSpacing/>
              <w:jc w:val="both"/>
              <w:rPr>
                <w:rFonts w:ascii="Arial" w:hAnsi="Arial" w:cs="Arial"/>
                <w:sz w:val="20"/>
              </w:rPr>
            </w:pPr>
            <w:r w:rsidRPr="007328B8">
              <w:rPr>
                <w:rFonts w:ascii="Arial" w:hAnsi="Arial" w:cs="Arial"/>
                <w:sz w:val="20"/>
                <w:lang w:val="en-ZA"/>
              </w:rPr>
              <w:t xml:space="preserve">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w:t>
            </w:r>
            <w:proofErr w:type="gramStart"/>
            <w:r w:rsidRPr="007328B8">
              <w:rPr>
                <w:rFonts w:ascii="Arial" w:hAnsi="Arial" w:cs="Arial"/>
                <w:sz w:val="20"/>
                <w:lang w:val="en-ZA"/>
              </w:rPr>
              <w:t>subsidies</w:t>
            </w:r>
            <w:proofErr w:type="gramEnd"/>
            <w:r w:rsidRPr="007328B8">
              <w:rPr>
                <w:rFonts w:ascii="Arial" w:hAnsi="Arial" w:cs="Arial"/>
                <w:sz w:val="20"/>
                <w:lang w:val="en-ZA"/>
              </w:rPr>
              <w:t xml:space="preserve">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14951245" w14:textId="34E94846"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1C6B54">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lastRenderedPageBreak/>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77777777" w:rsidR="00F76156" w:rsidRDefault="00F76156" w:rsidP="00C7656D">
      <w:pPr>
        <w:spacing w:after="200" w:line="276" w:lineRule="auto"/>
        <w:rPr>
          <w:rFonts w:ascii="Arial" w:hAnsi="Arial" w:cs="Arial"/>
          <w:b/>
          <w:sz w:val="22"/>
        </w:rPr>
      </w:pPr>
    </w:p>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34BE0035" w14:textId="77777777" w:rsidR="006E5E06" w:rsidRPr="006E5E06" w:rsidRDefault="006E5E06" w:rsidP="00443DC8">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443DC8">
        <w:tc>
          <w:tcPr>
            <w:tcW w:w="13740" w:type="dxa"/>
          </w:tcPr>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222" w:type="dxa"/>
          </w:tcPr>
          <w:p w14:paraId="3137E81A" w14:textId="77777777" w:rsidR="00637D14" w:rsidRDefault="00637D14" w:rsidP="00637D14">
            <w:pPr>
              <w:tabs>
                <w:tab w:val="left" w:pos="720"/>
              </w:tabs>
              <w:jc w:val="both"/>
              <w:rPr>
                <w:rFonts w:ascii="Arial" w:hAnsi="Arial" w:cs="Arial"/>
                <w:sz w:val="20"/>
              </w:rPr>
            </w:pPr>
          </w:p>
        </w:tc>
        <w:tc>
          <w:tcPr>
            <w:tcW w:w="222"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1A86FEC1" w14:textId="77777777" w:rsidTr="00443DC8">
        <w:tc>
          <w:tcPr>
            <w:tcW w:w="13740" w:type="dxa"/>
          </w:tcPr>
          <w:p w14:paraId="6C4BC943" w14:textId="4AB92BF7" w:rsidR="00637D14" w:rsidRPr="00AC3774" w:rsidRDefault="00637D14" w:rsidP="006E4F88">
            <w:pPr>
              <w:tabs>
                <w:tab w:val="left" w:pos="720"/>
              </w:tabs>
              <w:jc w:val="both"/>
              <w:rPr>
                <w:rFonts w:ascii="Arial" w:hAnsi="Arial" w:cs="Arial"/>
                <w:sz w:val="20"/>
              </w:rPr>
            </w:pPr>
          </w:p>
        </w:tc>
        <w:tc>
          <w:tcPr>
            <w:tcW w:w="222" w:type="dxa"/>
          </w:tcPr>
          <w:p w14:paraId="3275055A" w14:textId="77777777" w:rsidR="00637D14" w:rsidRPr="00AC3774" w:rsidRDefault="00637D14" w:rsidP="00750B4A">
            <w:pPr>
              <w:tabs>
                <w:tab w:val="left" w:pos="720"/>
              </w:tabs>
              <w:jc w:val="both"/>
              <w:rPr>
                <w:rFonts w:ascii="Arial" w:hAnsi="Arial" w:cs="Arial"/>
                <w:sz w:val="20"/>
              </w:rPr>
            </w:pPr>
          </w:p>
        </w:tc>
        <w:tc>
          <w:tcPr>
            <w:tcW w:w="222" w:type="dxa"/>
          </w:tcPr>
          <w:p w14:paraId="4E5B2AD5"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443DC8">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0E96" w14:textId="77777777" w:rsidR="009048DE" w:rsidRDefault="009048DE" w:rsidP="00201A98">
      <w:r>
        <w:separator/>
      </w:r>
    </w:p>
  </w:endnote>
  <w:endnote w:type="continuationSeparator" w:id="0">
    <w:p w14:paraId="60C831B7" w14:textId="77777777" w:rsidR="009048DE" w:rsidRDefault="009048DE"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2B15C" w14:textId="77777777" w:rsidR="009048DE" w:rsidRDefault="009048DE" w:rsidP="00201A98">
      <w:r>
        <w:separator/>
      </w:r>
    </w:p>
  </w:footnote>
  <w:footnote w:type="continuationSeparator" w:id="0">
    <w:p w14:paraId="5760C474" w14:textId="77777777" w:rsidR="009048DE" w:rsidRDefault="009048DE"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58637063"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shd w:val="clear" w:color="auto" w:fill="auto"/>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shd w:val="clear" w:color="auto" w:fill="auto"/>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3230B"/>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23C2F"/>
    <w:rsid w:val="00140917"/>
    <w:rsid w:val="001477A3"/>
    <w:rsid w:val="00151F81"/>
    <w:rsid w:val="001521AD"/>
    <w:rsid w:val="00154240"/>
    <w:rsid w:val="00155040"/>
    <w:rsid w:val="00155248"/>
    <w:rsid w:val="001645BF"/>
    <w:rsid w:val="00173BE4"/>
    <w:rsid w:val="00173F4F"/>
    <w:rsid w:val="00175644"/>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3CF5"/>
    <w:rsid w:val="001E4F28"/>
    <w:rsid w:val="001E64BB"/>
    <w:rsid w:val="00201A98"/>
    <w:rsid w:val="00203FB8"/>
    <w:rsid w:val="002319CA"/>
    <w:rsid w:val="002341C9"/>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7514"/>
    <w:rsid w:val="002E453E"/>
    <w:rsid w:val="002E7887"/>
    <w:rsid w:val="002F4F5C"/>
    <w:rsid w:val="00304117"/>
    <w:rsid w:val="003113D9"/>
    <w:rsid w:val="003127C7"/>
    <w:rsid w:val="00317372"/>
    <w:rsid w:val="00324D94"/>
    <w:rsid w:val="0032593D"/>
    <w:rsid w:val="00325D2C"/>
    <w:rsid w:val="003307B9"/>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43DC8"/>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013E"/>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602047"/>
    <w:rsid w:val="0060324A"/>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61BE3"/>
    <w:rsid w:val="007644B6"/>
    <w:rsid w:val="00766FB1"/>
    <w:rsid w:val="00766FE5"/>
    <w:rsid w:val="00784A54"/>
    <w:rsid w:val="00785295"/>
    <w:rsid w:val="00791C9C"/>
    <w:rsid w:val="0079769C"/>
    <w:rsid w:val="007A6DC8"/>
    <w:rsid w:val="007A6F13"/>
    <w:rsid w:val="007B57E6"/>
    <w:rsid w:val="007C0A56"/>
    <w:rsid w:val="007D4E0A"/>
    <w:rsid w:val="007D5975"/>
    <w:rsid w:val="007E0CE5"/>
    <w:rsid w:val="007E7D29"/>
    <w:rsid w:val="007F15E3"/>
    <w:rsid w:val="007F4C9F"/>
    <w:rsid w:val="008056C6"/>
    <w:rsid w:val="00810BAA"/>
    <w:rsid w:val="00821626"/>
    <w:rsid w:val="00825B67"/>
    <w:rsid w:val="008326AE"/>
    <w:rsid w:val="00844D86"/>
    <w:rsid w:val="0084573D"/>
    <w:rsid w:val="00845A4B"/>
    <w:rsid w:val="00846D12"/>
    <w:rsid w:val="0085043F"/>
    <w:rsid w:val="008525C7"/>
    <w:rsid w:val="00854874"/>
    <w:rsid w:val="00860294"/>
    <w:rsid w:val="00860C12"/>
    <w:rsid w:val="00861AE9"/>
    <w:rsid w:val="00861BE0"/>
    <w:rsid w:val="008723E9"/>
    <w:rsid w:val="00874A63"/>
    <w:rsid w:val="0088072F"/>
    <w:rsid w:val="00880865"/>
    <w:rsid w:val="0088295E"/>
    <w:rsid w:val="00886564"/>
    <w:rsid w:val="008910C0"/>
    <w:rsid w:val="00893563"/>
    <w:rsid w:val="0089392A"/>
    <w:rsid w:val="00894E42"/>
    <w:rsid w:val="008951A9"/>
    <w:rsid w:val="0089757B"/>
    <w:rsid w:val="008A3FC8"/>
    <w:rsid w:val="008A66CD"/>
    <w:rsid w:val="008B5871"/>
    <w:rsid w:val="008C01CF"/>
    <w:rsid w:val="008C0E9E"/>
    <w:rsid w:val="008F57DD"/>
    <w:rsid w:val="008F5BEC"/>
    <w:rsid w:val="009017B9"/>
    <w:rsid w:val="00903604"/>
    <w:rsid w:val="009048DE"/>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91CB3"/>
    <w:rsid w:val="00AA16F4"/>
    <w:rsid w:val="00AA403D"/>
    <w:rsid w:val="00AB4D3B"/>
    <w:rsid w:val="00AB64E3"/>
    <w:rsid w:val="00AB650A"/>
    <w:rsid w:val="00AC21FB"/>
    <w:rsid w:val="00AC3774"/>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512B"/>
    <w:rsid w:val="00D21895"/>
    <w:rsid w:val="00D2565A"/>
    <w:rsid w:val="00D32E5C"/>
    <w:rsid w:val="00D3660F"/>
    <w:rsid w:val="00D415A5"/>
    <w:rsid w:val="00D45AEE"/>
    <w:rsid w:val="00D479A6"/>
    <w:rsid w:val="00D5588B"/>
    <w:rsid w:val="00D60523"/>
    <w:rsid w:val="00D71719"/>
    <w:rsid w:val="00D73F08"/>
    <w:rsid w:val="00D754CB"/>
    <w:rsid w:val="00D817F7"/>
    <w:rsid w:val="00D86CD2"/>
    <w:rsid w:val="00DA1B06"/>
    <w:rsid w:val="00DA3954"/>
    <w:rsid w:val="00DB22F3"/>
    <w:rsid w:val="00DB6A92"/>
    <w:rsid w:val="00DC3353"/>
    <w:rsid w:val="00DC6795"/>
    <w:rsid w:val="00DD5408"/>
    <w:rsid w:val="00DD7B12"/>
    <w:rsid w:val="00DE2368"/>
    <w:rsid w:val="00DF400D"/>
    <w:rsid w:val="00DF46B0"/>
    <w:rsid w:val="00E112C5"/>
    <w:rsid w:val="00E2355B"/>
    <w:rsid w:val="00E238C2"/>
    <w:rsid w:val="00E26D9A"/>
    <w:rsid w:val="00E35EB0"/>
    <w:rsid w:val="00E3774F"/>
    <w:rsid w:val="00E500CF"/>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2F4B"/>
    <w:rsid w:val="00F16AC6"/>
    <w:rsid w:val="00F22D6B"/>
    <w:rsid w:val="00F300A7"/>
    <w:rsid w:val="00F316E0"/>
    <w:rsid w:val="00F3247D"/>
    <w:rsid w:val="00F334DA"/>
    <w:rsid w:val="00F337F6"/>
    <w:rsid w:val="00F43E37"/>
    <w:rsid w:val="00F45833"/>
    <w:rsid w:val="00F45C3E"/>
    <w:rsid w:val="00F53FC5"/>
    <w:rsid w:val="00F64443"/>
    <w:rsid w:val="00F73FDF"/>
    <w:rsid w:val="00F76156"/>
    <w:rsid w:val="00F819D3"/>
    <w:rsid w:val="00F92697"/>
    <w:rsid w:val="00F9323F"/>
    <w:rsid w:val="00F9702A"/>
    <w:rsid w:val="00FA106A"/>
    <w:rsid w:val="00FA1238"/>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Rojane Qacha</cp:lastModifiedBy>
  <cp:revision>2</cp:revision>
  <cp:lastPrinted>2023-01-25T15:41:00Z</cp:lastPrinted>
  <dcterms:created xsi:type="dcterms:W3CDTF">2023-10-12T15:31:00Z</dcterms:created>
  <dcterms:modified xsi:type="dcterms:W3CDTF">2023-10-12T15:31:00Z</dcterms:modified>
</cp:coreProperties>
</file>