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B68D0" w14:textId="1B40C5B0" w:rsidR="00C32CF3" w:rsidRDefault="00C32CF3" w:rsidP="00EB6A30">
      <w:pPr>
        <w:spacing w:line="276" w:lineRule="auto"/>
        <w:rPr>
          <w:rFonts w:ascii="Arial" w:hAnsi="Arial" w:cs="Arial"/>
          <w:sz w:val="16"/>
          <w:szCs w:val="16"/>
        </w:rPr>
      </w:pPr>
    </w:p>
    <w:tbl>
      <w:tblPr>
        <w:tblStyle w:val="TableGrid"/>
        <w:tblW w:w="9479" w:type="dxa"/>
        <w:tblLook w:val="04A0" w:firstRow="1" w:lastRow="0" w:firstColumn="1" w:lastColumn="0" w:noHBand="0" w:noVBand="1"/>
      </w:tblPr>
      <w:tblGrid>
        <w:gridCol w:w="3114"/>
        <w:gridCol w:w="6365"/>
      </w:tblGrid>
      <w:tr w:rsidR="00C32CF3" w:rsidRPr="00A919B1" w14:paraId="4821F69E" w14:textId="77777777" w:rsidTr="00FB2154">
        <w:trPr>
          <w:trHeight w:val="424"/>
        </w:trPr>
        <w:tc>
          <w:tcPr>
            <w:tcW w:w="3114" w:type="dxa"/>
          </w:tcPr>
          <w:p w14:paraId="56879E16" w14:textId="77777777" w:rsidR="00C32CF3" w:rsidRPr="00EB6A30" w:rsidRDefault="00C32CF3" w:rsidP="00FB2154">
            <w:pPr>
              <w:spacing w:before="60" w:after="60" w:line="276" w:lineRule="auto"/>
              <w:rPr>
                <w:rFonts w:ascii="Arial" w:hAnsi="Arial" w:cs="Arial"/>
                <w:b/>
                <w:sz w:val="22"/>
              </w:rPr>
            </w:pPr>
            <w:r w:rsidRPr="00EB6A30">
              <w:rPr>
                <w:rFonts w:ascii="Arial" w:hAnsi="Arial" w:cs="Arial"/>
                <w:b/>
                <w:sz w:val="22"/>
              </w:rPr>
              <w:t>Business Unit</w:t>
            </w:r>
          </w:p>
        </w:tc>
        <w:tc>
          <w:tcPr>
            <w:tcW w:w="6365" w:type="dxa"/>
          </w:tcPr>
          <w:p w14:paraId="2BC88EFB" w14:textId="77EA3E03" w:rsidR="00C32CF3" w:rsidRPr="00F0521B" w:rsidRDefault="00B0017D" w:rsidP="00FB2154">
            <w:pPr>
              <w:spacing w:before="60" w:after="60" w:line="276" w:lineRule="auto"/>
              <w:jc w:val="both"/>
              <w:rPr>
                <w:rFonts w:ascii="Arial" w:hAnsi="Arial" w:cs="Arial"/>
                <w:sz w:val="20"/>
              </w:rPr>
            </w:pPr>
            <w:r>
              <w:rPr>
                <w:rFonts w:ascii="Arial" w:hAnsi="Arial" w:cs="Arial"/>
                <w:sz w:val="20"/>
              </w:rPr>
              <w:t xml:space="preserve">Mpumalanga OU within the </w:t>
            </w:r>
            <w:r w:rsidR="00C32CF3">
              <w:rPr>
                <w:rFonts w:ascii="Arial" w:hAnsi="Arial" w:cs="Arial"/>
                <w:sz w:val="20"/>
              </w:rPr>
              <w:t>Limlanga Cluster</w:t>
            </w:r>
          </w:p>
        </w:tc>
      </w:tr>
      <w:tr w:rsidR="00AC41CE" w:rsidRPr="00A919B1" w14:paraId="02D48018" w14:textId="77777777" w:rsidTr="00DC2C61">
        <w:trPr>
          <w:trHeight w:val="418"/>
        </w:trPr>
        <w:tc>
          <w:tcPr>
            <w:tcW w:w="3114" w:type="dxa"/>
          </w:tcPr>
          <w:p w14:paraId="59FEF785" w14:textId="77777777" w:rsidR="00AC41CE" w:rsidRPr="00EB6A30" w:rsidRDefault="00AC41CE" w:rsidP="00AC41CE">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shd w:val="clear" w:color="auto" w:fill="auto"/>
          </w:tcPr>
          <w:p w14:paraId="256A8747" w14:textId="5BF57EB3" w:rsidR="00AC41CE" w:rsidRPr="009A2AE9" w:rsidRDefault="009A2AE9" w:rsidP="00AC41CE">
            <w:pPr>
              <w:spacing w:line="360" w:lineRule="auto"/>
              <w:jc w:val="both"/>
              <w:rPr>
                <w:rFonts w:ascii="Arial" w:hAnsi="Arial" w:cs="Arial"/>
                <w:sz w:val="20"/>
              </w:rPr>
            </w:pPr>
            <w:r w:rsidRPr="009A2AE9">
              <w:rPr>
                <w:rFonts w:ascii="Arial" w:hAnsi="Arial" w:cs="Arial"/>
                <w:sz w:val="20"/>
                <w:lang w:val="en-GB"/>
              </w:rPr>
              <w:t>Supply and delivery of 25kg granular and 20L liquid weed killers within Mpumalanga OU on an “as and when” required basis</w:t>
            </w:r>
          </w:p>
        </w:tc>
      </w:tr>
      <w:tr w:rsidR="00AC41CE" w:rsidRPr="00A919B1" w14:paraId="2C9CD6A7" w14:textId="77777777" w:rsidTr="00DC2C61">
        <w:trPr>
          <w:trHeight w:val="424"/>
        </w:trPr>
        <w:tc>
          <w:tcPr>
            <w:tcW w:w="3114" w:type="dxa"/>
          </w:tcPr>
          <w:p w14:paraId="2D42CF45" w14:textId="77777777" w:rsidR="00AC41CE" w:rsidRPr="00EB6A30" w:rsidRDefault="00AC41CE" w:rsidP="00AC41CE">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shd w:val="clear" w:color="auto" w:fill="auto"/>
          </w:tcPr>
          <w:p w14:paraId="77164688" w14:textId="165CBF41" w:rsidR="00AC41CE" w:rsidRPr="00F0521B" w:rsidRDefault="00AC41CE" w:rsidP="00AC41CE">
            <w:pPr>
              <w:spacing w:before="60" w:after="60" w:line="276" w:lineRule="auto"/>
              <w:jc w:val="both"/>
              <w:rPr>
                <w:rFonts w:ascii="Arial" w:hAnsi="Arial" w:cs="Arial"/>
                <w:sz w:val="20"/>
              </w:rPr>
            </w:pPr>
            <w:r>
              <w:rPr>
                <w:rFonts w:ascii="Arial" w:hAnsi="Arial" w:cs="Arial"/>
                <w:sz w:val="20"/>
              </w:rPr>
              <w:t>60 months</w:t>
            </w:r>
          </w:p>
        </w:tc>
      </w:tr>
      <w:tr w:rsidR="00AC41CE" w:rsidRPr="00A919B1" w14:paraId="15E2DFFC" w14:textId="77777777" w:rsidTr="00FB2154">
        <w:trPr>
          <w:trHeight w:val="424"/>
        </w:trPr>
        <w:tc>
          <w:tcPr>
            <w:tcW w:w="3114" w:type="dxa"/>
          </w:tcPr>
          <w:p w14:paraId="77BCF5F1" w14:textId="77777777" w:rsidR="00AC41CE" w:rsidRPr="003D78F9" w:rsidRDefault="00AC41CE" w:rsidP="00AC41CE">
            <w:pPr>
              <w:spacing w:before="60" w:after="60" w:line="276" w:lineRule="auto"/>
              <w:rPr>
                <w:rFonts w:ascii="Arial" w:hAnsi="Arial" w:cs="Arial"/>
                <w:b/>
                <w:sz w:val="22"/>
              </w:rPr>
            </w:pPr>
            <w:r w:rsidRPr="003D78F9">
              <w:rPr>
                <w:rFonts w:ascii="Arial" w:hAnsi="Arial" w:cs="Arial"/>
                <w:b/>
                <w:sz w:val="22"/>
              </w:rPr>
              <w:t>Name of Buyer</w:t>
            </w:r>
          </w:p>
        </w:tc>
        <w:tc>
          <w:tcPr>
            <w:tcW w:w="6365" w:type="dxa"/>
          </w:tcPr>
          <w:p w14:paraId="27342101" w14:textId="16161FE4" w:rsidR="00AC41CE" w:rsidRPr="00CF781D" w:rsidRDefault="009A2AE9" w:rsidP="00AC41CE">
            <w:pPr>
              <w:spacing w:before="60" w:after="60" w:line="276" w:lineRule="auto"/>
              <w:jc w:val="both"/>
              <w:rPr>
                <w:rFonts w:ascii="Arial" w:hAnsi="Arial" w:cs="Arial"/>
                <w:sz w:val="20"/>
              </w:rPr>
            </w:pPr>
            <w:r>
              <w:rPr>
                <w:rFonts w:ascii="Arial" w:hAnsi="Arial" w:cs="Arial"/>
                <w:sz w:val="20"/>
              </w:rPr>
              <w:t>Maropene Leshabana</w:t>
            </w:r>
          </w:p>
        </w:tc>
      </w:tr>
    </w:tbl>
    <w:p w14:paraId="0A692678" w14:textId="77777777" w:rsidR="00C32CF3" w:rsidRPr="005B5A73" w:rsidRDefault="00C32CF3" w:rsidP="00EB6A30">
      <w:pPr>
        <w:spacing w:line="276" w:lineRule="auto"/>
        <w:rPr>
          <w:rFonts w:ascii="Arial" w:hAnsi="Arial" w:cs="Arial"/>
          <w:sz w:val="16"/>
          <w:szCs w:val="16"/>
        </w:rPr>
      </w:pPr>
    </w:p>
    <w:p w14:paraId="16CE776B" w14:textId="09C7F075" w:rsidR="00C32CF3"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093F34A5"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520"/>
      </w:tblGrid>
      <w:tr w:rsidR="00C417E3" w:rsidRPr="00D33E30" w14:paraId="37B4AF07" w14:textId="77777777" w:rsidTr="00946ACB">
        <w:trPr>
          <w:trHeight w:val="863"/>
        </w:trPr>
        <w:tc>
          <w:tcPr>
            <w:tcW w:w="3391" w:type="dxa"/>
            <w:shd w:val="clear" w:color="auto" w:fill="C00000"/>
            <w:vAlign w:val="center"/>
          </w:tcPr>
          <w:p w14:paraId="7445F116" w14:textId="77777777" w:rsidR="00C417E3" w:rsidRPr="00D33E30" w:rsidRDefault="00C417E3"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520" w:type="dxa"/>
            <w:shd w:val="clear" w:color="auto" w:fill="C00000"/>
            <w:vAlign w:val="center"/>
          </w:tcPr>
          <w:p w14:paraId="70A99F88" w14:textId="77777777" w:rsidR="00C417E3" w:rsidRPr="00D33E30" w:rsidRDefault="00C417E3"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C417E3" w:rsidRPr="00D33E30" w:rsidRDefault="00C417E3"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C417E3" w:rsidRPr="00D33E30" w14:paraId="18ED302D" w14:textId="77777777" w:rsidTr="00946ACB">
        <w:trPr>
          <w:trHeight w:val="317"/>
        </w:trPr>
        <w:tc>
          <w:tcPr>
            <w:tcW w:w="3391" w:type="dxa"/>
            <w:shd w:val="clear" w:color="auto" w:fill="auto"/>
          </w:tcPr>
          <w:p w14:paraId="29AB7590"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82B1C66"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C417E3" w:rsidRPr="00D33E30" w14:paraId="1E56ED5E" w14:textId="77777777" w:rsidTr="00946ACB">
        <w:trPr>
          <w:trHeight w:val="317"/>
        </w:trPr>
        <w:tc>
          <w:tcPr>
            <w:tcW w:w="3391" w:type="dxa"/>
            <w:shd w:val="clear" w:color="auto" w:fill="auto"/>
          </w:tcPr>
          <w:p w14:paraId="5E5DEDE3"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32F93AF1"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C417E3" w:rsidRPr="00D33E30" w14:paraId="79AF9155" w14:textId="77777777" w:rsidTr="00946ACB">
        <w:trPr>
          <w:trHeight w:val="317"/>
        </w:trPr>
        <w:tc>
          <w:tcPr>
            <w:tcW w:w="3391" w:type="dxa"/>
            <w:shd w:val="clear" w:color="auto" w:fill="auto"/>
          </w:tcPr>
          <w:p w14:paraId="07DD035F"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09255EB9"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C417E3" w:rsidRPr="00D33E30" w14:paraId="3AC053ED" w14:textId="77777777" w:rsidTr="00946ACB">
        <w:trPr>
          <w:trHeight w:val="317"/>
        </w:trPr>
        <w:tc>
          <w:tcPr>
            <w:tcW w:w="3391" w:type="dxa"/>
            <w:shd w:val="clear" w:color="auto" w:fill="auto"/>
          </w:tcPr>
          <w:p w14:paraId="5F675793"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40132D5E"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C417E3" w:rsidRPr="00D33E30" w14:paraId="128B63FF" w14:textId="77777777" w:rsidTr="00946ACB">
        <w:trPr>
          <w:trHeight w:val="317"/>
        </w:trPr>
        <w:tc>
          <w:tcPr>
            <w:tcW w:w="3391" w:type="dxa"/>
            <w:shd w:val="clear" w:color="auto" w:fill="auto"/>
          </w:tcPr>
          <w:p w14:paraId="7F6090B2"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520" w:type="dxa"/>
            <w:shd w:val="clear" w:color="auto" w:fill="auto"/>
          </w:tcPr>
          <w:p w14:paraId="1B010E39"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C417E3" w:rsidRPr="00D33E30" w14:paraId="4EE474ED" w14:textId="77777777" w:rsidTr="00946ACB">
        <w:trPr>
          <w:trHeight w:val="317"/>
        </w:trPr>
        <w:tc>
          <w:tcPr>
            <w:tcW w:w="3391" w:type="dxa"/>
            <w:shd w:val="clear" w:color="auto" w:fill="auto"/>
          </w:tcPr>
          <w:p w14:paraId="0887E576"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5B4DB34D"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C417E3" w:rsidRPr="00D33E30" w14:paraId="309AC553" w14:textId="77777777" w:rsidTr="00946ACB">
        <w:trPr>
          <w:trHeight w:val="317"/>
        </w:trPr>
        <w:tc>
          <w:tcPr>
            <w:tcW w:w="3391" w:type="dxa"/>
            <w:shd w:val="clear" w:color="auto" w:fill="auto"/>
          </w:tcPr>
          <w:p w14:paraId="2D668DC7"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520" w:type="dxa"/>
            <w:shd w:val="clear" w:color="auto" w:fill="auto"/>
          </w:tcPr>
          <w:p w14:paraId="5AC41D09"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C417E3" w:rsidRPr="00D33E30" w14:paraId="711E9FF1" w14:textId="77777777" w:rsidTr="00946ACB">
        <w:trPr>
          <w:trHeight w:val="317"/>
        </w:trPr>
        <w:tc>
          <w:tcPr>
            <w:tcW w:w="3391" w:type="dxa"/>
            <w:shd w:val="clear" w:color="auto" w:fill="auto"/>
          </w:tcPr>
          <w:p w14:paraId="3C90DFF0"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520" w:type="dxa"/>
            <w:shd w:val="clear" w:color="auto" w:fill="auto"/>
          </w:tcPr>
          <w:p w14:paraId="1CE75117"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C417E3" w:rsidRPr="00D33E30" w14:paraId="7AB7850E" w14:textId="77777777" w:rsidTr="00946ACB">
        <w:trPr>
          <w:trHeight w:val="317"/>
        </w:trPr>
        <w:tc>
          <w:tcPr>
            <w:tcW w:w="3391" w:type="dxa"/>
            <w:shd w:val="clear" w:color="auto" w:fill="auto"/>
          </w:tcPr>
          <w:p w14:paraId="3EEAD06B"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520" w:type="dxa"/>
            <w:shd w:val="clear" w:color="auto" w:fill="auto"/>
          </w:tcPr>
          <w:p w14:paraId="3139351E" w14:textId="77777777" w:rsidR="00C417E3" w:rsidRPr="00D33E30" w:rsidRDefault="00C417E3"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0DA5CF21"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w:t>
      </w:r>
      <w:r w:rsidR="00C32CF3">
        <w:rPr>
          <w:rFonts w:ascii="Arial" w:hAnsi="Arial" w:cs="Arial"/>
          <w:b/>
          <w:color w:val="FF0000"/>
          <w:sz w:val="20"/>
          <w:lang w:val="en-ZA"/>
        </w:rPr>
        <w:t xml:space="preserve"> for scoring on specific goals: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629064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 xml:space="preserve">Tenderer failing to provide documentation for the allocation </w:t>
      </w:r>
      <w:r w:rsidR="00C32CF3">
        <w:rPr>
          <w:rFonts w:ascii="Arial" w:hAnsi="Arial" w:cs="Arial"/>
          <w:b/>
          <w:color w:val="FF0000"/>
          <w:sz w:val="20"/>
          <w:lang w:val="en-ZA"/>
        </w:rPr>
        <w:t>for scoring on specific goals</w:t>
      </w:r>
      <w:r w:rsidRPr="007133D2">
        <w:rPr>
          <w:rFonts w:ascii="Arial" w:hAnsi="Arial" w:cs="Arial"/>
          <w:b/>
          <w:color w:val="FF0000"/>
          <w:sz w:val="20"/>
          <w:lang w:val="en-ZA"/>
        </w:rPr>
        <w:t xml:space="preserve">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3FBEB255" w14:textId="77777777" w:rsidR="00C417E3"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w:t>
      </w:r>
    </w:p>
    <w:p w14:paraId="032744C1" w14:textId="58D35DB4"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 xml:space="preserve"> 0 points out of 10/20 for specific goals</w:t>
      </w:r>
    </w:p>
    <w:p w14:paraId="40E54FBF" w14:textId="466D30D7" w:rsidR="006F7826" w:rsidRDefault="006F7826" w:rsidP="00EB6A30">
      <w:pPr>
        <w:spacing w:line="276" w:lineRule="auto"/>
        <w:rPr>
          <w:rFonts w:ascii="Arial" w:hAnsi="Arial" w:cs="Arial"/>
        </w:rPr>
      </w:pPr>
      <w:bookmarkStart w:id="0" w:name="_Hlk141861649"/>
    </w:p>
    <w:p w14:paraId="29E0DC29" w14:textId="77C8815B" w:rsidR="00546E27" w:rsidRDefault="00546E27" w:rsidP="00546E27">
      <w:pPr>
        <w:autoSpaceDE w:val="0"/>
        <w:autoSpaceDN w:val="0"/>
        <w:adjustRightInd w:val="0"/>
        <w:rPr>
          <w:rFonts w:ascii="Arial" w:hAnsi="Arial" w:cs="Arial"/>
          <w:b/>
        </w:rPr>
      </w:pPr>
      <w:bookmarkStart w:id="1"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p w14:paraId="0B8C0C1F" w14:textId="571BBDFC" w:rsidR="001A407F" w:rsidRPr="00816D48" w:rsidRDefault="006F7826" w:rsidP="00546E27">
      <w:pPr>
        <w:spacing w:before="120" w:after="120" w:line="276" w:lineRule="auto"/>
        <w:rPr>
          <w:rFonts w:ascii="Arial" w:hAnsi="Arial" w:cs="Arial"/>
          <w:b/>
          <w:sz w:val="22"/>
        </w:rPr>
      </w:pPr>
      <w:bookmarkStart w:id="2" w:name="_Hlk141861583"/>
      <w:bookmarkEnd w:id="0"/>
      <w:bookmarkEnd w:id="1"/>
      <w:r>
        <w:rPr>
          <w:rFonts w:ascii="Arial" w:hAnsi="Arial" w:cs="Arial"/>
          <w:b/>
          <w:sz w:val="22"/>
        </w:rPr>
        <w:t>2</w:t>
      </w:r>
      <w:r w:rsidR="00546E27">
        <w:rPr>
          <w:rFonts w:ascii="Arial" w:hAnsi="Arial" w:cs="Arial"/>
          <w:b/>
          <w:sz w:val="22"/>
        </w:rPr>
        <w:t xml:space="preserve">.1 Designated Sectors </w:t>
      </w:r>
      <w:r w:rsidR="00C32CF3">
        <w:rPr>
          <w:rFonts w:ascii="Arial" w:hAnsi="Arial" w:cs="Arial"/>
          <w:b/>
          <w:sz w:val="22"/>
        </w:rPr>
        <w:t xml:space="preserve">– </w:t>
      </w:r>
      <w:r w:rsidR="007537B6">
        <w:rPr>
          <w:rFonts w:ascii="Arial" w:hAnsi="Arial" w:cs="Arial"/>
          <w:b/>
          <w:sz w:val="22"/>
        </w:rPr>
        <w:t xml:space="preserve">NOT </w:t>
      </w:r>
      <w:r w:rsidR="00C32CF3">
        <w:rPr>
          <w:rFonts w:ascii="Arial" w:hAnsi="Arial" w:cs="Arial"/>
          <w:b/>
          <w:sz w:val="22"/>
        </w:rPr>
        <w:t>APPLICABLE</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3F558E" w:rsidRPr="00EB6A30" w14:paraId="16780F1A"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0AA0FCB" w14:textId="59C9BDE1" w:rsidR="003F558E" w:rsidRDefault="003F558E" w:rsidP="00065BFD">
                  <w:pPr>
                    <w:jc w:val="center"/>
                    <w:rPr>
                      <w:rFonts w:ascii="Arial" w:hAnsi="Arial" w:cs="Arial"/>
                      <w:sz w:val="20"/>
                    </w:rPr>
                  </w:pPr>
                </w:p>
              </w:tc>
              <w:tc>
                <w:tcPr>
                  <w:tcW w:w="3057" w:type="dxa"/>
                  <w:gridSpan w:val="2"/>
                </w:tcPr>
                <w:p w14:paraId="472CDA74" w14:textId="5B65570F" w:rsidR="003F558E" w:rsidRDefault="003F558E" w:rsidP="00065BFD">
                  <w:pPr>
                    <w:jc w:val="center"/>
                    <w:rPr>
                      <w:rFonts w:ascii="Arial" w:hAnsi="Arial" w:cs="Arial"/>
                      <w:sz w:val="20"/>
                    </w:rPr>
                  </w:pPr>
                </w:p>
              </w:tc>
              <w:tc>
                <w:tcPr>
                  <w:tcW w:w="3062" w:type="dxa"/>
                  <w:gridSpan w:val="3"/>
                </w:tcPr>
                <w:p w14:paraId="1EC569C9" w14:textId="3CD53BD6" w:rsidR="003F558E" w:rsidRDefault="003F558E" w:rsidP="00065BFD">
                  <w:pPr>
                    <w:jc w:val="center"/>
                    <w:rPr>
                      <w:rFonts w:ascii="Arial" w:hAnsi="Arial" w:cs="Arial"/>
                      <w:sz w:val="20"/>
                    </w:rPr>
                  </w:pP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returnable</w:t>
            </w:r>
            <w:r>
              <w:rPr>
                <w:rFonts w:ascii="Arial" w:hAnsi="Arial" w:cs="Arial"/>
                <w:sz w:val="20"/>
              </w:rPr>
              <w:t>s if applicable</w:t>
            </w:r>
            <w:r w:rsidRPr="00EB6A30">
              <w:rPr>
                <w:rFonts w:ascii="Arial" w:hAnsi="Arial" w:cs="Arial"/>
                <w:sz w:val="20"/>
              </w:rPr>
              <w:t>.</w:t>
            </w:r>
          </w:p>
        </w:tc>
      </w:tr>
    </w:tbl>
    <w:p w14:paraId="1786B85B" w14:textId="63EEB17C"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w:t>
      </w:r>
      <w:r w:rsidR="001A407F" w:rsidRPr="00816D48">
        <w:rPr>
          <w:rFonts w:ascii="Arial" w:hAnsi="Arial" w:cs="Arial"/>
          <w:b/>
          <w:sz w:val="22"/>
        </w:rPr>
        <w:t xml:space="preserve">Development </w:t>
      </w:r>
      <w:r w:rsidR="001A407F">
        <w:rPr>
          <w:rFonts w:ascii="Arial" w:hAnsi="Arial" w:cs="Arial"/>
          <w:b/>
          <w:sz w:val="22"/>
        </w:rPr>
        <w:t>-</w:t>
      </w:r>
      <w:r w:rsidR="00C32CF3">
        <w:rPr>
          <w:rFonts w:ascii="Arial" w:hAnsi="Arial" w:cs="Arial"/>
          <w:b/>
          <w:sz w:val="22"/>
        </w:rPr>
        <w:t xml:space="preserve"> NOT APPLICABLE</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37B88CAE" w:rsidR="00203FB8" w:rsidRDefault="00203FB8" w:rsidP="00546E27">
      <w:pPr>
        <w:spacing w:before="60" w:after="60" w:line="276" w:lineRule="auto"/>
        <w:rPr>
          <w:rFonts w:ascii="Arial" w:hAnsi="Arial" w:cs="Arial"/>
          <w:bCs/>
          <w:sz w:val="16"/>
          <w:szCs w:val="16"/>
        </w:rPr>
      </w:pPr>
    </w:p>
    <w:p w14:paraId="1F068E57" w14:textId="77777777" w:rsidR="00520F4E" w:rsidRPr="005B5A73" w:rsidRDefault="00520F4E" w:rsidP="00546E27">
      <w:pPr>
        <w:spacing w:before="60" w:after="60" w:line="276" w:lineRule="auto"/>
        <w:rPr>
          <w:rFonts w:ascii="Arial" w:hAnsi="Arial" w:cs="Arial"/>
          <w:bCs/>
          <w:sz w:val="16"/>
          <w:szCs w:val="16"/>
        </w:rPr>
      </w:pPr>
    </w:p>
    <w:p w14:paraId="3163EC55" w14:textId="3524D2BA"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sidR="00C32CF3">
        <w:rPr>
          <w:rFonts w:ascii="Arial" w:hAnsi="Arial" w:cs="Arial"/>
          <w:b/>
          <w:bCs/>
          <w:color w:val="000000" w:themeColor="text1"/>
          <w:sz w:val="20"/>
          <w:u w:val="single"/>
          <w:lang w:val="en-GB"/>
        </w:rPr>
        <w:t xml:space="preserve"> – NOT APPLICABLE</w:t>
      </w:r>
    </w:p>
    <w:p w14:paraId="616E4C33" w14:textId="33AF2CE0"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w:t>
      </w:r>
      <w:r w:rsidR="00F853A9">
        <w:rPr>
          <w:rFonts w:ascii="Arial" w:hAnsi="Arial" w:cs="Arial"/>
          <w:color w:val="000000" w:themeColor="text1"/>
          <w:sz w:val="20"/>
          <w:lang w:val="en-GB"/>
        </w:rPr>
        <w:t xml:space="preserve"> where applicable</w:t>
      </w:r>
      <w:r w:rsidRPr="003953B4">
        <w:rPr>
          <w:rFonts w:ascii="Arial" w:hAnsi="Arial" w:cs="Arial"/>
          <w:color w:val="000000" w:themeColor="text1"/>
          <w:sz w:val="20"/>
          <w:lang w:val="en-GB"/>
        </w:rPr>
        <w:t>.</w:t>
      </w:r>
      <w:r w:rsidR="00F853A9">
        <w:rPr>
          <w:rFonts w:ascii="Arial" w:hAnsi="Arial" w:cs="Arial"/>
          <w:color w:val="000000" w:themeColor="text1"/>
          <w:sz w:val="20"/>
          <w:lang w:val="en-GB"/>
        </w:rPr>
        <w:t xml:space="preserve"> </w:t>
      </w:r>
      <w:r w:rsidRPr="003953B4">
        <w:rPr>
          <w:rFonts w:ascii="Arial" w:hAnsi="Arial" w:cs="Arial"/>
          <w:color w:val="000000" w:themeColor="text1"/>
          <w:sz w:val="20"/>
          <w:lang w:val="en-GB"/>
        </w:rPr>
        <w:t>NIPP will only be applicable for contracts with an FGN component or content of USD 5 million or more.</w:t>
      </w:r>
    </w:p>
    <w:p w14:paraId="51A6708B" w14:textId="50A7B5CF" w:rsidR="00203FB8" w:rsidRDefault="00203FB8" w:rsidP="005B5A73">
      <w:pPr>
        <w:spacing w:after="200" w:line="276" w:lineRule="auto"/>
        <w:jc w:val="both"/>
        <w:rPr>
          <w:rFonts w:ascii="Arial" w:hAnsi="Arial" w:cs="Arial"/>
          <w:b/>
          <w:sz w:val="20"/>
          <w:u w:val="single"/>
        </w:rPr>
      </w:pPr>
      <w:r>
        <w:rPr>
          <w:rFonts w:ascii="Arial" w:hAnsi="Arial" w:cs="Arial"/>
          <w:b/>
          <w:sz w:val="20"/>
        </w:rPr>
        <w:lastRenderedPageBreak/>
        <w:t xml:space="preserve">2.4 </w:t>
      </w:r>
      <w:r w:rsidRPr="003953B4">
        <w:rPr>
          <w:rFonts w:ascii="Arial" w:hAnsi="Arial" w:cs="Arial"/>
          <w:b/>
          <w:sz w:val="20"/>
          <w:u w:val="single"/>
        </w:rPr>
        <w:t xml:space="preserve">Mandatory Subcontracting </w:t>
      </w:r>
      <w:r w:rsidR="00FF5BE9">
        <w:rPr>
          <w:rFonts w:ascii="Arial" w:hAnsi="Arial" w:cs="Arial"/>
          <w:b/>
          <w:sz w:val="20"/>
          <w:u w:val="single"/>
        </w:rPr>
        <w:t>– Not Applicable</w:t>
      </w:r>
    </w:p>
    <w:p w14:paraId="04D52E02" w14:textId="5E544184" w:rsidR="00FF5BE9" w:rsidRDefault="00522B04" w:rsidP="00FF5BE9">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61623E0B" w14:textId="77777777" w:rsidR="001A407F" w:rsidRPr="00FF5BE9" w:rsidRDefault="001A407F" w:rsidP="00FF5BE9">
      <w:pPr>
        <w:spacing w:before="60" w:after="60" w:line="276" w:lineRule="auto"/>
        <w:jc w:val="both"/>
        <w:rPr>
          <w:rFonts w:ascii="Arial" w:eastAsiaTheme="minorHAnsi" w:hAnsi="Arial" w:cs="Arial"/>
          <w:sz w:val="20"/>
          <w:lang w:val="en-ZA"/>
        </w:rPr>
      </w:pPr>
    </w:p>
    <w:p w14:paraId="42B4500D" w14:textId="7F1790E3" w:rsidR="00FF5BE9" w:rsidRPr="00FF5BE9" w:rsidRDefault="00546E27" w:rsidP="00546E27">
      <w:pPr>
        <w:spacing w:after="200" w:line="276" w:lineRule="auto"/>
        <w:rPr>
          <w:rFonts w:ascii="Arial" w:hAnsi="Arial" w:cs="Arial"/>
          <w:b/>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0152C5B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0918CEED" w14:textId="068BCC62"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32CF3">
              <w:rPr>
                <w:rFonts w:ascii="Arial" w:hAnsi="Arial" w:cs="Arial"/>
                <w:b/>
                <w:bCs/>
                <w:i/>
                <w:iCs/>
                <w:sz w:val="20"/>
              </w:rPr>
              <w:t xml:space="preserve">All tenderers are required at a minimum </w:t>
            </w:r>
            <w:r w:rsidR="00C32CF3">
              <w:rPr>
                <w:rFonts w:ascii="Arial" w:hAnsi="Arial" w:cs="Arial"/>
                <w:b/>
                <w:bCs/>
                <w:i/>
                <w:iCs/>
                <w:sz w:val="20"/>
              </w:rPr>
              <w:t xml:space="preserve">to </w:t>
            </w:r>
            <w:r w:rsidRPr="00C32CF3">
              <w:rPr>
                <w:rFonts w:ascii="Arial" w:hAnsi="Arial" w:cs="Arial"/>
                <w:b/>
                <w:bCs/>
                <w:i/>
                <w:iCs/>
                <w:sz w:val="20"/>
              </w:rPr>
              <w:t>maintain their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6E0A1A1" w14:textId="305F75DB" w:rsidR="00546E27" w:rsidRDefault="00546E27" w:rsidP="00FB718B">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2AA9275D" w:rsidR="00546E27" w:rsidRPr="007D4E0A" w:rsidRDefault="00213B95" w:rsidP="00065BFD">
                  <w:pPr>
                    <w:spacing w:line="276" w:lineRule="auto"/>
                    <w:jc w:val="center"/>
                    <w:rPr>
                      <w:rFonts w:ascii="Arial" w:hAnsi="Arial" w:cs="Arial"/>
                      <w:sz w:val="20"/>
                    </w:rPr>
                  </w:pPr>
                  <w:r>
                    <w:rPr>
                      <w:rFonts w:ascii="Arial" w:hAnsi="Arial" w:cs="Arial"/>
                      <w:sz w:val="20"/>
                    </w:rPr>
                    <w:t>10</w:t>
                  </w:r>
                  <w:r w:rsidR="00546E27">
                    <w:rPr>
                      <w:rFonts w:ascii="Arial" w:hAnsi="Arial" w:cs="Arial"/>
                      <w:sz w:val="20"/>
                    </w:rPr>
                    <w:t>0</w:t>
                  </w:r>
                  <w:r w:rsidR="00546E27"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6A6FF358" w:rsidR="00546E27" w:rsidRPr="00D479A6" w:rsidRDefault="00213B95" w:rsidP="00065BFD">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w:t>
            </w:r>
            <w:r w:rsidR="00522B04">
              <w:rPr>
                <w:rFonts w:ascii="Arial" w:hAnsi="Arial" w:cs="Arial"/>
                <w:b/>
                <w:sz w:val="20"/>
                <w:lang w:val="en-ZA"/>
              </w:rPr>
              <w:t>curement spend on</w:t>
            </w:r>
            <w:r w:rsidR="00546E27" w:rsidRPr="00E01CA7">
              <w:rPr>
                <w:rFonts w:ascii="Arial" w:hAnsi="Arial" w:cs="Arial"/>
                <w:b/>
                <w:sz w:val="20"/>
              </w:rPr>
              <w:t xml:space="preserve"> entities with a minimum 51% black ownership</w:t>
            </w:r>
            <w:r>
              <w:rPr>
                <w:rFonts w:ascii="Arial" w:hAnsi="Arial" w:cs="Arial"/>
                <w:b/>
                <w:sz w:val="20"/>
              </w:rPr>
              <w:t xml:space="preserve"> </w:t>
            </w:r>
            <w:r w:rsidR="006F341A">
              <w:rPr>
                <w:rFonts w:ascii="Arial" w:hAnsi="Arial" w:cs="Arial"/>
                <w:b/>
                <w:sz w:val="20"/>
              </w:rPr>
              <w:t>at a set target of</w:t>
            </w:r>
            <w:r>
              <w:rPr>
                <w:rFonts w:ascii="Arial" w:hAnsi="Arial" w:cs="Arial"/>
                <w:b/>
                <w:sz w:val="20"/>
              </w:rPr>
              <w:t xml:space="preserve"> </w:t>
            </w:r>
            <w:r w:rsidR="006F341A">
              <w:rPr>
                <w:rFonts w:ascii="Arial" w:hAnsi="Arial" w:cs="Arial"/>
                <w:b/>
                <w:sz w:val="20"/>
              </w:rPr>
              <w:t>7.0</w:t>
            </w:r>
            <w:r>
              <w:rPr>
                <w:rFonts w:ascii="Arial" w:hAnsi="Arial" w:cs="Arial"/>
                <w:b/>
                <w:sz w:val="20"/>
              </w:rPr>
              <w:t>%</w:t>
            </w:r>
            <w:r w:rsidR="00DD4232">
              <w:rPr>
                <w:rFonts w:ascii="Arial" w:hAnsi="Arial" w:cs="Arial"/>
                <w:b/>
                <w:sz w:val="20"/>
              </w:rPr>
              <w:t xml:space="preserve"> - designated groups</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461717EF" w:rsidR="00546E27" w:rsidRPr="00FB718B" w:rsidRDefault="00546E27" w:rsidP="00FB718B">
            <w:pPr>
              <w:spacing w:before="160" w:line="276" w:lineRule="auto"/>
              <w:ind w:left="360"/>
              <w:jc w:val="both"/>
              <w:rPr>
                <w:rFonts w:ascii="Arial" w:hAnsi="Arial" w:cs="Arial"/>
                <w:b/>
                <w:bCs/>
                <w:sz w:val="20"/>
                <w:lang w:val="en-ZA"/>
              </w:rPr>
            </w:pPr>
            <w:r w:rsidRPr="00A500C7">
              <w:rPr>
                <w:rFonts w:ascii="Arial" w:hAnsi="Arial" w:cs="Arial"/>
                <w:sz w:val="20"/>
                <w:lang w:val="en-ZA"/>
              </w:rPr>
              <w:t>•</w:t>
            </w:r>
            <w:r w:rsidRPr="00A500C7">
              <w:rPr>
                <w:rFonts w:ascii="Arial" w:hAnsi="Arial" w:cs="Arial"/>
                <w:sz w:val="20"/>
                <w:lang w:val="en-ZA"/>
              </w:rPr>
              <w:tab/>
              <w:t xml:space="preserve">the indirect expenses </w:t>
            </w:r>
            <w:r w:rsidR="00FB718B">
              <w:rPr>
                <w:rFonts w:ascii="Arial" w:hAnsi="Arial" w:cs="Arial"/>
                <w:sz w:val="20"/>
                <w:lang w:val="en-ZA"/>
              </w:rPr>
              <w:t>(</w:t>
            </w:r>
            <w:r w:rsidR="00C32CF3" w:rsidRPr="00F853A9">
              <w:rPr>
                <w:rFonts w:ascii="Arial" w:hAnsi="Arial" w:cs="Arial"/>
                <w:b/>
                <w:bCs/>
                <w:sz w:val="20"/>
                <w:lang w:val="en-ZA"/>
              </w:rPr>
              <w:t xml:space="preserve">transport </w:t>
            </w:r>
            <w:r w:rsidR="006F341A">
              <w:rPr>
                <w:rFonts w:ascii="Arial" w:hAnsi="Arial" w:cs="Arial"/>
                <w:b/>
                <w:bCs/>
                <w:sz w:val="20"/>
                <w:lang w:val="en-ZA"/>
              </w:rPr>
              <w:t>to Eskom sites</w:t>
            </w:r>
            <w:r w:rsidR="00520F4E">
              <w:rPr>
                <w:rFonts w:ascii="Arial" w:hAnsi="Arial" w:cs="Arial"/>
                <w:b/>
                <w:bCs/>
                <w:sz w:val="20"/>
                <w:lang w:val="en-ZA"/>
              </w:rPr>
              <w:t xml:space="preserve"> – with an approved vehicle</w:t>
            </w:r>
            <w:r w:rsidR="00C32CF3" w:rsidRPr="00F853A9">
              <w:rPr>
                <w:rFonts w:ascii="Arial" w:hAnsi="Arial" w:cs="Arial"/>
                <w:b/>
                <w:bCs/>
                <w:sz w:val="20"/>
                <w:lang w:val="en-ZA"/>
              </w:rPr>
              <w:t>; PPE procurement;</w:t>
            </w:r>
            <w:r w:rsidR="001A407F">
              <w:rPr>
                <w:rFonts w:ascii="Arial" w:hAnsi="Arial" w:cs="Arial"/>
                <w:b/>
                <w:bCs/>
                <w:sz w:val="20"/>
                <w:lang w:val="en-ZA"/>
              </w:rPr>
              <w:t xml:space="preserve"> </w:t>
            </w:r>
            <w:r w:rsidR="00C32CF3" w:rsidRPr="00F853A9">
              <w:rPr>
                <w:rFonts w:ascii="Arial" w:hAnsi="Arial" w:cs="Arial"/>
                <w:b/>
                <w:bCs/>
                <w:sz w:val="20"/>
                <w:lang w:val="en-ZA"/>
              </w:rPr>
              <w:t>petrol/diesel</w:t>
            </w:r>
            <w:r w:rsidR="00FB718B">
              <w:rPr>
                <w:rFonts w:ascii="Arial" w:hAnsi="Arial" w:cs="Arial"/>
                <w:b/>
                <w:bCs/>
                <w:sz w:val="20"/>
                <w:lang w:val="en-ZA"/>
              </w:rPr>
              <w:t xml:space="preserve"> purchases</w:t>
            </w:r>
            <w:r w:rsidR="00C32CF3" w:rsidRPr="00F853A9">
              <w:rPr>
                <w:rFonts w:ascii="Arial" w:hAnsi="Arial" w:cs="Arial"/>
                <w:b/>
                <w:bCs/>
                <w:sz w:val="20"/>
                <w:lang w:val="en-ZA"/>
              </w:rPr>
              <w:t>;</w:t>
            </w:r>
            <w:r w:rsidR="006F341A">
              <w:rPr>
                <w:rFonts w:ascii="Arial" w:hAnsi="Arial" w:cs="Arial"/>
                <w:b/>
                <w:bCs/>
                <w:sz w:val="20"/>
                <w:lang w:val="en-ZA"/>
              </w:rPr>
              <w:t xml:space="preserve"> </w:t>
            </w:r>
            <w:r w:rsidR="00C32CF3" w:rsidRPr="00F853A9">
              <w:rPr>
                <w:rFonts w:ascii="Arial" w:hAnsi="Arial" w:cs="Arial"/>
                <w:b/>
                <w:bCs/>
                <w:sz w:val="20"/>
                <w:lang w:val="en-ZA"/>
              </w:rPr>
              <w:t xml:space="preserve">and other </w:t>
            </w:r>
            <w:r w:rsidRPr="00F853A9">
              <w:rPr>
                <w:rFonts w:ascii="Arial" w:hAnsi="Arial" w:cs="Arial"/>
                <w:b/>
                <w:bCs/>
                <w:sz w:val="20"/>
                <w:lang w:val="en-ZA"/>
              </w:rPr>
              <w:t>overheads</w:t>
            </w:r>
            <w:r w:rsidRPr="00A500C7">
              <w:rPr>
                <w:rFonts w:ascii="Arial" w:hAnsi="Arial" w:cs="Arial"/>
                <w:sz w:val="20"/>
                <w:lang w:val="en-ZA"/>
              </w:rPr>
              <w:t>) on goods and services supplied to the contractor by designated groups; and</w:t>
            </w:r>
          </w:p>
          <w:p w14:paraId="379EB8EB" w14:textId="5608965A" w:rsidR="00FB718B" w:rsidRDefault="00546E27" w:rsidP="001A407F">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227CEB8A" w14:textId="77777777" w:rsidR="001A407F" w:rsidRDefault="001A407F" w:rsidP="001A407F">
            <w:pPr>
              <w:spacing w:before="160" w:line="276" w:lineRule="auto"/>
              <w:ind w:left="360"/>
              <w:jc w:val="both"/>
              <w:rPr>
                <w:rFonts w:ascii="Arial" w:hAnsi="Arial" w:cs="Arial"/>
                <w:sz w:val="20"/>
                <w:lang w:val="en-ZA"/>
              </w:rPr>
            </w:pPr>
          </w:p>
          <w:p w14:paraId="47C6FC8F" w14:textId="010D1ADE" w:rsidR="009E44B3" w:rsidRDefault="00546E27" w:rsidP="00FB718B">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r w:rsidR="00C32CF3">
              <w:rPr>
                <w:rFonts w:ascii="Arial" w:hAnsi="Arial" w:cs="Arial"/>
                <w:sz w:val="20"/>
                <w:lang w:val="en-ZA"/>
              </w:rPr>
              <w:t>:</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BCB71D9" w14:textId="77777777" w:rsidTr="00065BFD">
              <w:trPr>
                <w:trHeight w:val="427"/>
              </w:trPr>
              <w:tc>
                <w:tcPr>
                  <w:tcW w:w="3291" w:type="dxa"/>
                  <w:shd w:val="clear" w:color="auto" w:fill="auto"/>
                </w:tcPr>
                <w:p w14:paraId="10649F92" w14:textId="77777777" w:rsidR="00546E27" w:rsidRDefault="00546E27" w:rsidP="00065BF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F4A5603" w14:textId="79CACB0A" w:rsidR="00546E27" w:rsidRPr="000C5130" w:rsidRDefault="00F853A9" w:rsidP="00065BFD">
                  <w:pPr>
                    <w:tabs>
                      <w:tab w:val="left" w:pos="720"/>
                    </w:tabs>
                    <w:jc w:val="center"/>
                    <w:rPr>
                      <w:rFonts w:ascii="Arial" w:hAnsi="Arial" w:cs="Arial"/>
                      <w:sz w:val="20"/>
                    </w:rPr>
                  </w:pPr>
                  <w:r>
                    <w:rPr>
                      <w:rFonts w:ascii="Arial" w:hAnsi="Arial" w:cs="Arial"/>
                      <w:sz w:val="20"/>
                    </w:rPr>
                    <w:t>2.5</w:t>
                  </w:r>
                  <w:r w:rsidR="00546E27">
                    <w:rPr>
                      <w:rFonts w:ascii="Arial" w:hAnsi="Arial" w:cs="Arial"/>
                      <w:sz w:val="20"/>
                    </w:rPr>
                    <w:t>%</w:t>
                  </w:r>
                </w:p>
              </w:tc>
              <w:tc>
                <w:tcPr>
                  <w:tcW w:w="2120" w:type="dxa"/>
                  <w:shd w:val="clear" w:color="auto" w:fill="auto"/>
                </w:tcPr>
                <w:p w14:paraId="61D2B736" w14:textId="77777777" w:rsidR="00546E27" w:rsidRPr="000C5130" w:rsidRDefault="00546E27" w:rsidP="00065BFD">
                  <w:pPr>
                    <w:tabs>
                      <w:tab w:val="left" w:pos="720"/>
                    </w:tabs>
                    <w:jc w:val="both"/>
                    <w:rPr>
                      <w:rFonts w:ascii="Arial" w:hAnsi="Arial" w:cs="Arial"/>
                      <w:sz w:val="20"/>
                    </w:rPr>
                  </w:pPr>
                </w:p>
              </w:tc>
            </w:tr>
            <w:tr w:rsidR="00546E27" w:rsidRPr="000C5130" w14:paraId="74F7336F" w14:textId="77777777" w:rsidTr="00065BFD">
              <w:trPr>
                <w:trHeight w:val="427"/>
              </w:trPr>
              <w:tc>
                <w:tcPr>
                  <w:tcW w:w="3291" w:type="dxa"/>
                  <w:shd w:val="clear" w:color="auto" w:fill="auto"/>
                </w:tcPr>
                <w:p w14:paraId="76DB8CDC" w14:textId="77777777" w:rsidR="00546E27" w:rsidRDefault="00546E27" w:rsidP="00065BF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FB7DE03" w14:textId="56A3A996" w:rsidR="00546E27" w:rsidRPr="000C5130" w:rsidRDefault="006F341A" w:rsidP="00065BFD">
                  <w:pPr>
                    <w:tabs>
                      <w:tab w:val="left" w:pos="720"/>
                    </w:tabs>
                    <w:jc w:val="center"/>
                    <w:rPr>
                      <w:rFonts w:ascii="Arial" w:hAnsi="Arial" w:cs="Arial"/>
                      <w:sz w:val="20"/>
                    </w:rPr>
                  </w:pPr>
                  <w:r>
                    <w:rPr>
                      <w:rFonts w:ascii="Arial" w:hAnsi="Arial" w:cs="Arial"/>
                      <w:sz w:val="20"/>
                    </w:rPr>
                    <w:t>2.5</w:t>
                  </w:r>
                  <w:r w:rsidR="00546E27">
                    <w:rPr>
                      <w:rFonts w:ascii="Arial" w:hAnsi="Arial" w:cs="Arial"/>
                      <w:sz w:val="20"/>
                    </w:rPr>
                    <w:t>%</w:t>
                  </w:r>
                </w:p>
              </w:tc>
              <w:tc>
                <w:tcPr>
                  <w:tcW w:w="2120" w:type="dxa"/>
                  <w:shd w:val="clear" w:color="auto" w:fill="auto"/>
                </w:tcPr>
                <w:p w14:paraId="2BCD104D" w14:textId="77777777" w:rsidR="00546E27" w:rsidRPr="000C5130" w:rsidRDefault="00546E27" w:rsidP="00065BFD">
                  <w:pPr>
                    <w:tabs>
                      <w:tab w:val="left" w:pos="720"/>
                    </w:tabs>
                    <w:jc w:val="both"/>
                    <w:rPr>
                      <w:rFonts w:ascii="Arial" w:hAnsi="Arial" w:cs="Arial"/>
                      <w:sz w:val="20"/>
                    </w:rPr>
                  </w:pPr>
                </w:p>
              </w:tc>
            </w:tr>
            <w:tr w:rsidR="00546E27" w:rsidRPr="000C5130" w14:paraId="4320808E" w14:textId="77777777" w:rsidTr="00065BFD">
              <w:trPr>
                <w:trHeight w:val="427"/>
              </w:trPr>
              <w:tc>
                <w:tcPr>
                  <w:tcW w:w="3291" w:type="dxa"/>
                  <w:shd w:val="clear" w:color="auto" w:fill="auto"/>
                </w:tcPr>
                <w:p w14:paraId="4A7D24E1" w14:textId="77777777" w:rsidR="00546E27" w:rsidRDefault="00546E27" w:rsidP="00065BFD">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FCB9CF" w14:textId="2683855D" w:rsidR="00546E27" w:rsidRPr="000C5130" w:rsidRDefault="00F853A9" w:rsidP="00065BFD">
                  <w:pPr>
                    <w:tabs>
                      <w:tab w:val="left" w:pos="720"/>
                    </w:tabs>
                    <w:jc w:val="center"/>
                    <w:rPr>
                      <w:rFonts w:ascii="Arial" w:hAnsi="Arial" w:cs="Arial"/>
                      <w:sz w:val="20"/>
                    </w:rPr>
                  </w:pPr>
                  <w:r>
                    <w:rPr>
                      <w:rFonts w:ascii="Arial" w:hAnsi="Arial" w:cs="Arial"/>
                      <w:sz w:val="20"/>
                    </w:rPr>
                    <w:t>2.</w:t>
                  </w:r>
                  <w:r w:rsidR="006F341A">
                    <w:rPr>
                      <w:rFonts w:ascii="Arial" w:hAnsi="Arial" w:cs="Arial"/>
                      <w:sz w:val="20"/>
                    </w:rPr>
                    <w:t>0</w:t>
                  </w:r>
                  <w:r w:rsidR="00546E27">
                    <w:rPr>
                      <w:rFonts w:ascii="Arial" w:hAnsi="Arial" w:cs="Arial"/>
                      <w:sz w:val="20"/>
                    </w:rPr>
                    <w:t>%</w:t>
                  </w:r>
                </w:p>
              </w:tc>
              <w:tc>
                <w:tcPr>
                  <w:tcW w:w="2120" w:type="dxa"/>
                  <w:shd w:val="clear" w:color="auto" w:fill="auto"/>
                </w:tcPr>
                <w:p w14:paraId="23710D86" w14:textId="77777777" w:rsidR="00546E27" w:rsidRPr="000C5130" w:rsidRDefault="00546E27" w:rsidP="00065BFD">
                  <w:pPr>
                    <w:tabs>
                      <w:tab w:val="left" w:pos="720"/>
                    </w:tabs>
                    <w:jc w:val="both"/>
                    <w:rPr>
                      <w:rFonts w:ascii="Arial" w:hAnsi="Arial" w:cs="Arial"/>
                      <w:sz w:val="20"/>
                    </w:rPr>
                  </w:pPr>
                </w:p>
              </w:tc>
            </w:tr>
          </w:tbl>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444C7FC2" w14:textId="405F8A26" w:rsidR="00546E27" w:rsidRPr="00F853A9" w:rsidRDefault="00546E27" w:rsidP="00F853A9">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233C403B" w:rsidR="00546E27" w:rsidRPr="000C5130" w:rsidRDefault="003F558E" w:rsidP="00065BFD">
                  <w:pPr>
                    <w:tabs>
                      <w:tab w:val="left" w:pos="720"/>
                    </w:tabs>
                    <w:spacing w:line="276" w:lineRule="auto"/>
                    <w:jc w:val="both"/>
                    <w:rPr>
                      <w:rFonts w:ascii="Arial" w:hAnsi="Arial" w:cs="Arial"/>
                      <w:sz w:val="20"/>
                    </w:rPr>
                  </w:pPr>
                  <w:r>
                    <w:rPr>
                      <w:rFonts w:ascii="Arial" w:hAnsi="Arial" w:cs="Arial"/>
                      <w:sz w:val="20"/>
                    </w:rPr>
                    <w:t>Semi-skilled and general labour</w:t>
                  </w:r>
                  <w:r w:rsidR="00213B95">
                    <w:rPr>
                      <w:rFonts w:ascii="Arial" w:hAnsi="Arial" w:cs="Arial"/>
                      <w:sz w:val="20"/>
                    </w:rPr>
                    <w:t xml:space="preserve"> </w:t>
                  </w:r>
                </w:p>
              </w:tc>
              <w:tc>
                <w:tcPr>
                  <w:tcW w:w="3676" w:type="dxa"/>
                  <w:shd w:val="clear" w:color="auto" w:fill="auto"/>
                </w:tcPr>
                <w:p w14:paraId="0E769034" w14:textId="2B27845E" w:rsidR="00546E27" w:rsidRPr="000C5130" w:rsidRDefault="00213B95" w:rsidP="00065BFD">
                  <w:pPr>
                    <w:tabs>
                      <w:tab w:val="left" w:pos="720"/>
                    </w:tabs>
                    <w:spacing w:line="276" w:lineRule="auto"/>
                    <w:jc w:val="both"/>
                    <w:rPr>
                      <w:rFonts w:ascii="Arial" w:hAnsi="Arial" w:cs="Arial"/>
                      <w:sz w:val="20"/>
                    </w:rPr>
                  </w:pPr>
                  <w:r>
                    <w:rPr>
                      <w:rFonts w:ascii="Arial" w:hAnsi="Arial" w:cs="Arial"/>
                      <w:sz w:val="20"/>
                    </w:rPr>
                    <w:t>Tenderer’s proposal</w:t>
                  </w:r>
                </w:p>
              </w:tc>
            </w:tr>
            <w:tr w:rsidR="005038BB" w:rsidRPr="000C5130" w14:paraId="6088FA68" w14:textId="77777777" w:rsidTr="00065BFD">
              <w:trPr>
                <w:trHeight w:val="359"/>
              </w:trPr>
              <w:tc>
                <w:tcPr>
                  <w:tcW w:w="3676" w:type="dxa"/>
                  <w:shd w:val="clear" w:color="auto" w:fill="auto"/>
                </w:tcPr>
                <w:p w14:paraId="45C8AD5A" w14:textId="63D75DEB" w:rsidR="005038BB" w:rsidRPr="000C5130" w:rsidRDefault="005038BB" w:rsidP="00065BFD">
                  <w:pPr>
                    <w:tabs>
                      <w:tab w:val="left" w:pos="720"/>
                    </w:tabs>
                    <w:spacing w:line="276" w:lineRule="auto"/>
                    <w:jc w:val="both"/>
                    <w:rPr>
                      <w:rFonts w:ascii="Arial" w:hAnsi="Arial" w:cs="Arial"/>
                      <w:sz w:val="20"/>
                    </w:rPr>
                  </w:pPr>
                </w:p>
              </w:tc>
              <w:tc>
                <w:tcPr>
                  <w:tcW w:w="3676" w:type="dxa"/>
                  <w:shd w:val="clear" w:color="auto" w:fill="auto"/>
                </w:tcPr>
                <w:p w14:paraId="3EAF2771" w14:textId="77777777" w:rsidR="005038BB" w:rsidRPr="000C5130" w:rsidRDefault="005038BB"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1AE7E88" w:rsidR="00546E27" w:rsidRPr="000C5130" w:rsidRDefault="00213B95" w:rsidP="00065BFD">
                  <w:pPr>
                    <w:tabs>
                      <w:tab w:val="left" w:pos="720"/>
                    </w:tabs>
                    <w:spacing w:line="276" w:lineRule="auto"/>
                    <w:jc w:val="both"/>
                    <w:rPr>
                      <w:rFonts w:ascii="Arial" w:hAnsi="Arial" w:cs="Arial"/>
                      <w:sz w:val="20"/>
                    </w:rPr>
                  </w:pPr>
                  <w:r>
                    <w:rPr>
                      <w:rFonts w:ascii="Arial" w:hAnsi="Arial" w:cs="Arial"/>
                      <w:sz w:val="20"/>
                    </w:rPr>
                    <w:t>Tenderer to propose</w:t>
                  </w:r>
                </w:p>
              </w:tc>
              <w:tc>
                <w:tcPr>
                  <w:tcW w:w="3694" w:type="dxa"/>
                  <w:shd w:val="clear" w:color="auto" w:fill="auto"/>
                </w:tcPr>
                <w:p w14:paraId="3AED52AC" w14:textId="5493558B" w:rsidR="00546E27" w:rsidRPr="000C5130" w:rsidRDefault="00213B95" w:rsidP="00065BFD">
                  <w:pPr>
                    <w:tabs>
                      <w:tab w:val="left" w:pos="720"/>
                    </w:tabs>
                    <w:spacing w:line="276" w:lineRule="auto"/>
                    <w:jc w:val="both"/>
                    <w:rPr>
                      <w:rFonts w:ascii="Arial" w:hAnsi="Arial" w:cs="Arial"/>
                      <w:sz w:val="20"/>
                    </w:rPr>
                  </w:pPr>
                  <w:r>
                    <w:rPr>
                      <w:rFonts w:ascii="Arial" w:hAnsi="Arial" w:cs="Arial"/>
                      <w:sz w:val="20"/>
                    </w:rPr>
                    <w:t>Tenderers proposal</w:t>
                  </w:r>
                </w:p>
              </w:tc>
            </w:tr>
            <w:tr w:rsidR="005038BB" w:rsidRPr="000C5130" w14:paraId="166C643E" w14:textId="77777777" w:rsidTr="00065BFD">
              <w:trPr>
                <w:trHeight w:val="302"/>
              </w:trPr>
              <w:tc>
                <w:tcPr>
                  <w:tcW w:w="3694" w:type="dxa"/>
                  <w:shd w:val="clear" w:color="auto" w:fill="auto"/>
                </w:tcPr>
                <w:p w14:paraId="0B3F60B3" w14:textId="77777777" w:rsidR="005038BB" w:rsidRPr="000C5130" w:rsidRDefault="005038BB" w:rsidP="00065BFD">
                  <w:pPr>
                    <w:tabs>
                      <w:tab w:val="left" w:pos="720"/>
                    </w:tabs>
                    <w:spacing w:line="276" w:lineRule="auto"/>
                    <w:jc w:val="both"/>
                    <w:rPr>
                      <w:rFonts w:ascii="Arial" w:hAnsi="Arial" w:cs="Arial"/>
                      <w:sz w:val="20"/>
                    </w:rPr>
                  </w:pPr>
                </w:p>
              </w:tc>
              <w:tc>
                <w:tcPr>
                  <w:tcW w:w="3694" w:type="dxa"/>
                  <w:shd w:val="clear" w:color="auto" w:fill="auto"/>
                </w:tcPr>
                <w:p w14:paraId="196D6FF2" w14:textId="77777777" w:rsidR="005038BB" w:rsidRPr="000C5130" w:rsidRDefault="005038BB"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193D442A" w:rsidR="00546E27" w:rsidRDefault="00546E27" w:rsidP="00065BFD">
            <w:pPr>
              <w:tabs>
                <w:tab w:val="left" w:pos="720"/>
              </w:tabs>
              <w:spacing w:line="276" w:lineRule="auto"/>
              <w:ind w:left="360"/>
              <w:jc w:val="both"/>
              <w:rPr>
                <w:rFonts w:ascii="Arial" w:hAnsi="Arial" w:cs="Arial"/>
                <w:b/>
                <w:sz w:val="20"/>
                <w:lang w:val="en-ZA"/>
              </w:rPr>
            </w:pPr>
          </w:p>
          <w:p w14:paraId="6668689D" w14:textId="77777777" w:rsidR="00213B95" w:rsidRDefault="00213B95" w:rsidP="00213B95">
            <w:pPr>
              <w:tabs>
                <w:tab w:val="left" w:pos="720"/>
              </w:tabs>
              <w:spacing w:line="276" w:lineRule="auto"/>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2719D2BB" w:rsidR="00546E27"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w:t>
            </w:r>
            <w:r w:rsidR="00FB718B">
              <w:rPr>
                <w:rFonts w:ascii="Arial" w:hAnsi="Arial" w:cs="Arial"/>
                <w:sz w:val="20"/>
              </w:rPr>
              <w:t>within Limlanga cluster</w:t>
            </w:r>
            <w:r>
              <w:rPr>
                <w:rFonts w:ascii="Arial" w:hAnsi="Arial" w:cs="Arial"/>
                <w:sz w:val="20"/>
              </w:rPr>
              <w:t xml:space="preserve">.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sidR="00FB718B">
              <w:rPr>
                <w:rFonts w:ascii="Arial" w:hAnsi="Arial" w:cs="Arial"/>
                <w:sz w:val="20"/>
              </w:rPr>
              <w:t xml:space="preserve">both Mpumalanga and Limpopo </w:t>
            </w:r>
            <w:r w:rsidRPr="002232D4">
              <w:rPr>
                <w:rFonts w:ascii="Arial" w:hAnsi="Arial" w:cs="Arial"/>
                <w:sz w:val="20"/>
              </w:rPr>
              <w:t>provinces in the country, and their composition shall be representative of the population demographics of South Africa</w:t>
            </w:r>
          </w:p>
          <w:p w14:paraId="24B62069" w14:textId="77777777" w:rsidR="004021C6" w:rsidRPr="000C5130" w:rsidRDefault="004021C6" w:rsidP="00065BFD">
            <w:pPr>
              <w:tabs>
                <w:tab w:val="left" w:pos="720"/>
              </w:tabs>
              <w:spacing w:line="360" w:lineRule="auto"/>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065BFD">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6C4741" w:rsidRPr="000C5130" w14:paraId="68C611AE" w14:textId="77777777" w:rsidTr="00065BFD">
              <w:trPr>
                <w:trHeight w:val="359"/>
              </w:trPr>
              <w:tc>
                <w:tcPr>
                  <w:tcW w:w="3668" w:type="dxa"/>
                  <w:shd w:val="clear" w:color="auto" w:fill="auto"/>
                  <w:vAlign w:val="bottom"/>
                </w:tcPr>
                <w:p w14:paraId="23D52C39" w14:textId="6478DDA1" w:rsidR="00FE1D4A" w:rsidRDefault="00DD4232" w:rsidP="00065BFD">
                  <w:pPr>
                    <w:spacing w:line="276" w:lineRule="auto"/>
                    <w:rPr>
                      <w:rFonts w:ascii="Arial" w:hAnsi="Arial" w:cs="Arial"/>
                      <w:sz w:val="20"/>
                    </w:rPr>
                  </w:pPr>
                  <w:r>
                    <w:rPr>
                      <w:rFonts w:ascii="Arial" w:hAnsi="Arial" w:cs="Arial"/>
                      <w:sz w:val="20"/>
                    </w:rPr>
                    <w:t>Competent and compliant driver</w:t>
                  </w:r>
                </w:p>
              </w:tc>
              <w:tc>
                <w:tcPr>
                  <w:tcW w:w="1674" w:type="dxa"/>
                </w:tcPr>
                <w:p w14:paraId="440E3AEF" w14:textId="0BDB5D2E" w:rsidR="006C4741" w:rsidRPr="003F558E" w:rsidRDefault="00DD4232" w:rsidP="003F558E">
                  <w:pPr>
                    <w:rPr>
                      <w:rFonts w:ascii="Arial" w:hAnsi="Arial" w:cs="Arial"/>
                      <w:sz w:val="20"/>
                    </w:rPr>
                  </w:pPr>
                  <w:r>
                    <w:rPr>
                      <w:rFonts w:ascii="Arial" w:hAnsi="Arial" w:cs="Arial"/>
                      <w:sz w:val="20"/>
                    </w:rPr>
                    <w:t>1</w:t>
                  </w:r>
                </w:p>
              </w:tc>
              <w:tc>
                <w:tcPr>
                  <w:tcW w:w="1984" w:type="dxa"/>
                </w:tcPr>
                <w:p w14:paraId="70F7AD73" w14:textId="77777777" w:rsidR="006C4741" w:rsidRPr="008A3FC8" w:rsidRDefault="006C4741" w:rsidP="00065BFD">
                  <w:pPr>
                    <w:tabs>
                      <w:tab w:val="left" w:pos="720"/>
                    </w:tabs>
                    <w:jc w:val="center"/>
                    <w:rPr>
                      <w:rFonts w:ascii="Arial" w:hAnsi="Arial" w:cs="Arial"/>
                      <w:b/>
                      <w:sz w:val="20"/>
                    </w:rPr>
                  </w:pPr>
                </w:p>
              </w:tc>
            </w:tr>
            <w:tr w:rsidR="00DD4232" w:rsidRPr="000C5130" w14:paraId="6D1C012A" w14:textId="77777777" w:rsidTr="00065BFD">
              <w:trPr>
                <w:trHeight w:val="359"/>
              </w:trPr>
              <w:tc>
                <w:tcPr>
                  <w:tcW w:w="3668" w:type="dxa"/>
                  <w:shd w:val="clear" w:color="auto" w:fill="auto"/>
                  <w:vAlign w:val="bottom"/>
                </w:tcPr>
                <w:p w14:paraId="5B2F99AC" w14:textId="66EFA285" w:rsidR="00DD4232" w:rsidRDefault="00DD4232" w:rsidP="00065BFD">
                  <w:pPr>
                    <w:spacing w:line="276" w:lineRule="auto"/>
                    <w:rPr>
                      <w:rFonts w:ascii="Arial" w:hAnsi="Arial" w:cs="Arial"/>
                      <w:sz w:val="20"/>
                    </w:rPr>
                  </w:pPr>
                  <w:r>
                    <w:rPr>
                      <w:rFonts w:ascii="Arial" w:hAnsi="Arial" w:cs="Arial"/>
                      <w:sz w:val="20"/>
                    </w:rPr>
                    <w:t>Safety officer</w:t>
                  </w:r>
                </w:p>
              </w:tc>
              <w:tc>
                <w:tcPr>
                  <w:tcW w:w="1674" w:type="dxa"/>
                </w:tcPr>
                <w:p w14:paraId="4C2735EC" w14:textId="123ABBC9" w:rsidR="00DD4232" w:rsidRPr="003F558E" w:rsidRDefault="00DD4232" w:rsidP="003F558E">
                  <w:pPr>
                    <w:rPr>
                      <w:rFonts w:ascii="Arial" w:hAnsi="Arial" w:cs="Arial"/>
                      <w:sz w:val="20"/>
                    </w:rPr>
                  </w:pPr>
                  <w:r>
                    <w:rPr>
                      <w:rFonts w:ascii="Arial" w:hAnsi="Arial" w:cs="Arial"/>
                      <w:sz w:val="20"/>
                    </w:rPr>
                    <w:t>1</w:t>
                  </w:r>
                </w:p>
              </w:tc>
              <w:tc>
                <w:tcPr>
                  <w:tcW w:w="1984" w:type="dxa"/>
                </w:tcPr>
                <w:p w14:paraId="174C81CB" w14:textId="77777777" w:rsidR="00DD4232" w:rsidRPr="008A3FC8" w:rsidRDefault="00DD4232" w:rsidP="00065BFD">
                  <w:pPr>
                    <w:tabs>
                      <w:tab w:val="left" w:pos="720"/>
                    </w:tabs>
                    <w:jc w:val="center"/>
                    <w:rPr>
                      <w:rFonts w:ascii="Arial" w:hAnsi="Arial" w:cs="Arial"/>
                      <w:b/>
                      <w:sz w:val="20"/>
                    </w:rPr>
                  </w:pPr>
                </w:p>
              </w:tc>
            </w:tr>
          </w:tbl>
          <w:p w14:paraId="3C82A514" w14:textId="77777777" w:rsidR="009E44B3" w:rsidRDefault="009E44B3" w:rsidP="00005A8B">
            <w:pPr>
              <w:tabs>
                <w:tab w:val="left" w:pos="720"/>
              </w:tabs>
              <w:jc w:val="both"/>
              <w:rPr>
                <w:rFonts w:ascii="Arial" w:hAnsi="Arial" w:cs="Arial"/>
                <w:sz w:val="20"/>
                <w:lang w:val="en-ZA"/>
              </w:rPr>
            </w:pPr>
          </w:p>
          <w:p w14:paraId="6B3A1D7A" w14:textId="405F611A" w:rsidR="00546E27" w:rsidRPr="001A407F" w:rsidRDefault="00546E27" w:rsidP="00FF5BE9">
            <w:pPr>
              <w:tabs>
                <w:tab w:val="left" w:pos="720"/>
              </w:tabs>
              <w:jc w:val="both"/>
              <w:rPr>
                <w:rFonts w:ascii="Arial" w:eastAsia="Calibri" w:hAnsi="Arial" w:cs="Arial"/>
                <w:sz w:val="22"/>
                <w:szCs w:val="22"/>
                <w:lang w:val="en-ZA"/>
              </w:rPr>
            </w:pPr>
            <w:r w:rsidRPr="001A407F">
              <w:rPr>
                <w:rFonts w:ascii="Arial" w:eastAsia="Calibri" w:hAnsi="Arial" w:cs="Arial"/>
                <w:sz w:val="22"/>
                <w:szCs w:val="22"/>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560AD300" w14:textId="77777777" w:rsidR="004021C6" w:rsidRDefault="004021C6" w:rsidP="004021C6">
            <w:pPr>
              <w:spacing w:after="200" w:line="360" w:lineRule="auto"/>
              <w:contextualSpacing/>
              <w:jc w:val="both"/>
              <w:rPr>
                <w:rFonts w:ascii="Arial" w:eastAsia="Calibri" w:hAnsi="Arial" w:cs="Arial"/>
                <w:b/>
                <w:bCs/>
                <w:sz w:val="20"/>
                <w:szCs w:val="22"/>
                <w:u w:val="single"/>
                <w:lang w:val="en-ZA"/>
              </w:rPr>
            </w:pPr>
          </w:p>
          <w:p w14:paraId="575C1C6E" w14:textId="7A0612C4" w:rsidR="00546E27" w:rsidRDefault="00546E27" w:rsidP="004021C6">
            <w:pPr>
              <w:spacing w:after="200" w:line="360" w:lineRule="auto"/>
              <w:contextualSpacing/>
              <w:jc w:val="both"/>
              <w:rPr>
                <w:rFonts w:ascii="Arial" w:hAnsi="Arial" w:cs="Arial"/>
                <w:sz w:val="22"/>
                <w:szCs w:val="22"/>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71443C5C" w14:textId="77159DAD" w:rsidR="009E44B3" w:rsidRPr="000C5130" w:rsidRDefault="009E44B3" w:rsidP="009E44B3">
            <w:pPr>
              <w:spacing w:after="200" w:line="360" w:lineRule="auto"/>
              <w:contextualSpacing/>
              <w:jc w:val="both"/>
              <w:rPr>
                <w:rFonts w:ascii="Arial" w:hAnsi="Arial" w:cs="Arial"/>
                <w:sz w:val="20"/>
              </w:rPr>
            </w:pPr>
          </w:p>
        </w:tc>
      </w:tr>
    </w:tbl>
    <w:p w14:paraId="7490EF8F" w14:textId="69B7B863" w:rsidR="003F558E" w:rsidRDefault="003F558E" w:rsidP="00EB6A30">
      <w:pPr>
        <w:spacing w:after="120" w:line="276" w:lineRule="auto"/>
        <w:rPr>
          <w:rFonts w:ascii="Arial" w:hAnsi="Arial" w:cs="Arial"/>
          <w:b/>
          <w:sz w:val="22"/>
        </w:rPr>
      </w:pPr>
    </w:p>
    <w:p w14:paraId="4829A327" w14:textId="0064EC4F" w:rsidR="00DD4232" w:rsidRDefault="00DD4232" w:rsidP="00EB6A30">
      <w:pPr>
        <w:spacing w:after="120" w:line="276" w:lineRule="auto"/>
        <w:rPr>
          <w:rFonts w:ascii="Arial" w:hAnsi="Arial" w:cs="Arial"/>
          <w:b/>
          <w:sz w:val="22"/>
        </w:rPr>
      </w:pPr>
    </w:p>
    <w:p w14:paraId="3ACA3DB5" w14:textId="77777777" w:rsidR="00DD4232" w:rsidRDefault="00DD4232" w:rsidP="00EB6A30">
      <w:pPr>
        <w:spacing w:after="120" w:line="276" w:lineRule="auto"/>
        <w:rPr>
          <w:rFonts w:ascii="Arial" w:hAnsi="Arial" w:cs="Arial"/>
          <w:b/>
          <w:sz w:val="22"/>
        </w:rPr>
      </w:pPr>
    </w:p>
    <w:p w14:paraId="279FCBF2" w14:textId="77777777" w:rsidR="001A407F" w:rsidRDefault="001A407F" w:rsidP="00EB6A30">
      <w:pPr>
        <w:spacing w:after="120" w:line="276" w:lineRule="auto"/>
        <w:rPr>
          <w:rFonts w:ascii="Arial" w:hAnsi="Arial" w:cs="Arial"/>
          <w:b/>
          <w:sz w:val="22"/>
        </w:rPr>
      </w:pPr>
    </w:p>
    <w:p w14:paraId="3B3FB223" w14:textId="222E9B92" w:rsidR="001A407F"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p w14:paraId="7112E54F" w14:textId="77777777" w:rsidR="00DD4232" w:rsidRPr="00506A41" w:rsidRDefault="00DD4232" w:rsidP="00EB6A30">
      <w:pPr>
        <w:spacing w:after="120" w:line="276" w:lineRule="auto"/>
        <w:rPr>
          <w:rFonts w:ascii="Arial" w:hAnsi="Arial" w:cs="Arial"/>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24CFAFC6"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w:t>
            </w:r>
            <w:r w:rsidR="004021C6">
              <w:rPr>
                <w:rFonts w:ascii="Arial" w:hAnsi="Arial" w:cs="Arial"/>
                <w:sz w:val="20"/>
                <w:lang w:val="en-ZA"/>
              </w:rPr>
              <w:t>Accumulated Task Order</w:t>
            </w:r>
            <w:r w:rsidRPr="0029148E">
              <w:rPr>
                <w:rFonts w:ascii="Arial" w:hAnsi="Arial" w:cs="Arial"/>
                <w:sz w:val="20"/>
                <w:lang w:val="en-ZA"/>
              </w:rPr>
              <w:t xml:space="preserve"> Value</w:t>
            </w:r>
            <w:r w:rsidR="004021C6">
              <w:rPr>
                <w:rFonts w:ascii="Arial" w:hAnsi="Arial" w:cs="Arial"/>
                <w:sz w:val="20"/>
                <w:lang w:val="en-ZA"/>
              </w:rPr>
              <w:t>s</w:t>
            </w:r>
            <w:r w:rsidRPr="0029148E">
              <w:rPr>
                <w:rFonts w:ascii="Arial" w:hAnsi="Arial" w:cs="Arial"/>
                <w:sz w:val="20"/>
                <w:lang w:val="en-ZA"/>
              </w:rPr>
              <w:t xml:space="preserv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593F734A" w14:textId="7CF40D85" w:rsidR="001A407F" w:rsidRDefault="00C7656D" w:rsidP="00DD4232">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r w:rsidR="00DD4232">
        <w:rPr>
          <w:rFonts w:ascii="Arial" w:hAnsi="Arial" w:cs="Arial"/>
          <w:b/>
          <w:sz w:val="22"/>
        </w:rPr>
        <w:t xml:space="preserve"> - </w:t>
      </w:r>
      <w:r w:rsidR="001A407F">
        <w:rPr>
          <w:rFonts w:ascii="Arial" w:hAnsi="Arial" w:cs="Arial"/>
          <w:b/>
          <w:sz w:val="22"/>
        </w:rPr>
        <w:t>Contractor Performance template attache</w:t>
      </w:r>
      <w:r w:rsidR="00DD4232">
        <w:rPr>
          <w:rFonts w:ascii="Arial" w:hAnsi="Arial" w:cs="Arial"/>
          <w:b/>
          <w:sz w:val="22"/>
        </w:rPr>
        <w:t>d for this purpose</w:t>
      </w:r>
    </w:p>
    <w:p w14:paraId="39B7910A" w14:textId="77777777" w:rsidR="00DD4232" w:rsidRPr="00816D48" w:rsidRDefault="00DD4232" w:rsidP="00DD4232">
      <w:pPr>
        <w:spacing w:after="200" w:line="276" w:lineRule="auto"/>
        <w:rPr>
          <w:rFonts w:ascii="Arial" w:hAnsi="Arial" w:cs="Arial"/>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4"/>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7DA12325" w14:textId="524411DC" w:rsidR="001A407F" w:rsidRDefault="001A407F" w:rsidP="00EB6A30">
      <w:pPr>
        <w:spacing w:after="120" w:line="276" w:lineRule="auto"/>
        <w:rPr>
          <w:rFonts w:ascii="Arial" w:hAnsi="Arial" w:cs="Arial"/>
          <w:b/>
          <w:sz w:val="22"/>
        </w:rPr>
      </w:pPr>
    </w:p>
    <w:p w14:paraId="186E0DF9" w14:textId="511AD642" w:rsidR="00DD4232" w:rsidRDefault="00DD4232" w:rsidP="00EB6A30">
      <w:pPr>
        <w:spacing w:after="120" w:line="276" w:lineRule="auto"/>
        <w:rPr>
          <w:rFonts w:ascii="Arial" w:hAnsi="Arial" w:cs="Arial"/>
          <w:b/>
          <w:sz w:val="22"/>
        </w:rPr>
      </w:pPr>
    </w:p>
    <w:p w14:paraId="0D9A82CA" w14:textId="7B982691" w:rsidR="00DD4232" w:rsidRDefault="00DD4232" w:rsidP="00EB6A30">
      <w:pPr>
        <w:spacing w:after="120" w:line="276" w:lineRule="auto"/>
        <w:rPr>
          <w:rFonts w:ascii="Arial" w:hAnsi="Arial" w:cs="Arial"/>
          <w:b/>
          <w:sz w:val="22"/>
        </w:rPr>
      </w:pPr>
    </w:p>
    <w:p w14:paraId="170C88CE" w14:textId="56E911B0" w:rsidR="00DD4232" w:rsidRDefault="00DD4232" w:rsidP="00EB6A30">
      <w:pPr>
        <w:spacing w:after="120" w:line="276" w:lineRule="auto"/>
        <w:rPr>
          <w:rFonts w:ascii="Arial" w:hAnsi="Arial" w:cs="Arial"/>
          <w:b/>
          <w:sz w:val="22"/>
        </w:rPr>
      </w:pPr>
    </w:p>
    <w:p w14:paraId="46587862" w14:textId="4B0F3393" w:rsidR="00DD4232" w:rsidRDefault="00DD4232" w:rsidP="00EB6A30">
      <w:pPr>
        <w:spacing w:after="120" w:line="276" w:lineRule="auto"/>
        <w:rPr>
          <w:rFonts w:ascii="Arial" w:hAnsi="Arial" w:cs="Arial"/>
          <w:b/>
          <w:sz w:val="22"/>
        </w:rPr>
      </w:pPr>
    </w:p>
    <w:p w14:paraId="213A5E6E" w14:textId="57455523" w:rsidR="00DD4232" w:rsidRDefault="00DD4232" w:rsidP="00EB6A30">
      <w:pPr>
        <w:spacing w:after="120" w:line="276" w:lineRule="auto"/>
        <w:rPr>
          <w:rFonts w:ascii="Arial" w:hAnsi="Arial" w:cs="Arial"/>
          <w:b/>
          <w:sz w:val="22"/>
        </w:rPr>
      </w:pPr>
    </w:p>
    <w:p w14:paraId="19DFFBE1" w14:textId="40CEAA40" w:rsidR="00DD4232" w:rsidRDefault="00DD4232" w:rsidP="00EB6A30">
      <w:pPr>
        <w:spacing w:after="120" w:line="276" w:lineRule="auto"/>
        <w:rPr>
          <w:rFonts w:ascii="Arial" w:hAnsi="Arial" w:cs="Arial"/>
          <w:b/>
          <w:sz w:val="22"/>
        </w:rPr>
      </w:pPr>
    </w:p>
    <w:p w14:paraId="536625FA" w14:textId="10CBC1AA" w:rsidR="00DD4232" w:rsidRDefault="00DD4232" w:rsidP="00EB6A30">
      <w:pPr>
        <w:spacing w:after="120" w:line="276" w:lineRule="auto"/>
        <w:rPr>
          <w:rFonts w:ascii="Arial" w:hAnsi="Arial" w:cs="Arial"/>
          <w:b/>
          <w:sz w:val="22"/>
        </w:rPr>
      </w:pPr>
    </w:p>
    <w:p w14:paraId="73D14210" w14:textId="3DE05F91" w:rsidR="00DD4232" w:rsidRDefault="00DD4232" w:rsidP="00EB6A30">
      <w:pPr>
        <w:spacing w:after="120" w:line="276" w:lineRule="auto"/>
        <w:rPr>
          <w:rFonts w:ascii="Arial" w:hAnsi="Arial" w:cs="Arial"/>
          <w:b/>
          <w:sz w:val="22"/>
        </w:rPr>
      </w:pPr>
    </w:p>
    <w:p w14:paraId="045AC45B" w14:textId="77777777" w:rsidR="00DD4232" w:rsidRDefault="00DD4232" w:rsidP="00EB6A30">
      <w:pPr>
        <w:spacing w:after="120" w:line="276" w:lineRule="auto"/>
        <w:rPr>
          <w:rFonts w:ascii="Arial" w:hAnsi="Arial" w:cs="Arial"/>
          <w:b/>
          <w:sz w:val="22"/>
        </w:rPr>
      </w:pPr>
    </w:p>
    <w:p w14:paraId="69584041" w14:textId="2B369824" w:rsidR="001A407F" w:rsidRPr="00EB6A30" w:rsidRDefault="00C77EB9" w:rsidP="00EB6A30">
      <w:pPr>
        <w:spacing w:before="120" w:after="120" w:line="276" w:lineRule="auto"/>
        <w:rPr>
          <w:rFonts w:ascii="Arial" w:hAnsi="Arial" w:cs="Arial"/>
          <w:b/>
          <w:sz w:val="22"/>
        </w:rPr>
      </w:pPr>
      <w:r>
        <w:rPr>
          <w:rFonts w:ascii="Arial" w:hAnsi="Arial" w:cs="Arial"/>
          <w:b/>
          <w:sz w:val="22"/>
        </w:rPr>
        <w:lastRenderedPageBreak/>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bookmarkEnd w:id="2"/>
    <w:p w14:paraId="0F2B1C4E" w14:textId="0D94DAA2"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57909F44" w:rsidR="00324D94" w:rsidRDefault="00324D94" w:rsidP="00324D94">
                  <w:pPr>
                    <w:tabs>
                      <w:tab w:val="left" w:pos="720"/>
                    </w:tabs>
                    <w:jc w:val="both"/>
                    <w:rPr>
                      <w:rFonts w:ascii="Arial" w:hAnsi="Arial" w:cs="Arial"/>
                      <w:sz w:val="20"/>
                    </w:rPr>
                  </w:pPr>
                  <w:r w:rsidRPr="00C417E3">
                    <w:rPr>
                      <w:rFonts w:ascii="Arial" w:hAnsi="Arial" w:cs="Arial"/>
                      <w:b/>
                      <w:bCs/>
                      <w:sz w:val="20"/>
                    </w:rPr>
                    <w:t>Name of tenderer</w:t>
                  </w:r>
                  <w:r>
                    <w:rPr>
                      <w:rFonts w:ascii="Arial" w:hAnsi="Arial" w:cs="Arial"/>
                      <w:sz w:val="20"/>
                    </w:rPr>
                    <w:t>:</w:t>
                  </w:r>
                  <w:r w:rsidR="00C417E3">
                    <w:rPr>
                      <w:rFonts w:ascii="Arial" w:hAnsi="Arial" w:cs="Arial"/>
                      <w:sz w:val="20"/>
                    </w:rPr>
                    <w:t xml:space="preserve">  _____________________</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22D18525" w14:textId="77777777" w:rsidR="001A407F" w:rsidRDefault="001A407F" w:rsidP="00324D94">
                  <w:pPr>
                    <w:tabs>
                      <w:tab w:val="left" w:pos="720"/>
                    </w:tabs>
                    <w:jc w:val="both"/>
                    <w:rPr>
                      <w:rFonts w:ascii="Arial" w:hAnsi="Arial" w:cs="Arial"/>
                      <w:b/>
                      <w:bCs/>
                      <w:sz w:val="20"/>
                    </w:rPr>
                  </w:pPr>
                </w:p>
                <w:p w14:paraId="1DCCA945" w14:textId="7758C02D" w:rsidR="00324D94" w:rsidRDefault="00324D94" w:rsidP="00324D94">
                  <w:pPr>
                    <w:tabs>
                      <w:tab w:val="left" w:pos="720"/>
                    </w:tabs>
                    <w:jc w:val="both"/>
                    <w:rPr>
                      <w:rFonts w:ascii="Arial" w:hAnsi="Arial" w:cs="Arial"/>
                      <w:sz w:val="20"/>
                    </w:rPr>
                  </w:pPr>
                  <w:r w:rsidRPr="00C417E3">
                    <w:rPr>
                      <w:rFonts w:ascii="Arial" w:hAnsi="Arial" w:cs="Arial"/>
                      <w:b/>
                      <w:bCs/>
                      <w:sz w:val="20"/>
                    </w:rPr>
                    <w:t>Tenderer representative</w:t>
                  </w:r>
                  <w:r>
                    <w:rPr>
                      <w:rFonts w:ascii="Arial" w:hAnsi="Arial" w:cs="Arial"/>
                      <w:sz w:val="20"/>
                    </w:rPr>
                    <w:t>:</w:t>
                  </w:r>
                  <w:r w:rsidR="00C417E3">
                    <w:rPr>
                      <w:rFonts w:ascii="Arial" w:hAnsi="Arial" w:cs="Arial"/>
                      <w:sz w:val="20"/>
                    </w:rPr>
                    <w:t xml:space="preserve"> _________________</w:t>
                  </w:r>
                </w:p>
                <w:p w14:paraId="4F868C2A" w14:textId="77777777" w:rsidR="00324D94" w:rsidRDefault="00324D94" w:rsidP="00324D94">
                  <w:pPr>
                    <w:tabs>
                      <w:tab w:val="left" w:pos="720"/>
                    </w:tabs>
                    <w:jc w:val="both"/>
                    <w:rPr>
                      <w:rFonts w:ascii="Arial" w:hAnsi="Arial" w:cs="Arial"/>
                      <w:sz w:val="20"/>
                    </w:rPr>
                  </w:pPr>
                </w:p>
                <w:p w14:paraId="3E02E486" w14:textId="77777777" w:rsidR="009E44B3" w:rsidRDefault="00324D94" w:rsidP="00324D94">
                  <w:pPr>
                    <w:tabs>
                      <w:tab w:val="left" w:pos="720"/>
                    </w:tabs>
                    <w:jc w:val="both"/>
                    <w:rPr>
                      <w:rFonts w:ascii="Arial" w:hAnsi="Arial" w:cs="Arial"/>
                      <w:b/>
                      <w:bCs/>
                      <w:sz w:val="20"/>
                    </w:rPr>
                  </w:pPr>
                  <w:r w:rsidRPr="00C417E3">
                    <w:rPr>
                      <w:rFonts w:ascii="Arial" w:hAnsi="Arial" w:cs="Arial"/>
                      <w:b/>
                      <w:bCs/>
                      <w:sz w:val="20"/>
                    </w:rPr>
                    <w:t>Representative</w:t>
                  </w:r>
                  <w:r w:rsidR="009E44B3">
                    <w:rPr>
                      <w:rFonts w:ascii="Arial" w:hAnsi="Arial" w:cs="Arial"/>
                      <w:b/>
                      <w:bCs/>
                      <w:sz w:val="20"/>
                    </w:rPr>
                    <w:t xml:space="preserve"> </w:t>
                  </w:r>
                </w:p>
                <w:p w14:paraId="77BC07C3" w14:textId="1F4F3DCF" w:rsidR="00324D94" w:rsidRDefault="009E44B3" w:rsidP="00324D94">
                  <w:pPr>
                    <w:tabs>
                      <w:tab w:val="left" w:pos="720"/>
                    </w:tabs>
                    <w:jc w:val="both"/>
                    <w:rPr>
                      <w:rFonts w:ascii="Arial" w:hAnsi="Arial" w:cs="Arial"/>
                      <w:sz w:val="20"/>
                    </w:rPr>
                  </w:pPr>
                  <w:r w:rsidRPr="00C417E3">
                    <w:rPr>
                      <w:rFonts w:ascii="Arial" w:hAnsi="Arial" w:cs="Arial"/>
                      <w:b/>
                      <w:bCs/>
                      <w:sz w:val="20"/>
                    </w:rPr>
                    <w:t>signature</w:t>
                  </w:r>
                  <w:r>
                    <w:rPr>
                      <w:rFonts w:ascii="Arial" w:hAnsi="Arial" w:cs="Arial"/>
                      <w:sz w:val="20"/>
                    </w:rPr>
                    <w:t>: _</w:t>
                  </w:r>
                  <w:r w:rsidR="00C417E3">
                    <w:rPr>
                      <w:rFonts w:ascii="Arial" w:hAnsi="Arial" w:cs="Arial"/>
                      <w:sz w:val="20"/>
                    </w:rPr>
                    <w:t>____________________</w:t>
                  </w:r>
                </w:p>
              </w:tc>
              <w:tc>
                <w:tcPr>
                  <w:tcW w:w="4508" w:type="dxa"/>
                </w:tcPr>
                <w:p w14:paraId="6E10033A" w14:textId="77777777" w:rsidR="00324D94" w:rsidRDefault="00324D94" w:rsidP="00324D94">
                  <w:pPr>
                    <w:tabs>
                      <w:tab w:val="left" w:pos="720"/>
                    </w:tabs>
                    <w:jc w:val="both"/>
                    <w:rPr>
                      <w:rFonts w:ascii="Arial" w:hAnsi="Arial" w:cs="Arial"/>
                      <w:sz w:val="20"/>
                    </w:rPr>
                  </w:pPr>
                </w:p>
                <w:p w14:paraId="0382C23F" w14:textId="79A5F0B3" w:rsidR="001A407F" w:rsidRDefault="001A407F"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69A49EC1" w:rsidR="00324D94" w:rsidRDefault="00324D94" w:rsidP="00324D94">
                  <w:pPr>
                    <w:tabs>
                      <w:tab w:val="left" w:pos="720"/>
                    </w:tabs>
                    <w:jc w:val="both"/>
                    <w:rPr>
                      <w:rFonts w:ascii="Arial" w:hAnsi="Arial" w:cs="Arial"/>
                      <w:sz w:val="20"/>
                    </w:rPr>
                  </w:pPr>
                  <w:r>
                    <w:rPr>
                      <w:rFonts w:ascii="Arial" w:hAnsi="Arial" w:cs="Arial"/>
                      <w:sz w:val="20"/>
                    </w:rPr>
                    <w:t xml:space="preserve">Date: </w:t>
                  </w:r>
                  <w:r w:rsidR="00C417E3">
                    <w:rPr>
                      <w:rFonts w:ascii="Arial" w:hAnsi="Arial" w:cs="Arial"/>
                      <w:sz w:val="20"/>
                    </w:rPr>
                    <w:t>________________</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753CA" w14:textId="77777777" w:rsidR="00706613" w:rsidRDefault="00706613" w:rsidP="00201A98">
      <w:r>
        <w:separator/>
      </w:r>
    </w:p>
  </w:endnote>
  <w:endnote w:type="continuationSeparator" w:id="0">
    <w:p w14:paraId="579D937D" w14:textId="77777777" w:rsidR="00706613" w:rsidRDefault="007066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C98CF" w14:textId="77777777" w:rsidR="00706613" w:rsidRDefault="00706613" w:rsidP="00201A98">
      <w:r>
        <w:separator/>
      </w:r>
    </w:p>
  </w:footnote>
  <w:footnote w:type="continuationSeparator" w:id="0">
    <w:p w14:paraId="427F31F0" w14:textId="77777777" w:rsidR="00706613" w:rsidRDefault="007066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706613"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52925908"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EA3055"/>
    <w:multiLevelType w:val="hybridMultilevel"/>
    <w:tmpl w:val="6C8498C8"/>
    <w:lvl w:ilvl="0" w:tplc="F7F884D6">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1"/>
  </w:num>
  <w:num w:numId="2">
    <w:abstractNumId w:val="31"/>
  </w:num>
  <w:num w:numId="3">
    <w:abstractNumId w:val="32"/>
  </w:num>
  <w:num w:numId="4">
    <w:abstractNumId w:val="5"/>
  </w:num>
  <w:num w:numId="5">
    <w:abstractNumId w:val="16"/>
  </w:num>
  <w:num w:numId="6">
    <w:abstractNumId w:val="20"/>
  </w:num>
  <w:num w:numId="7">
    <w:abstractNumId w:val="39"/>
  </w:num>
  <w:num w:numId="8">
    <w:abstractNumId w:val="8"/>
  </w:num>
  <w:num w:numId="9">
    <w:abstractNumId w:val="24"/>
  </w:num>
  <w:num w:numId="10">
    <w:abstractNumId w:val="28"/>
  </w:num>
  <w:num w:numId="11">
    <w:abstractNumId w:val="35"/>
  </w:num>
  <w:num w:numId="12">
    <w:abstractNumId w:val="14"/>
  </w:num>
  <w:num w:numId="13">
    <w:abstractNumId w:val="25"/>
  </w:num>
  <w:num w:numId="14">
    <w:abstractNumId w:val="18"/>
  </w:num>
  <w:num w:numId="15">
    <w:abstractNumId w:val="19"/>
  </w:num>
  <w:num w:numId="16">
    <w:abstractNumId w:val="2"/>
  </w:num>
  <w:num w:numId="17">
    <w:abstractNumId w:val="22"/>
  </w:num>
  <w:num w:numId="18">
    <w:abstractNumId w:val="9"/>
  </w:num>
  <w:num w:numId="19">
    <w:abstractNumId w:val="30"/>
  </w:num>
  <w:num w:numId="20">
    <w:abstractNumId w:val="15"/>
  </w:num>
  <w:num w:numId="21">
    <w:abstractNumId w:val="26"/>
  </w:num>
  <w:num w:numId="22">
    <w:abstractNumId w:val="17"/>
  </w:num>
  <w:num w:numId="23">
    <w:abstractNumId w:val="37"/>
  </w:num>
  <w:num w:numId="24">
    <w:abstractNumId w:val="23"/>
  </w:num>
  <w:num w:numId="25">
    <w:abstractNumId w:val="13"/>
  </w:num>
  <w:num w:numId="26">
    <w:abstractNumId w:val="15"/>
  </w:num>
  <w:num w:numId="27">
    <w:abstractNumId w:val="43"/>
  </w:num>
  <w:num w:numId="28">
    <w:abstractNumId w:val="27"/>
  </w:num>
  <w:num w:numId="29">
    <w:abstractNumId w:val="7"/>
  </w:num>
  <w:num w:numId="30">
    <w:abstractNumId w:val="33"/>
  </w:num>
  <w:num w:numId="31">
    <w:abstractNumId w:val="45"/>
  </w:num>
  <w:num w:numId="32">
    <w:abstractNumId w:val="41"/>
  </w:num>
  <w:num w:numId="33">
    <w:abstractNumId w:val="34"/>
  </w:num>
  <w:num w:numId="34">
    <w:abstractNumId w:val="44"/>
  </w:num>
  <w:num w:numId="35">
    <w:abstractNumId w:val="21"/>
  </w:num>
  <w:num w:numId="36">
    <w:abstractNumId w:val="42"/>
  </w:num>
  <w:num w:numId="37">
    <w:abstractNumId w:val="10"/>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40"/>
  </w:num>
  <w:num w:numId="41">
    <w:abstractNumId w:val="6"/>
  </w:num>
  <w:num w:numId="42">
    <w:abstractNumId w:val="0"/>
  </w:num>
  <w:num w:numId="43">
    <w:abstractNumId w:val="29"/>
  </w:num>
  <w:num w:numId="44">
    <w:abstractNumId w:val="1"/>
  </w:num>
  <w:num w:numId="45">
    <w:abstractNumId w:val="38"/>
  </w:num>
  <w:num w:numId="46">
    <w:abstractNumId w:val="3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1ED0"/>
    <w:rsid w:val="00023030"/>
    <w:rsid w:val="000263D8"/>
    <w:rsid w:val="00067DC9"/>
    <w:rsid w:val="00074C17"/>
    <w:rsid w:val="00077A57"/>
    <w:rsid w:val="000808C1"/>
    <w:rsid w:val="0009108C"/>
    <w:rsid w:val="00097047"/>
    <w:rsid w:val="000A01FA"/>
    <w:rsid w:val="000A386C"/>
    <w:rsid w:val="000A648D"/>
    <w:rsid w:val="000B165C"/>
    <w:rsid w:val="000B28F1"/>
    <w:rsid w:val="000B4FAE"/>
    <w:rsid w:val="000B6B22"/>
    <w:rsid w:val="000B7D6D"/>
    <w:rsid w:val="000C33EB"/>
    <w:rsid w:val="000C6C73"/>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A1B65"/>
    <w:rsid w:val="001A407F"/>
    <w:rsid w:val="001A408A"/>
    <w:rsid w:val="001A57D9"/>
    <w:rsid w:val="001B1409"/>
    <w:rsid w:val="001B2323"/>
    <w:rsid w:val="001B3B2A"/>
    <w:rsid w:val="001C599B"/>
    <w:rsid w:val="001C61B6"/>
    <w:rsid w:val="001C6B54"/>
    <w:rsid w:val="001D0409"/>
    <w:rsid w:val="001D042C"/>
    <w:rsid w:val="001D1614"/>
    <w:rsid w:val="001D391D"/>
    <w:rsid w:val="001D3F40"/>
    <w:rsid w:val="001E4F28"/>
    <w:rsid w:val="001E64BB"/>
    <w:rsid w:val="00201A98"/>
    <w:rsid w:val="00203FB8"/>
    <w:rsid w:val="00212E00"/>
    <w:rsid w:val="00213B95"/>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9444F"/>
    <w:rsid w:val="003B3ABD"/>
    <w:rsid w:val="003C0391"/>
    <w:rsid w:val="003C07F4"/>
    <w:rsid w:val="003D48B8"/>
    <w:rsid w:val="003D66FA"/>
    <w:rsid w:val="003D78F9"/>
    <w:rsid w:val="003E052A"/>
    <w:rsid w:val="003E4D3F"/>
    <w:rsid w:val="003F2387"/>
    <w:rsid w:val="003F3E07"/>
    <w:rsid w:val="003F558E"/>
    <w:rsid w:val="003F59CF"/>
    <w:rsid w:val="003F7B1E"/>
    <w:rsid w:val="004021C6"/>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38BB"/>
    <w:rsid w:val="00504CE2"/>
    <w:rsid w:val="00506A41"/>
    <w:rsid w:val="005125A6"/>
    <w:rsid w:val="0051409A"/>
    <w:rsid w:val="00514EB4"/>
    <w:rsid w:val="00520F4E"/>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C6035"/>
    <w:rsid w:val="005D7F0D"/>
    <w:rsid w:val="005E0073"/>
    <w:rsid w:val="005E3BE0"/>
    <w:rsid w:val="005E6044"/>
    <w:rsid w:val="005E7546"/>
    <w:rsid w:val="00602047"/>
    <w:rsid w:val="006067AC"/>
    <w:rsid w:val="0060752E"/>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4741"/>
    <w:rsid w:val="006D07D5"/>
    <w:rsid w:val="006D6104"/>
    <w:rsid w:val="006E0940"/>
    <w:rsid w:val="006E14B5"/>
    <w:rsid w:val="006E1BFE"/>
    <w:rsid w:val="006E4F88"/>
    <w:rsid w:val="006E52BA"/>
    <w:rsid w:val="006F341A"/>
    <w:rsid w:val="006F5D0A"/>
    <w:rsid w:val="006F7826"/>
    <w:rsid w:val="00702C96"/>
    <w:rsid w:val="00705512"/>
    <w:rsid w:val="00706613"/>
    <w:rsid w:val="00713E63"/>
    <w:rsid w:val="00730262"/>
    <w:rsid w:val="00732A3F"/>
    <w:rsid w:val="00732BC4"/>
    <w:rsid w:val="00733FE1"/>
    <w:rsid w:val="007537B6"/>
    <w:rsid w:val="00761BE3"/>
    <w:rsid w:val="00766FB1"/>
    <w:rsid w:val="00766FE5"/>
    <w:rsid w:val="00784A54"/>
    <w:rsid w:val="00785295"/>
    <w:rsid w:val="007875CB"/>
    <w:rsid w:val="00791C9C"/>
    <w:rsid w:val="0079769C"/>
    <w:rsid w:val="007A6DC8"/>
    <w:rsid w:val="007A6F13"/>
    <w:rsid w:val="007B57E6"/>
    <w:rsid w:val="007C0A56"/>
    <w:rsid w:val="007D4E0A"/>
    <w:rsid w:val="007D5975"/>
    <w:rsid w:val="007E0CE5"/>
    <w:rsid w:val="007F15E3"/>
    <w:rsid w:val="00810BAA"/>
    <w:rsid w:val="00820038"/>
    <w:rsid w:val="00825B67"/>
    <w:rsid w:val="008326AE"/>
    <w:rsid w:val="00844D86"/>
    <w:rsid w:val="0084573D"/>
    <w:rsid w:val="00845A4B"/>
    <w:rsid w:val="0084716C"/>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2AE9"/>
    <w:rsid w:val="009A77EC"/>
    <w:rsid w:val="009E44B3"/>
    <w:rsid w:val="009F3555"/>
    <w:rsid w:val="00A05C1D"/>
    <w:rsid w:val="00A111DA"/>
    <w:rsid w:val="00A14D1D"/>
    <w:rsid w:val="00A22EF4"/>
    <w:rsid w:val="00A256F9"/>
    <w:rsid w:val="00A346F0"/>
    <w:rsid w:val="00A36904"/>
    <w:rsid w:val="00A4460B"/>
    <w:rsid w:val="00A473FA"/>
    <w:rsid w:val="00A532EE"/>
    <w:rsid w:val="00A651E0"/>
    <w:rsid w:val="00A6602E"/>
    <w:rsid w:val="00A67C16"/>
    <w:rsid w:val="00A72491"/>
    <w:rsid w:val="00A72A16"/>
    <w:rsid w:val="00A91CB3"/>
    <w:rsid w:val="00A93B69"/>
    <w:rsid w:val="00AA16F4"/>
    <w:rsid w:val="00AA403D"/>
    <w:rsid w:val="00AB4D3B"/>
    <w:rsid w:val="00AB64E3"/>
    <w:rsid w:val="00AB650A"/>
    <w:rsid w:val="00AC3774"/>
    <w:rsid w:val="00AC41CE"/>
    <w:rsid w:val="00AD784B"/>
    <w:rsid w:val="00AE631B"/>
    <w:rsid w:val="00AE7139"/>
    <w:rsid w:val="00AF35DE"/>
    <w:rsid w:val="00AF6824"/>
    <w:rsid w:val="00B0017D"/>
    <w:rsid w:val="00B00E72"/>
    <w:rsid w:val="00B0566F"/>
    <w:rsid w:val="00B16C39"/>
    <w:rsid w:val="00B2123E"/>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E70E6"/>
    <w:rsid w:val="00BF476B"/>
    <w:rsid w:val="00BF7560"/>
    <w:rsid w:val="00C029D2"/>
    <w:rsid w:val="00C12D3D"/>
    <w:rsid w:val="00C2594A"/>
    <w:rsid w:val="00C2623C"/>
    <w:rsid w:val="00C26313"/>
    <w:rsid w:val="00C32CF3"/>
    <w:rsid w:val="00C369AF"/>
    <w:rsid w:val="00C40E58"/>
    <w:rsid w:val="00C413FB"/>
    <w:rsid w:val="00C417E3"/>
    <w:rsid w:val="00C4471F"/>
    <w:rsid w:val="00C469F5"/>
    <w:rsid w:val="00C5004E"/>
    <w:rsid w:val="00C57388"/>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87D94"/>
    <w:rsid w:val="00DA1B06"/>
    <w:rsid w:val="00DA3954"/>
    <w:rsid w:val="00DB22F3"/>
    <w:rsid w:val="00DB6A92"/>
    <w:rsid w:val="00DC3353"/>
    <w:rsid w:val="00DC6795"/>
    <w:rsid w:val="00DD1E1C"/>
    <w:rsid w:val="00DD4232"/>
    <w:rsid w:val="00DD5408"/>
    <w:rsid w:val="00DD7B12"/>
    <w:rsid w:val="00DE2368"/>
    <w:rsid w:val="00DE6A29"/>
    <w:rsid w:val="00DF46B0"/>
    <w:rsid w:val="00E112C5"/>
    <w:rsid w:val="00E2355B"/>
    <w:rsid w:val="00E238C2"/>
    <w:rsid w:val="00E26D9A"/>
    <w:rsid w:val="00E35EB0"/>
    <w:rsid w:val="00E3774F"/>
    <w:rsid w:val="00E500CF"/>
    <w:rsid w:val="00E534E2"/>
    <w:rsid w:val="00E701E5"/>
    <w:rsid w:val="00E71288"/>
    <w:rsid w:val="00E71A93"/>
    <w:rsid w:val="00E727F9"/>
    <w:rsid w:val="00E74D52"/>
    <w:rsid w:val="00E90B24"/>
    <w:rsid w:val="00EA1B3D"/>
    <w:rsid w:val="00EA320B"/>
    <w:rsid w:val="00EA4206"/>
    <w:rsid w:val="00EA765D"/>
    <w:rsid w:val="00EB03A4"/>
    <w:rsid w:val="00EB1330"/>
    <w:rsid w:val="00EB20DA"/>
    <w:rsid w:val="00EB6A30"/>
    <w:rsid w:val="00EC662F"/>
    <w:rsid w:val="00ED3E4E"/>
    <w:rsid w:val="00ED4D1A"/>
    <w:rsid w:val="00EF279E"/>
    <w:rsid w:val="00EF2F58"/>
    <w:rsid w:val="00EF4E0F"/>
    <w:rsid w:val="00EF5055"/>
    <w:rsid w:val="00EF67B3"/>
    <w:rsid w:val="00EF6D03"/>
    <w:rsid w:val="00EF748F"/>
    <w:rsid w:val="00EF780B"/>
    <w:rsid w:val="00F04C7B"/>
    <w:rsid w:val="00F0521B"/>
    <w:rsid w:val="00F14B71"/>
    <w:rsid w:val="00F16AC6"/>
    <w:rsid w:val="00F22D6B"/>
    <w:rsid w:val="00F300A7"/>
    <w:rsid w:val="00F3247D"/>
    <w:rsid w:val="00F337F6"/>
    <w:rsid w:val="00F43E37"/>
    <w:rsid w:val="00F45833"/>
    <w:rsid w:val="00F53FC5"/>
    <w:rsid w:val="00F64443"/>
    <w:rsid w:val="00F73FDF"/>
    <w:rsid w:val="00F76156"/>
    <w:rsid w:val="00F819D3"/>
    <w:rsid w:val="00F853A9"/>
    <w:rsid w:val="00F92697"/>
    <w:rsid w:val="00F9323F"/>
    <w:rsid w:val="00F9702A"/>
    <w:rsid w:val="00FA1238"/>
    <w:rsid w:val="00FA31B2"/>
    <w:rsid w:val="00FB1E51"/>
    <w:rsid w:val="00FB2E48"/>
    <w:rsid w:val="00FB3F38"/>
    <w:rsid w:val="00FB718B"/>
    <w:rsid w:val="00FC0343"/>
    <w:rsid w:val="00FD73A1"/>
    <w:rsid w:val="00FE1D4A"/>
    <w:rsid w:val="00FE27D9"/>
    <w:rsid w:val="00FE57AA"/>
    <w:rsid w:val="00FE6AD8"/>
    <w:rsid w:val="00FF5B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 w:type="paragraph" w:styleId="ListNumber">
    <w:name w:val="List Number"/>
    <w:basedOn w:val="Normal"/>
    <w:uiPriority w:val="99"/>
    <w:unhideWhenUsed/>
    <w:rsid w:val="00212E00"/>
    <w:pPr>
      <w:numPr>
        <w:numId w:val="46"/>
      </w:numPr>
      <w:spacing w:after="200" w:line="276" w:lineRule="auto"/>
      <w:contextualSpacing/>
    </w:pPr>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Kabelo Mogase</cp:lastModifiedBy>
  <cp:revision>3</cp:revision>
  <cp:lastPrinted>2023-01-25T15:41:00Z</cp:lastPrinted>
  <dcterms:created xsi:type="dcterms:W3CDTF">2023-08-07T12:36:00Z</dcterms:created>
  <dcterms:modified xsi:type="dcterms:W3CDTF">2023-08-07T13:05:00Z</dcterms:modified>
</cp:coreProperties>
</file>