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10EFB596BDFC435CB6AC2AC0866C7ED7"/>
        </w:placeholder>
      </w:sdtPr>
      <w:sdtContent>
        <w:sdt>
          <w:sdtPr>
            <w:id w:val="-1462265599"/>
            <w:lock w:val="sdtContentLocked"/>
            <w:placeholder>
              <w:docPart w:val="10EFB596BDFC435CB6AC2AC0866C7ED7"/>
            </w:placeholder>
            <w15:appearance w15:val="hidden"/>
          </w:sdtPr>
          <w:sdtContent>
            <w:p w14:paraId="1652B18D" w14:textId="77777777" w:rsidR="00AB0B86" w:rsidRDefault="00AB0B86" w:rsidP="00AB0B86">
              <w:pPr>
                <w:jc w:val="center"/>
              </w:pPr>
            </w:p>
            <w:p w14:paraId="7D7234CD"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1E22C4E" wp14:editId="2CCA6F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160A0B9"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D14E5D9" wp14:editId="55C2B8E1">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302A39D" w14:textId="77777777" w:rsidR="00AB0B86" w:rsidRDefault="00AB0B86" w:rsidP="00AB0B86">
              <w:pPr>
                <w:jc w:val="center"/>
              </w:pPr>
            </w:p>
            <w:p w14:paraId="674B7FAC" w14:textId="77777777" w:rsidR="00AB0B86" w:rsidRDefault="00AB0B86" w:rsidP="00AB0B86">
              <w:pPr>
                <w:jc w:val="center"/>
              </w:pPr>
            </w:p>
            <w:p w14:paraId="566DC7D1" w14:textId="77777777" w:rsidR="00AB0B86" w:rsidRDefault="00AB0B86" w:rsidP="00AB0B86">
              <w:pPr>
                <w:jc w:val="center"/>
              </w:pPr>
            </w:p>
            <w:p w14:paraId="4C979110" w14:textId="77777777" w:rsidR="00AB0B86" w:rsidRDefault="00AB0B86" w:rsidP="00AB0B86">
              <w:pPr>
                <w:jc w:val="center"/>
              </w:pPr>
            </w:p>
            <w:p w14:paraId="6DA5017B" w14:textId="77777777" w:rsidR="00AB0B86" w:rsidRDefault="00AB0B86" w:rsidP="00AB0B86">
              <w:pPr>
                <w:jc w:val="center"/>
              </w:pPr>
            </w:p>
            <w:p w14:paraId="6E36B062" w14:textId="77777777" w:rsidR="00AB0B86" w:rsidRDefault="00AB0B86" w:rsidP="00AB0B86">
              <w:pPr>
                <w:jc w:val="center"/>
              </w:pPr>
            </w:p>
            <w:p w14:paraId="4319A499" w14:textId="77777777" w:rsidR="00AB0B86" w:rsidRDefault="00AB0B86" w:rsidP="00AB0B86">
              <w:pPr>
                <w:jc w:val="center"/>
              </w:pPr>
            </w:p>
            <w:p w14:paraId="49CC6B4E" w14:textId="77777777" w:rsidR="00F70A16" w:rsidRDefault="00000000" w:rsidP="00AB0B86">
              <w:pPr>
                <w:jc w:val="center"/>
              </w:pPr>
            </w:p>
          </w:sdtContent>
        </w:sdt>
      </w:sdtContent>
    </w:sdt>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7746"/>
      </w:tblGrid>
      <w:tr w:rsidR="00221BDB" w:rsidRPr="00FE4660" w14:paraId="64D63E29" w14:textId="77777777" w:rsidTr="00F032BA">
        <w:trPr>
          <w:trHeight w:val="687"/>
        </w:trPr>
        <w:tc>
          <w:tcPr>
            <w:tcW w:w="0" w:type="auto"/>
            <w:vAlign w:val="center"/>
          </w:tcPr>
          <w:p w14:paraId="3988A7C4" w14:textId="77777777" w:rsidR="00221BDB" w:rsidRDefault="00221BDB" w:rsidP="00F032BA">
            <w:pPr>
              <w:rPr>
                <w:rFonts w:eastAsia="Times New Roman" w:cs="Calibri Light"/>
                <w:b/>
                <w:szCs w:val="24"/>
              </w:rPr>
            </w:pPr>
            <w:r>
              <w:rPr>
                <w:rFonts w:eastAsia="Times New Roman" w:cs="Calibri Light"/>
                <w:b/>
                <w:szCs w:val="24"/>
              </w:rPr>
              <w:t>RFQ No:</w:t>
            </w:r>
          </w:p>
        </w:tc>
        <w:tc>
          <w:tcPr>
            <w:tcW w:w="0" w:type="auto"/>
          </w:tcPr>
          <w:p w14:paraId="4A98D954" w14:textId="70F22405" w:rsidR="00221BDB" w:rsidRDefault="00221BDB" w:rsidP="00F032BA">
            <w:pPr>
              <w:rPr>
                <w:rFonts w:ascii="Calibri" w:eastAsia="Aptos" w:hAnsi="Calibri" w:cs="Calibri"/>
                <w:color w:val="000000"/>
              </w:rPr>
            </w:pPr>
            <w:r w:rsidRPr="007B5975">
              <w:rPr>
                <w:rFonts w:ascii="Calibri" w:eastAsia="Aptos" w:hAnsi="Calibri" w:cs="Calibri"/>
                <w:color w:val="000000"/>
              </w:rPr>
              <w:t xml:space="preserve">RFB </w:t>
            </w:r>
            <w:r w:rsidR="007B5975" w:rsidRPr="007B5975">
              <w:rPr>
                <w:rFonts w:ascii="Calibri" w:eastAsia="Aptos" w:hAnsi="Calibri" w:cs="Calibri"/>
                <w:color w:val="000000"/>
              </w:rPr>
              <w:t>3189</w:t>
            </w:r>
            <w:r w:rsidRPr="007B5975">
              <w:rPr>
                <w:rFonts w:ascii="Calibri" w:eastAsia="Aptos" w:hAnsi="Calibri" w:cs="Calibri"/>
                <w:color w:val="000000"/>
              </w:rPr>
              <w:t xml:space="preserve"> -2025</w:t>
            </w:r>
          </w:p>
        </w:tc>
      </w:tr>
      <w:tr w:rsidR="00221BDB" w:rsidRPr="00FE4660" w14:paraId="221DFE11" w14:textId="77777777" w:rsidTr="00F032BA">
        <w:trPr>
          <w:trHeight w:val="1382"/>
        </w:trPr>
        <w:tc>
          <w:tcPr>
            <w:tcW w:w="0" w:type="auto"/>
            <w:vAlign w:val="center"/>
          </w:tcPr>
          <w:p w14:paraId="0A1B9226" w14:textId="77777777" w:rsidR="00221BDB" w:rsidRDefault="00221BDB" w:rsidP="00F032BA">
            <w:pPr>
              <w:spacing w:line="360" w:lineRule="auto"/>
              <w:rPr>
                <w:rFonts w:ascii="Aptos" w:eastAsia="Times New Roman" w:hAnsi="Aptos" w:cs="Aptos"/>
                <w:b/>
              </w:rPr>
            </w:pPr>
            <w:r>
              <w:rPr>
                <w:rFonts w:ascii="Aptos" w:eastAsia="Times New Roman" w:hAnsi="Aptos" w:cs="Aptos"/>
                <w:b/>
              </w:rPr>
              <w:t>Description</w:t>
            </w:r>
          </w:p>
        </w:tc>
        <w:tc>
          <w:tcPr>
            <w:tcW w:w="0" w:type="auto"/>
          </w:tcPr>
          <w:tbl>
            <w:tblPr>
              <w:tblW w:w="0" w:type="auto"/>
              <w:tblBorders>
                <w:top w:val="nil"/>
                <w:left w:val="nil"/>
                <w:bottom w:val="nil"/>
                <w:right w:val="nil"/>
              </w:tblBorders>
              <w:tblLook w:val="0000" w:firstRow="0" w:lastRow="0" w:firstColumn="0" w:lastColumn="0" w:noHBand="0" w:noVBand="0"/>
            </w:tblPr>
            <w:tblGrid>
              <w:gridCol w:w="7530"/>
            </w:tblGrid>
            <w:tr w:rsidR="00221BDB" w:rsidRPr="00467CDF" w14:paraId="0198AF4F" w14:textId="77777777" w:rsidTr="00F032BA">
              <w:trPr>
                <w:trHeight w:val="412"/>
              </w:trPr>
              <w:tc>
                <w:tcPr>
                  <w:tcW w:w="0" w:type="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308"/>
                    <w:gridCol w:w="6"/>
                  </w:tblGrid>
                  <w:tr w:rsidR="00221BDB" w:rsidRPr="00467CDF" w14:paraId="0DB9C792" w14:textId="77777777" w:rsidTr="00F032BA">
                    <w:trPr>
                      <w:trHeight w:val="220"/>
                    </w:trPr>
                    <w:tc>
                      <w:tcPr>
                        <w:tcW w:w="0" w:type="auto"/>
                        <w:tcBorders>
                          <w:top w:val="nil"/>
                          <w:left w:val="nil"/>
                          <w:bottom w:val="nil"/>
                          <w:right w:val="nil"/>
                        </w:tcBorders>
                      </w:tcPr>
                      <w:p w14:paraId="5EC27AD1" w14:textId="6169DE62" w:rsidR="00221BDB" w:rsidRPr="00A3752F" w:rsidRDefault="007E4A77" w:rsidP="00F032BA">
                        <w:pPr>
                          <w:spacing w:line="360" w:lineRule="auto"/>
                          <w:jc w:val="left"/>
                          <w:rPr>
                            <w:rFonts w:ascii="Aptos" w:hAnsi="Aptos" w:cs="Aptos"/>
                            <w:b/>
                            <w:bCs/>
                            <w:lang w:val="en-GB"/>
                          </w:rPr>
                        </w:pPr>
                        <w:r w:rsidRPr="007E4A77">
                          <w:rPr>
                            <w:rFonts w:asciiTheme="majorHAnsi" w:hAnsiTheme="majorHAnsi"/>
                            <w:bCs/>
                          </w:rPr>
                          <w:t>Appointment of a Service Provider for Renewal of Inet/Winet Emulator Software Licenses Including Maintenance and Support for a Period of Five (5) Years for the Department of Correctional Services.</w:t>
                        </w:r>
                      </w:p>
                    </w:tc>
                    <w:tc>
                      <w:tcPr>
                        <w:tcW w:w="0" w:type="auto"/>
                      </w:tcPr>
                      <w:p w14:paraId="65EE9AE9" w14:textId="77777777" w:rsidR="00221BDB" w:rsidRPr="00A3752F" w:rsidRDefault="00221BDB" w:rsidP="00F032BA">
                        <w:pPr>
                          <w:spacing w:line="360" w:lineRule="auto"/>
                          <w:jc w:val="left"/>
                          <w:rPr>
                            <w:rFonts w:ascii="Aptos" w:hAnsi="Aptos" w:cs="Aptos"/>
                            <w:b/>
                            <w:bCs/>
                            <w:lang w:val="en-GB"/>
                          </w:rPr>
                        </w:pPr>
                        <w:r w:rsidRPr="00A3752F">
                          <w:rPr>
                            <w:rFonts w:ascii="Aptos" w:hAnsi="Aptos" w:cs="Aptos"/>
                            <w:b/>
                            <w:bCs/>
                            <w:lang w:val="en-GB"/>
                          </w:rPr>
                          <w:t xml:space="preserve"> </w:t>
                        </w:r>
                      </w:p>
                    </w:tc>
                  </w:tr>
                </w:tbl>
                <w:p w14:paraId="2B29E73C" w14:textId="77777777" w:rsidR="00221BDB" w:rsidRPr="00A3752F" w:rsidRDefault="00221BDB" w:rsidP="00F032BA">
                  <w:pPr>
                    <w:spacing w:line="360" w:lineRule="auto"/>
                    <w:jc w:val="left"/>
                    <w:rPr>
                      <w:rFonts w:ascii="Aptos" w:hAnsi="Aptos" w:cs="Aptos"/>
                      <w:b/>
                      <w:bCs/>
                      <w:lang w:val="en-GB"/>
                    </w:rPr>
                  </w:pPr>
                </w:p>
              </w:tc>
            </w:tr>
          </w:tbl>
          <w:p w14:paraId="598A1A40" w14:textId="77777777" w:rsidR="00221BDB" w:rsidRDefault="00221BDB" w:rsidP="00F032BA">
            <w:pPr>
              <w:spacing w:line="360" w:lineRule="auto"/>
              <w:rPr>
                <w:rFonts w:ascii="Aptos" w:eastAsia="Times New Roman" w:hAnsi="Aptos" w:cs="Aptos"/>
                <w:color w:val="FF0000"/>
                <w:highlight w:val="cyan"/>
              </w:rPr>
            </w:pPr>
          </w:p>
        </w:tc>
      </w:tr>
      <w:tr w:rsidR="00221BDB" w:rsidRPr="00FE4660" w14:paraId="2587B578" w14:textId="77777777" w:rsidTr="00F032BA">
        <w:trPr>
          <w:trHeight w:val="558"/>
        </w:trPr>
        <w:tc>
          <w:tcPr>
            <w:tcW w:w="0" w:type="auto"/>
            <w:vAlign w:val="center"/>
          </w:tcPr>
          <w:p w14:paraId="73A897EE" w14:textId="77777777" w:rsidR="00221BDB" w:rsidRDefault="00221BDB" w:rsidP="00F032BA">
            <w:pPr>
              <w:spacing w:line="360" w:lineRule="auto"/>
              <w:rPr>
                <w:rFonts w:ascii="Aptos" w:eastAsia="Times New Roman" w:hAnsi="Aptos" w:cs="Aptos"/>
                <w:b/>
              </w:rPr>
            </w:pPr>
            <w:r>
              <w:rPr>
                <w:rFonts w:ascii="Aptos" w:eastAsia="Times New Roman" w:hAnsi="Aptos" w:cs="Aptos"/>
                <w:b/>
              </w:rPr>
              <w:t>Publication Date</w:t>
            </w:r>
          </w:p>
        </w:tc>
        <w:tc>
          <w:tcPr>
            <w:tcW w:w="0" w:type="auto"/>
            <w:vAlign w:val="center"/>
          </w:tcPr>
          <w:p w14:paraId="25D989C9" w14:textId="3E819AFA" w:rsidR="00221BDB" w:rsidRDefault="00221BDB" w:rsidP="00F032BA">
            <w:pPr>
              <w:spacing w:line="360" w:lineRule="auto"/>
              <w:rPr>
                <w:rFonts w:ascii="Aptos" w:eastAsia="Times New Roman" w:hAnsi="Aptos" w:cs="Aptos"/>
              </w:rPr>
            </w:pPr>
            <w:r>
              <w:rPr>
                <w:rFonts w:ascii="Aptos" w:eastAsia="Times New Roman" w:hAnsi="Aptos" w:cs="Aptos"/>
              </w:rPr>
              <w:t>28 November 2025</w:t>
            </w:r>
          </w:p>
        </w:tc>
      </w:tr>
      <w:tr w:rsidR="00221BDB" w:rsidRPr="00FE4660" w14:paraId="3A92214D" w14:textId="77777777" w:rsidTr="00F032BA">
        <w:trPr>
          <w:trHeight w:val="713"/>
        </w:trPr>
        <w:tc>
          <w:tcPr>
            <w:tcW w:w="0" w:type="auto"/>
            <w:vAlign w:val="center"/>
          </w:tcPr>
          <w:p w14:paraId="62498114" w14:textId="77777777" w:rsidR="00221BDB" w:rsidRDefault="00221BDB" w:rsidP="00F032BA">
            <w:pPr>
              <w:spacing w:line="360" w:lineRule="auto"/>
              <w:rPr>
                <w:rFonts w:ascii="Aptos" w:eastAsia="Times New Roman" w:hAnsi="Aptos" w:cs="Aptos"/>
                <w:b/>
              </w:rPr>
            </w:pPr>
            <w:r>
              <w:rPr>
                <w:rFonts w:ascii="Aptos" w:eastAsia="Times New Roman" w:hAnsi="Aptos" w:cs="Aptos"/>
                <w:b/>
              </w:rPr>
              <w:t>RFQ Closing Details and Address</w:t>
            </w:r>
          </w:p>
        </w:tc>
        <w:tc>
          <w:tcPr>
            <w:tcW w:w="0" w:type="auto"/>
            <w:vAlign w:val="center"/>
          </w:tcPr>
          <w:p w14:paraId="38E9B6DB" w14:textId="1B5E3ECF" w:rsidR="00221BDB" w:rsidRDefault="00221BDB" w:rsidP="00F032BA">
            <w:pPr>
              <w:spacing w:line="360" w:lineRule="auto"/>
              <w:rPr>
                <w:rFonts w:ascii="Aptos" w:eastAsia="Times New Roman" w:hAnsi="Aptos" w:cs="Aptos"/>
                <w:b/>
                <w:bCs/>
                <w:lang w:val="en-GB"/>
              </w:rPr>
            </w:pPr>
            <w:r>
              <w:rPr>
                <w:rFonts w:ascii="Aptos" w:eastAsia="Times New Roman" w:hAnsi="Aptos" w:cs="Aptos"/>
                <w:b/>
                <w:bCs/>
                <w:lang w:val="en-GB"/>
              </w:rPr>
              <w:t xml:space="preserve">DATE: </w:t>
            </w:r>
            <w:r w:rsidR="00744DBE">
              <w:rPr>
                <w:rFonts w:ascii="Aptos" w:eastAsia="Times New Roman" w:hAnsi="Aptos" w:cs="Aptos"/>
                <w:b/>
                <w:bCs/>
                <w:lang w:val="en-GB"/>
              </w:rPr>
              <w:t>16</w:t>
            </w:r>
            <w:r>
              <w:rPr>
                <w:rFonts w:ascii="Aptos" w:eastAsia="Times New Roman" w:hAnsi="Aptos" w:cs="Aptos"/>
                <w:b/>
                <w:bCs/>
                <w:lang w:val="en-GB"/>
              </w:rPr>
              <w:t xml:space="preserve"> January 2026</w:t>
            </w:r>
          </w:p>
          <w:p w14:paraId="7918BA2F" w14:textId="77777777" w:rsidR="00221BDB" w:rsidRDefault="00221BDB" w:rsidP="00F032BA">
            <w:pPr>
              <w:spacing w:line="360" w:lineRule="auto"/>
              <w:rPr>
                <w:rFonts w:ascii="Aptos" w:eastAsia="Times New Roman" w:hAnsi="Aptos" w:cs="Aptos"/>
                <w:b/>
                <w:bCs/>
                <w:lang w:val="en-GB"/>
              </w:rPr>
            </w:pPr>
            <w:proofErr w:type="gramStart"/>
            <w:r>
              <w:rPr>
                <w:rFonts w:ascii="Aptos" w:eastAsia="Times New Roman" w:hAnsi="Aptos" w:cs="Aptos"/>
                <w:b/>
                <w:bCs/>
                <w:lang w:val="en-GB"/>
              </w:rPr>
              <w:t>Time :</w:t>
            </w:r>
            <w:proofErr w:type="gramEnd"/>
            <w:r>
              <w:rPr>
                <w:rFonts w:ascii="Aptos" w:eastAsia="Times New Roman" w:hAnsi="Aptos" w:cs="Aptos"/>
                <w:b/>
                <w:bCs/>
                <w:lang w:val="en-GB"/>
              </w:rPr>
              <w:t xml:space="preserve"> 11:00am</w:t>
            </w:r>
          </w:p>
          <w:p w14:paraId="44AB99FB" w14:textId="77777777" w:rsidR="00221BDB" w:rsidRPr="002C20FC" w:rsidRDefault="00221BDB" w:rsidP="00F032BA">
            <w:pPr>
              <w:spacing w:line="360" w:lineRule="auto"/>
              <w:rPr>
                <w:rFonts w:ascii="Aptos" w:eastAsia="Times New Roman" w:hAnsi="Aptos" w:cs="Aptos"/>
                <w:b/>
                <w:bCs/>
                <w:lang w:val="en-GB"/>
              </w:rPr>
            </w:pPr>
            <w:r w:rsidRPr="002C20FC">
              <w:rPr>
                <w:rFonts w:ascii="Aptos" w:eastAsia="Times New Roman" w:hAnsi="Aptos" w:cs="Aptos"/>
                <w:b/>
                <w:bCs/>
                <w:lang w:val="en-GB"/>
              </w:rPr>
              <w:t xml:space="preserve">Tender Office, Pongola </w:t>
            </w:r>
            <w:proofErr w:type="gramStart"/>
            <w:r w:rsidRPr="002C20FC">
              <w:rPr>
                <w:rFonts w:ascii="Aptos" w:eastAsia="Times New Roman" w:hAnsi="Aptos" w:cs="Aptos"/>
                <w:b/>
                <w:bCs/>
                <w:lang w:val="en-GB"/>
              </w:rPr>
              <w:t>In</w:t>
            </w:r>
            <w:proofErr w:type="gramEnd"/>
            <w:r w:rsidRPr="002C20FC">
              <w:rPr>
                <w:rFonts w:ascii="Aptos" w:eastAsia="Times New Roman" w:hAnsi="Aptos" w:cs="Aptos"/>
                <w:b/>
                <w:bCs/>
                <w:lang w:val="en-GB"/>
              </w:rPr>
              <w:t xml:space="preserve"> Apollo</w:t>
            </w:r>
          </w:p>
          <w:p w14:paraId="063F043C" w14:textId="77777777" w:rsidR="00221BDB" w:rsidRDefault="00221BDB" w:rsidP="00F032BA">
            <w:pPr>
              <w:spacing w:line="360" w:lineRule="auto"/>
              <w:rPr>
                <w:rFonts w:ascii="Aptos" w:eastAsia="Times New Roman" w:hAnsi="Aptos" w:cs="Aptos"/>
              </w:rPr>
            </w:pPr>
            <w:r w:rsidRPr="002C20FC">
              <w:rPr>
                <w:rFonts w:ascii="Aptos" w:eastAsia="Times New Roman" w:hAnsi="Aptos" w:cs="Aptos"/>
                <w:b/>
                <w:bCs/>
                <w:lang w:val="en-GB"/>
              </w:rPr>
              <w:t xml:space="preserve">459 </w:t>
            </w:r>
            <w:proofErr w:type="spellStart"/>
            <w:r w:rsidRPr="002C20FC">
              <w:rPr>
                <w:rFonts w:ascii="Aptos" w:eastAsia="Times New Roman" w:hAnsi="Aptos" w:cs="Aptos"/>
                <w:b/>
                <w:bCs/>
                <w:lang w:val="en-GB"/>
              </w:rPr>
              <w:t>Tsitsa</w:t>
            </w:r>
            <w:proofErr w:type="spellEnd"/>
            <w:r w:rsidRPr="002C20FC">
              <w:rPr>
                <w:rFonts w:ascii="Aptos" w:eastAsia="Times New Roman" w:hAnsi="Aptos" w:cs="Aptos"/>
                <w:b/>
                <w:bCs/>
                <w:lang w:val="en-GB"/>
              </w:rPr>
              <w:t xml:space="preserve"> Street, </w:t>
            </w:r>
            <w:proofErr w:type="spellStart"/>
            <w:r w:rsidRPr="002C20FC">
              <w:rPr>
                <w:rFonts w:ascii="Aptos" w:eastAsia="Times New Roman" w:hAnsi="Aptos" w:cs="Aptos"/>
                <w:b/>
                <w:bCs/>
                <w:lang w:val="en-GB"/>
              </w:rPr>
              <w:t>Erasmuskloof</w:t>
            </w:r>
            <w:proofErr w:type="spellEnd"/>
            <w:r w:rsidRPr="002C20FC">
              <w:rPr>
                <w:rFonts w:ascii="Aptos" w:eastAsia="Times New Roman" w:hAnsi="Aptos" w:cs="Aptos"/>
                <w:b/>
                <w:bCs/>
                <w:lang w:val="en-GB"/>
              </w:rPr>
              <w:t>, Pretoria, 0105</w:t>
            </w:r>
          </w:p>
        </w:tc>
      </w:tr>
      <w:tr w:rsidR="00221BDB" w:rsidRPr="00FE4660" w14:paraId="3B17504A" w14:textId="77777777" w:rsidTr="00F032BA">
        <w:trPr>
          <w:trHeight w:val="367"/>
        </w:trPr>
        <w:tc>
          <w:tcPr>
            <w:tcW w:w="0" w:type="auto"/>
            <w:vAlign w:val="center"/>
          </w:tcPr>
          <w:p w14:paraId="131466F5" w14:textId="77777777" w:rsidR="00221BDB" w:rsidRDefault="00221BDB" w:rsidP="00F032BA">
            <w:pPr>
              <w:spacing w:line="360" w:lineRule="auto"/>
              <w:rPr>
                <w:rFonts w:ascii="Aptos" w:eastAsia="Times New Roman" w:hAnsi="Aptos" w:cs="Aptos"/>
                <w:b/>
              </w:rPr>
            </w:pPr>
            <w:r>
              <w:rPr>
                <w:rFonts w:ascii="Aptos" w:eastAsia="Times New Roman" w:hAnsi="Aptos" w:cs="Aptos"/>
                <w:b/>
              </w:rPr>
              <w:t>RFQ Validity Period</w:t>
            </w:r>
          </w:p>
        </w:tc>
        <w:tc>
          <w:tcPr>
            <w:tcW w:w="0" w:type="auto"/>
            <w:vAlign w:val="center"/>
          </w:tcPr>
          <w:p w14:paraId="10BE92A2" w14:textId="77777777" w:rsidR="00221BDB" w:rsidRDefault="00221BDB" w:rsidP="00F032BA">
            <w:pPr>
              <w:spacing w:line="360" w:lineRule="auto"/>
              <w:rPr>
                <w:rFonts w:ascii="Aptos" w:eastAsia="Times New Roman" w:hAnsi="Aptos" w:cs="Aptos"/>
              </w:rPr>
            </w:pPr>
          </w:p>
          <w:p w14:paraId="7A0C0B38" w14:textId="77777777" w:rsidR="00221BDB" w:rsidRDefault="00221BDB" w:rsidP="00F032BA">
            <w:pPr>
              <w:spacing w:line="360" w:lineRule="auto"/>
              <w:rPr>
                <w:rFonts w:ascii="Aptos" w:eastAsia="Times New Roman" w:hAnsi="Aptos" w:cs="Aptos"/>
                <w:b/>
                <w:bCs/>
              </w:rPr>
            </w:pPr>
            <w:r>
              <w:rPr>
                <w:rFonts w:ascii="Aptos" w:eastAsia="Times New Roman" w:hAnsi="Aptos" w:cs="Aptos"/>
                <w:b/>
                <w:bCs/>
              </w:rPr>
              <w:t>200 Days from the Closing Date</w:t>
            </w:r>
          </w:p>
        </w:tc>
      </w:tr>
    </w:tbl>
    <w:p w14:paraId="13CDCFB3" w14:textId="165E3569" w:rsidR="009C0D1E" w:rsidRDefault="007B5975">
      <w:pPr>
        <w:jc w:val="left"/>
      </w:pPr>
      <w:r w:rsidRPr="00AB7CF2">
        <w:rPr>
          <w:rFonts w:cs="Calibri"/>
          <w:b/>
          <w:bCs/>
          <w:color w:val="FF0000"/>
          <w:szCs w:val="32"/>
        </w:rPr>
        <w:t>Note: Prospective bidders must be registered on National Treasury’s Central Supplier Database (CSD) prior to submitting bids</w:t>
      </w:r>
    </w:p>
    <w:p w14:paraId="59A5C018" w14:textId="77777777" w:rsidR="00AB0B86" w:rsidRDefault="00AB0B86">
      <w:pPr>
        <w:jc w:val="left"/>
        <w:rPr>
          <w:b/>
          <w:color w:val="000099"/>
          <w:sz w:val="24"/>
        </w:rPr>
      </w:pPr>
    </w:p>
    <w:p w14:paraId="46C75028" w14:textId="77777777" w:rsidR="00F70A16" w:rsidRDefault="00F70A16">
      <w:pPr>
        <w:jc w:val="left"/>
      </w:pPr>
      <w:r>
        <w:br w:type="page"/>
      </w:r>
    </w:p>
    <w:p w14:paraId="675AD689" w14:textId="77777777" w:rsidR="00A44D99" w:rsidRPr="006C0A8D" w:rsidRDefault="00A44D99" w:rsidP="00C2646C">
      <w:pPr>
        <w:pStyle w:val="Title"/>
      </w:pPr>
      <w:r w:rsidRPr="006C0A8D">
        <w:lastRenderedPageBreak/>
        <w:t>Contents</w:t>
      </w:r>
    </w:p>
    <w:p w14:paraId="47398A4B" w14:textId="7F4F71D1" w:rsidR="007F045E"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2791982" w:history="1">
        <w:r w:rsidR="007F045E" w:rsidRPr="006E7237">
          <w:rPr>
            <w:rStyle w:val="Hyperlink"/>
            <w:noProof/>
          </w:rPr>
          <w:t>1.</w:t>
        </w:r>
        <w:r w:rsidR="007F045E">
          <w:rPr>
            <w:rFonts w:asciiTheme="minorHAnsi" w:eastAsiaTheme="minorEastAsia" w:hAnsiTheme="minorHAnsi" w:cstheme="minorBidi"/>
            <w:b w:val="0"/>
            <w:noProof/>
            <w:kern w:val="2"/>
            <w:sz w:val="24"/>
            <w:szCs w:val="24"/>
            <w:lang w:eastAsia="en-ZA"/>
            <w14:ligatures w14:val="standardContextual"/>
          </w:rPr>
          <w:tab/>
        </w:r>
        <w:r w:rsidR="007F045E" w:rsidRPr="006E7237">
          <w:rPr>
            <w:rStyle w:val="Hyperlink"/>
            <w:noProof/>
          </w:rPr>
          <w:t>Purpose and Background</w:t>
        </w:r>
        <w:r w:rsidR="007F045E">
          <w:rPr>
            <w:noProof/>
            <w:webHidden/>
          </w:rPr>
          <w:tab/>
        </w:r>
        <w:r w:rsidR="007F045E">
          <w:rPr>
            <w:noProof/>
            <w:webHidden/>
          </w:rPr>
          <w:fldChar w:fldCharType="begin"/>
        </w:r>
        <w:r w:rsidR="007F045E">
          <w:rPr>
            <w:noProof/>
            <w:webHidden/>
          </w:rPr>
          <w:instrText xml:space="preserve"> PAGEREF _Toc212791982 \h </w:instrText>
        </w:r>
        <w:r w:rsidR="007F045E">
          <w:rPr>
            <w:noProof/>
            <w:webHidden/>
          </w:rPr>
        </w:r>
        <w:r w:rsidR="007F045E">
          <w:rPr>
            <w:noProof/>
            <w:webHidden/>
          </w:rPr>
          <w:fldChar w:fldCharType="separate"/>
        </w:r>
        <w:r w:rsidR="00102DFF">
          <w:rPr>
            <w:noProof/>
            <w:webHidden/>
          </w:rPr>
          <w:t>3</w:t>
        </w:r>
        <w:r w:rsidR="007F045E">
          <w:rPr>
            <w:noProof/>
            <w:webHidden/>
          </w:rPr>
          <w:fldChar w:fldCharType="end"/>
        </w:r>
      </w:hyperlink>
    </w:p>
    <w:p w14:paraId="057B2CE0" w14:textId="79BF7FC0"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1983" w:history="1">
        <w:r w:rsidRPr="006E7237">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Purpose</w:t>
        </w:r>
        <w:r>
          <w:rPr>
            <w:noProof/>
            <w:webHidden/>
          </w:rPr>
          <w:tab/>
        </w:r>
        <w:r>
          <w:rPr>
            <w:noProof/>
            <w:webHidden/>
          </w:rPr>
          <w:fldChar w:fldCharType="begin"/>
        </w:r>
        <w:r>
          <w:rPr>
            <w:noProof/>
            <w:webHidden/>
          </w:rPr>
          <w:instrText xml:space="preserve"> PAGEREF _Toc212791983 \h </w:instrText>
        </w:r>
        <w:r>
          <w:rPr>
            <w:noProof/>
            <w:webHidden/>
          </w:rPr>
        </w:r>
        <w:r>
          <w:rPr>
            <w:noProof/>
            <w:webHidden/>
          </w:rPr>
          <w:fldChar w:fldCharType="separate"/>
        </w:r>
        <w:r w:rsidR="00102DFF">
          <w:rPr>
            <w:noProof/>
            <w:webHidden/>
          </w:rPr>
          <w:t>3</w:t>
        </w:r>
        <w:r>
          <w:rPr>
            <w:noProof/>
            <w:webHidden/>
          </w:rPr>
          <w:fldChar w:fldCharType="end"/>
        </w:r>
      </w:hyperlink>
    </w:p>
    <w:p w14:paraId="617547BE" w14:textId="62193415"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1984" w:history="1">
        <w:r w:rsidRPr="006E7237">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Background</w:t>
        </w:r>
        <w:r>
          <w:rPr>
            <w:noProof/>
            <w:webHidden/>
          </w:rPr>
          <w:tab/>
        </w:r>
        <w:r>
          <w:rPr>
            <w:noProof/>
            <w:webHidden/>
          </w:rPr>
          <w:fldChar w:fldCharType="begin"/>
        </w:r>
        <w:r>
          <w:rPr>
            <w:noProof/>
            <w:webHidden/>
          </w:rPr>
          <w:instrText xml:space="preserve"> PAGEREF _Toc212791984 \h </w:instrText>
        </w:r>
        <w:r>
          <w:rPr>
            <w:noProof/>
            <w:webHidden/>
          </w:rPr>
        </w:r>
        <w:r>
          <w:rPr>
            <w:noProof/>
            <w:webHidden/>
          </w:rPr>
          <w:fldChar w:fldCharType="separate"/>
        </w:r>
        <w:r w:rsidR="00102DFF">
          <w:rPr>
            <w:noProof/>
            <w:webHidden/>
          </w:rPr>
          <w:t>3</w:t>
        </w:r>
        <w:r>
          <w:rPr>
            <w:noProof/>
            <w:webHidden/>
          </w:rPr>
          <w:fldChar w:fldCharType="end"/>
        </w:r>
      </w:hyperlink>
    </w:p>
    <w:p w14:paraId="6B4E30F8" w14:textId="40E736DF" w:rsidR="007F045E" w:rsidRDefault="007F045E">
      <w:pPr>
        <w:pStyle w:val="TOC1"/>
        <w:rPr>
          <w:rFonts w:asciiTheme="minorHAnsi" w:eastAsiaTheme="minorEastAsia" w:hAnsiTheme="minorHAnsi" w:cstheme="minorBidi"/>
          <w:b w:val="0"/>
          <w:noProof/>
          <w:kern w:val="2"/>
          <w:sz w:val="24"/>
          <w:szCs w:val="24"/>
          <w:lang w:eastAsia="en-ZA"/>
          <w14:ligatures w14:val="standardContextual"/>
        </w:rPr>
      </w:pPr>
      <w:hyperlink w:anchor="_Toc212791985" w:history="1">
        <w:r w:rsidRPr="006E7237">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6E7237">
          <w:rPr>
            <w:rStyle w:val="Hyperlink"/>
            <w:noProof/>
          </w:rPr>
          <w:t>Scope of Bid</w:t>
        </w:r>
        <w:r>
          <w:rPr>
            <w:noProof/>
            <w:webHidden/>
          </w:rPr>
          <w:tab/>
        </w:r>
        <w:r>
          <w:rPr>
            <w:noProof/>
            <w:webHidden/>
          </w:rPr>
          <w:fldChar w:fldCharType="begin"/>
        </w:r>
        <w:r>
          <w:rPr>
            <w:noProof/>
            <w:webHidden/>
          </w:rPr>
          <w:instrText xml:space="preserve"> PAGEREF _Toc212791985 \h </w:instrText>
        </w:r>
        <w:r>
          <w:rPr>
            <w:noProof/>
            <w:webHidden/>
          </w:rPr>
        </w:r>
        <w:r>
          <w:rPr>
            <w:noProof/>
            <w:webHidden/>
          </w:rPr>
          <w:fldChar w:fldCharType="separate"/>
        </w:r>
        <w:r w:rsidR="00102DFF">
          <w:rPr>
            <w:noProof/>
            <w:webHidden/>
          </w:rPr>
          <w:t>3</w:t>
        </w:r>
        <w:r>
          <w:rPr>
            <w:noProof/>
            <w:webHidden/>
          </w:rPr>
          <w:fldChar w:fldCharType="end"/>
        </w:r>
      </w:hyperlink>
    </w:p>
    <w:p w14:paraId="31B977FB" w14:textId="4D1F43FC"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1986" w:history="1">
        <w:r w:rsidRPr="006E7237">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Scope of Work</w:t>
        </w:r>
        <w:r>
          <w:rPr>
            <w:noProof/>
            <w:webHidden/>
          </w:rPr>
          <w:tab/>
        </w:r>
        <w:r>
          <w:rPr>
            <w:noProof/>
            <w:webHidden/>
          </w:rPr>
          <w:fldChar w:fldCharType="begin"/>
        </w:r>
        <w:r>
          <w:rPr>
            <w:noProof/>
            <w:webHidden/>
          </w:rPr>
          <w:instrText xml:space="preserve"> PAGEREF _Toc212791986 \h </w:instrText>
        </w:r>
        <w:r>
          <w:rPr>
            <w:noProof/>
            <w:webHidden/>
          </w:rPr>
        </w:r>
        <w:r>
          <w:rPr>
            <w:noProof/>
            <w:webHidden/>
          </w:rPr>
          <w:fldChar w:fldCharType="separate"/>
        </w:r>
        <w:r w:rsidR="00102DFF">
          <w:rPr>
            <w:noProof/>
            <w:webHidden/>
          </w:rPr>
          <w:t>3</w:t>
        </w:r>
        <w:r>
          <w:rPr>
            <w:noProof/>
            <w:webHidden/>
          </w:rPr>
          <w:fldChar w:fldCharType="end"/>
        </w:r>
      </w:hyperlink>
    </w:p>
    <w:p w14:paraId="333CA297" w14:textId="208FC2EE"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1987" w:history="1">
        <w:r w:rsidRPr="006E7237">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Delivery address</w:t>
        </w:r>
        <w:r>
          <w:rPr>
            <w:noProof/>
            <w:webHidden/>
          </w:rPr>
          <w:tab/>
        </w:r>
        <w:r>
          <w:rPr>
            <w:noProof/>
            <w:webHidden/>
          </w:rPr>
          <w:fldChar w:fldCharType="begin"/>
        </w:r>
        <w:r>
          <w:rPr>
            <w:noProof/>
            <w:webHidden/>
          </w:rPr>
          <w:instrText xml:space="preserve"> PAGEREF _Toc212791987 \h </w:instrText>
        </w:r>
        <w:r>
          <w:rPr>
            <w:noProof/>
            <w:webHidden/>
          </w:rPr>
        </w:r>
        <w:r>
          <w:rPr>
            <w:noProof/>
            <w:webHidden/>
          </w:rPr>
          <w:fldChar w:fldCharType="separate"/>
        </w:r>
        <w:r w:rsidR="00102DFF">
          <w:rPr>
            <w:noProof/>
            <w:webHidden/>
          </w:rPr>
          <w:t>3</w:t>
        </w:r>
        <w:r>
          <w:rPr>
            <w:noProof/>
            <w:webHidden/>
          </w:rPr>
          <w:fldChar w:fldCharType="end"/>
        </w:r>
      </w:hyperlink>
    </w:p>
    <w:p w14:paraId="38363C7E" w14:textId="1AC98270"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1988" w:history="1">
        <w:r w:rsidRPr="006E7237">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_Toc212791988 \h </w:instrText>
        </w:r>
        <w:r>
          <w:rPr>
            <w:noProof/>
            <w:webHidden/>
          </w:rPr>
        </w:r>
        <w:r>
          <w:rPr>
            <w:noProof/>
            <w:webHidden/>
          </w:rPr>
          <w:fldChar w:fldCharType="separate"/>
        </w:r>
        <w:r w:rsidR="00102DFF">
          <w:rPr>
            <w:noProof/>
            <w:webHidden/>
          </w:rPr>
          <w:t>3</w:t>
        </w:r>
        <w:r>
          <w:rPr>
            <w:noProof/>
            <w:webHidden/>
          </w:rPr>
          <w:fldChar w:fldCharType="end"/>
        </w:r>
      </w:hyperlink>
    </w:p>
    <w:p w14:paraId="13BB8C1C" w14:textId="25056585" w:rsidR="007F045E" w:rsidRDefault="007F045E">
      <w:pPr>
        <w:pStyle w:val="TOC1"/>
        <w:rPr>
          <w:rFonts w:asciiTheme="minorHAnsi" w:eastAsiaTheme="minorEastAsia" w:hAnsiTheme="minorHAnsi" w:cstheme="minorBidi"/>
          <w:b w:val="0"/>
          <w:noProof/>
          <w:kern w:val="2"/>
          <w:sz w:val="24"/>
          <w:szCs w:val="24"/>
          <w:lang w:eastAsia="en-ZA"/>
          <w14:ligatures w14:val="standardContextual"/>
        </w:rPr>
      </w:pPr>
      <w:hyperlink w:anchor="_Toc212791989" w:history="1">
        <w:r w:rsidRPr="006E7237">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6E7237">
          <w:rPr>
            <w:rStyle w:val="Hyperlink"/>
            <w:noProof/>
          </w:rPr>
          <w:t>Requirements</w:t>
        </w:r>
        <w:r>
          <w:rPr>
            <w:noProof/>
            <w:webHidden/>
          </w:rPr>
          <w:tab/>
        </w:r>
        <w:r>
          <w:rPr>
            <w:noProof/>
            <w:webHidden/>
          </w:rPr>
          <w:fldChar w:fldCharType="begin"/>
        </w:r>
        <w:r>
          <w:rPr>
            <w:noProof/>
            <w:webHidden/>
          </w:rPr>
          <w:instrText xml:space="preserve"> PAGEREF _Toc212791989 \h </w:instrText>
        </w:r>
        <w:r>
          <w:rPr>
            <w:noProof/>
            <w:webHidden/>
          </w:rPr>
        </w:r>
        <w:r>
          <w:rPr>
            <w:noProof/>
            <w:webHidden/>
          </w:rPr>
          <w:fldChar w:fldCharType="separate"/>
        </w:r>
        <w:r w:rsidR="00102DFF">
          <w:rPr>
            <w:noProof/>
            <w:webHidden/>
          </w:rPr>
          <w:t>4</w:t>
        </w:r>
        <w:r>
          <w:rPr>
            <w:noProof/>
            <w:webHidden/>
          </w:rPr>
          <w:fldChar w:fldCharType="end"/>
        </w:r>
      </w:hyperlink>
    </w:p>
    <w:p w14:paraId="1CFADBF3" w14:textId="394DFE2A"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1990" w:history="1">
        <w:r w:rsidRPr="006E7237">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Product / Service / Solution Requirements</w:t>
        </w:r>
        <w:r>
          <w:rPr>
            <w:noProof/>
            <w:webHidden/>
          </w:rPr>
          <w:tab/>
        </w:r>
        <w:r>
          <w:rPr>
            <w:noProof/>
            <w:webHidden/>
          </w:rPr>
          <w:fldChar w:fldCharType="begin"/>
        </w:r>
        <w:r>
          <w:rPr>
            <w:noProof/>
            <w:webHidden/>
          </w:rPr>
          <w:instrText xml:space="preserve"> PAGEREF _Toc212791990 \h </w:instrText>
        </w:r>
        <w:r>
          <w:rPr>
            <w:noProof/>
            <w:webHidden/>
          </w:rPr>
        </w:r>
        <w:r>
          <w:rPr>
            <w:noProof/>
            <w:webHidden/>
          </w:rPr>
          <w:fldChar w:fldCharType="separate"/>
        </w:r>
        <w:r w:rsidR="00102DFF">
          <w:rPr>
            <w:noProof/>
            <w:webHidden/>
          </w:rPr>
          <w:t>4</w:t>
        </w:r>
        <w:r>
          <w:rPr>
            <w:noProof/>
            <w:webHidden/>
          </w:rPr>
          <w:fldChar w:fldCharType="end"/>
        </w:r>
      </w:hyperlink>
    </w:p>
    <w:p w14:paraId="5ED4C195" w14:textId="5BAA623F"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1991" w:history="1">
        <w:r w:rsidRPr="006E7237">
          <w:rPr>
            <w:rStyle w:val="Hyperlink"/>
            <w:bCs/>
            <w:noProof/>
          </w:rPr>
          <w:t>3.1.1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 xml:space="preserve">This document outlines the specifications for renewal of INETWINET software licenses for a period of </w:t>
        </w:r>
        <w:r w:rsidRPr="006E7237">
          <w:rPr>
            <w:rStyle w:val="Hyperlink"/>
            <w:rFonts w:cs="Calibri"/>
            <w:noProof/>
          </w:rPr>
          <w:t>five (5) years.</w:t>
        </w:r>
        <w:r w:rsidRPr="006E7237">
          <w:rPr>
            <w:rStyle w:val="Hyperlink"/>
            <w:noProof/>
          </w:rPr>
          <w:t xml:space="preserve"> The licenses should include the following features:</w:t>
        </w:r>
        <w:r>
          <w:rPr>
            <w:noProof/>
            <w:webHidden/>
          </w:rPr>
          <w:tab/>
        </w:r>
        <w:r>
          <w:rPr>
            <w:noProof/>
            <w:webHidden/>
          </w:rPr>
          <w:fldChar w:fldCharType="begin"/>
        </w:r>
        <w:r>
          <w:rPr>
            <w:noProof/>
            <w:webHidden/>
          </w:rPr>
          <w:instrText xml:space="preserve"> PAGEREF _Toc212791991 \h </w:instrText>
        </w:r>
        <w:r>
          <w:rPr>
            <w:noProof/>
            <w:webHidden/>
          </w:rPr>
        </w:r>
        <w:r>
          <w:rPr>
            <w:noProof/>
            <w:webHidden/>
          </w:rPr>
          <w:fldChar w:fldCharType="separate"/>
        </w:r>
        <w:r w:rsidR="00102DFF">
          <w:rPr>
            <w:noProof/>
            <w:webHidden/>
          </w:rPr>
          <w:t>4</w:t>
        </w:r>
        <w:r>
          <w:rPr>
            <w:noProof/>
            <w:webHidden/>
          </w:rPr>
          <w:fldChar w:fldCharType="end"/>
        </w:r>
      </w:hyperlink>
    </w:p>
    <w:p w14:paraId="231355D6" w14:textId="24611C7B"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1992" w:history="1">
        <w:r w:rsidRPr="006E7237">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Service Elements</w:t>
        </w:r>
        <w:r>
          <w:rPr>
            <w:noProof/>
            <w:webHidden/>
          </w:rPr>
          <w:tab/>
        </w:r>
        <w:r>
          <w:rPr>
            <w:noProof/>
            <w:webHidden/>
          </w:rPr>
          <w:fldChar w:fldCharType="begin"/>
        </w:r>
        <w:r>
          <w:rPr>
            <w:noProof/>
            <w:webHidden/>
          </w:rPr>
          <w:instrText xml:space="preserve"> PAGEREF _Toc212791992 \h </w:instrText>
        </w:r>
        <w:r>
          <w:rPr>
            <w:noProof/>
            <w:webHidden/>
          </w:rPr>
        </w:r>
        <w:r>
          <w:rPr>
            <w:noProof/>
            <w:webHidden/>
          </w:rPr>
          <w:fldChar w:fldCharType="separate"/>
        </w:r>
        <w:r w:rsidR="00102DFF">
          <w:rPr>
            <w:noProof/>
            <w:webHidden/>
          </w:rPr>
          <w:t>4</w:t>
        </w:r>
        <w:r>
          <w:rPr>
            <w:noProof/>
            <w:webHidden/>
          </w:rPr>
          <w:fldChar w:fldCharType="end"/>
        </w:r>
      </w:hyperlink>
    </w:p>
    <w:p w14:paraId="37D0AB04" w14:textId="3DFF8289"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1993" w:history="1">
        <w:r w:rsidRPr="006E7237">
          <w:rPr>
            <w:rStyle w:val="Hyperlink"/>
            <w:bCs/>
            <w:noProof/>
          </w:rPr>
          <w:t>3.2.1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Full-Service Agreement</w:t>
        </w:r>
        <w:r>
          <w:rPr>
            <w:noProof/>
            <w:webHidden/>
          </w:rPr>
          <w:tab/>
        </w:r>
        <w:r>
          <w:rPr>
            <w:noProof/>
            <w:webHidden/>
          </w:rPr>
          <w:fldChar w:fldCharType="begin"/>
        </w:r>
        <w:r>
          <w:rPr>
            <w:noProof/>
            <w:webHidden/>
          </w:rPr>
          <w:instrText xml:space="preserve"> PAGEREF _Toc212791993 \h </w:instrText>
        </w:r>
        <w:r>
          <w:rPr>
            <w:noProof/>
            <w:webHidden/>
          </w:rPr>
        </w:r>
        <w:r>
          <w:rPr>
            <w:noProof/>
            <w:webHidden/>
          </w:rPr>
          <w:fldChar w:fldCharType="separate"/>
        </w:r>
        <w:r w:rsidR="00102DFF">
          <w:rPr>
            <w:noProof/>
            <w:webHidden/>
          </w:rPr>
          <w:t>4</w:t>
        </w:r>
        <w:r>
          <w:rPr>
            <w:noProof/>
            <w:webHidden/>
          </w:rPr>
          <w:fldChar w:fldCharType="end"/>
        </w:r>
      </w:hyperlink>
    </w:p>
    <w:p w14:paraId="5B3D7BBD" w14:textId="39B19C4D"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1994" w:history="1">
        <w:r w:rsidRPr="006E7237">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The Supplier is responsible to provide the following services as specified in the Service Breakdown Structure (SBS):</w:t>
        </w:r>
        <w:r>
          <w:rPr>
            <w:noProof/>
            <w:webHidden/>
          </w:rPr>
          <w:tab/>
        </w:r>
        <w:r>
          <w:rPr>
            <w:noProof/>
            <w:webHidden/>
          </w:rPr>
          <w:fldChar w:fldCharType="begin"/>
        </w:r>
        <w:r>
          <w:rPr>
            <w:noProof/>
            <w:webHidden/>
          </w:rPr>
          <w:instrText xml:space="preserve"> PAGEREF _Toc212791994 \h </w:instrText>
        </w:r>
        <w:r>
          <w:rPr>
            <w:noProof/>
            <w:webHidden/>
          </w:rPr>
        </w:r>
        <w:r>
          <w:rPr>
            <w:noProof/>
            <w:webHidden/>
          </w:rPr>
          <w:fldChar w:fldCharType="separate"/>
        </w:r>
        <w:r w:rsidR="00102DFF">
          <w:rPr>
            <w:noProof/>
            <w:webHidden/>
          </w:rPr>
          <w:t>4</w:t>
        </w:r>
        <w:r>
          <w:rPr>
            <w:noProof/>
            <w:webHidden/>
          </w:rPr>
          <w:fldChar w:fldCharType="end"/>
        </w:r>
      </w:hyperlink>
    </w:p>
    <w:p w14:paraId="60C0DFD8" w14:textId="61315D8E"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1995" w:history="1">
        <w:r w:rsidRPr="006E7237">
          <w:rPr>
            <w:rStyle w:val="Hyperlink"/>
            <w:noProof/>
          </w:rPr>
          <w:t>3.4</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The successful bidder must respond to any software licenses matters during office hours (7h15 till 16:00)</w:t>
        </w:r>
        <w:r>
          <w:rPr>
            <w:noProof/>
            <w:webHidden/>
          </w:rPr>
          <w:tab/>
        </w:r>
        <w:r>
          <w:rPr>
            <w:noProof/>
            <w:webHidden/>
          </w:rPr>
          <w:fldChar w:fldCharType="begin"/>
        </w:r>
        <w:r>
          <w:rPr>
            <w:noProof/>
            <w:webHidden/>
          </w:rPr>
          <w:instrText xml:space="preserve"> PAGEREF _Toc212791995 \h </w:instrText>
        </w:r>
        <w:r>
          <w:rPr>
            <w:noProof/>
            <w:webHidden/>
          </w:rPr>
        </w:r>
        <w:r>
          <w:rPr>
            <w:noProof/>
            <w:webHidden/>
          </w:rPr>
          <w:fldChar w:fldCharType="separate"/>
        </w:r>
        <w:r w:rsidR="00102DFF">
          <w:rPr>
            <w:noProof/>
            <w:webHidden/>
          </w:rPr>
          <w:t>5</w:t>
        </w:r>
        <w:r>
          <w:rPr>
            <w:noProof/>
            <w:webHidden/>
          </w:rPr>
          <w:fldChar w:fldCharType="end"/>
        </w:r>
      </w:hyperlink>
    </w:p>
    <w:p w14:paraId="625847AB" w14:textId="2C24A5A6"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1996" w:history="1">
        <w:r w:rsidRPr="006E7237">
          <w:rPr>
            <w:rStyle w:val="Hyperlink"/>
            <w:bCs/>
            <w:noProof/>
          </w:rPr>
          <w:t>3.4.1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Response time and distance</w:t>
        </w:r>
        <w:r>
          <w:rPr>
            <w:noProof/>
            <w:webHidden/>
          </w:rPr>
          <w:tab/>
        </w:r>
        <w:r>
          <w:rPr>
            <w:noProof/>
            <w:webHidden/>
          </w:rPr>
          <w:fldChar w:fldCharType="begin"/>
        </w:r>
        <w:r>
          <w:rPr>
            <w:noProof/>
            <w:webHidden/>
          </w:rPr>
          <w:instrText xml:space="preserve"> PAGEREF _Toc212791996 \h </w:instrText>
        </w:r>
        <w:r>
          <w:rPr>
            <w:noProof/>
            <w:webHidden/>
          </w:rPr>
        </w:r>
        <w:r>
          <w:rPr>
            <w:noProof/>
            <w:webHidden/>
          </w:rPr>
          <w:fldChar w:fldCharType="separate"/>
        </w:r>
        <w:r w:rsidR="00102DFF">
          <w:rPr>
            <w:noProof/>
            <w:webHidden/>
          </w:rPr>
          <w:t>5</w:t>
        </w:r>
        <w:r>
          <w:rPr>
            <w:noProof/>
            <w:webHidden/>
          </w:rPr>
          <w:fldChar w:fldCharType="end"/>
        </w:r>
      </w:hyperlink>
    </w:p>
    <w:p w14:paraId="6FC26208" w14:textId="62DCBD68" w:rsidR="007F045E" w:rsidRDefault="007F045E">
      <w:pPr>
        <w:pStyle w:val="TOC1"/>
        <w:rPr>
          <w:rFonts w:asciiTheme="minorHAnsi" w:eastAsiaTheme="minorEastAsia" w:hAnsiTheme="minorHAnsi" w:cstheme="minorBidi"/>
          <w:b w:val="0"/>
          <w:noProof/>
          <w:kern w:val="2"/>
          <w:sz w:val="24"/>
          <w:szCs w:val="24"/>
          <w:lang w:eastAsia="en-ZA"/>
          <w14:ligatures w14:val="standardContextual"/>
        </w:rPr>
      </w:pPr>
      <w:hyperlink w:anchor="_Toc212791997" w:history="1">
        <w:r w:rsidRPr="006E7237">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6E7237">
          <w:rPr>
            <w:rStyle w:val="Hyperlink"/>
            <w:noProof/>
          </w:rPr>
          <w:t>Bid Evaluation Stages</w:t>
        </w:r>
        <w:r>
          <w:rPr>
            <w:noProof/>
            <w:webHidden/>
          </w:rPr>
          <w:tab/>
        </w:r>
        <w:r>
          <w:rPr>
            <w:noProof/>
            <w:webHidden/>
          </w:rPr>
          <w:fldChar w:fldCharType="begin"/>
        </w:r>
        <w:r>
          <w:rPr>
            <w:noProof/>
            <w:webHidden/>
          </w:rPr>
          <w:instrText xml:space="preserve"> PAGEREF _Toc212791997 \h </w:instrText>
        </w:r>
        <w:r>
          <w:rPr>
            <w:noProof/>
            <w:webHidden/>
          </w:rPr>
        </w:r>
        <w:r>
          <w:rPr>
            <w:noProof/>
            <w:webHidden/>
          </w:rPr>
          <w:fldChar w:fldCharType="separate"/>
        </w:r>
        <w:r w:rsidR="00102DFF">
          <w:rPr>
            <w:noProof/>
            <w:webHidden/>
          </w:rPr>
          <w:t>5</w:t>
        </w:r>
        <w:r>
          <w:rPr>
            <w:noProof/>
            <w:webHidden/>
          </w:rPr>
          <w:fldChar w:fldCharType="end"/>
        </w:r>
      </w:hyperlink>
    </w:p>
    <w:p w14:paraId="0F37B0DD" w14:textId="4728594C"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1998" w:history="1">
        <w:r w:rsidRPr="006E7237">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Mandatory administrative responsiveness (Stage 1)</w:t>
        </w:r>
        <w:r>
          <w:rPr>
            <w:noProof/>
            <w:webHidden/>
          </w:rPr>
          <w:tab/>
        </w:r>
        <w:r>
          <w:rPr>
            <w:noProof/>
            <w:webHidden/>
          </w:rPr>
          <w:fldChar w:fldCharType="begin"/>
        </w:r>
        <w:r>
          <w:rPr>
            <w:noProof/>
            <w:webHidden/>
          </w:rPr>
          <w:instrText xml:space="preserve"> PAGEREF _Toc212791998 \h </w:instrText>
        </w:r>
        <w:r>
          <w:rPr>
            <w:noProof/>
            <w:webHidden/>
          </w:rPr>
        </w:r>
        <w:r>
          <w:rPr>
            <w:noProof/>
            <w:webHidden/>
          </w:rPr>
          <w:fldChar w:fldCharType="separate"/>
        </w:r>
        <w:r w:rsidR="00102DFF">
          <w:rPr>
            <w:noProof/>
            <w:webHidden/>
          </w:rPr>
          <w:t>5</w:t>
        </w:r>
        <w:r>
          <w:rPr>
            <w:noProof/>
            <w:webHidden/>
          </w:rPr>
          <w:fldChar w:fldCharType="end"/>
        </w:r>
      </w:hyperlink>
    </w:p>
    <w:p w14:paraId="6688CDBF" w14:textId="18C7F532"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1999" w:history="1">
        <w:r w:rsidRPr="006E7237">
          <w:rPr>
            <w:rStyle w:val="Hyperlink"/>
            <w:bCs/>
            <w:noProof/>
          </w:rPr>
          <w:t>4.1.1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Attendance of briefing session</w:t>
        </w:r>
        <w:r>
          <w:rPr>
            <w:noProof/>
            <w:webHidden/>
          </w:rPr>
          <w:tab/>
        </w:r>
        <w:r>
          <w:rPr>
            <w:noProof/>
            <w:webHidden/>
          </w:rPr>
          <w:fldChar w:fldCharType="begin"/>
        </w:r>
        <w:r>
          <w:rPr>
            <w:noProof/>
            <w:webHidden/>
          </w:rPr>
          <w:instrText xml:space="preserve"> PAGEREF _Toc212791999 \h </w:instrText>
        </w:r>
        <w:r>
          <w:rPr>
            <w:noProof/>
            <w:webHidden/>
          </w:rPr>
        </w:r>
        <w:r>
          <w:rPr>
            <w:noProof/>
            <w:webHidden/>
          </w:rPr>
          <w:fldChar w:fldCharType="separate"/>
        </w:r>
        <w:r w:rsidR="00102DFF">
          <w:rPr>
            <w:noProof/>
            <w:webHidden/>
          </w:rPr>
          <w:t>5</w:t>
        </w:r>
        <w:r>
          <w:rPr>
            <w:noProof/>
            <w:webHidden/>
          </w:rPr>
          <w:fldChar w:fldCharType="end"/>
        </w:r>
      </w:hyperlink>
    </w:p>
    <w:p w14:paraId="294A12D2" w14:textId="54A0E136"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2000" w:history="1">
        <w:r w:rsidRPr="006E7237">
          <w:rPr>
            <w:rStyle w:val="Hyperlink"/>
            <w:bCs/>
            <w:noProof/>
          </w:rPr>
          <w:t>4.1.2</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Registered Supplier</w:t>
        </w:r>
        <w:r>
          <w:rPr>
            <w:noProof/>
            <w:webHidden/>
          </w:rPr>
          <w:tab/>
        </w:r>
        <w:r>
          <w:rPr>
            <w:noProof/>
            <w:webHidden/>
          </w:rPr>
          <w:fldChar w:fldCharType="begin"/>
        </w:r>
        <w:r>
          <w:rPr>
            <w:noProof/>
            <w:webHidden/>
          </w:rPr>
          <w:instrText xml:space="preserve"> PAGEREF _Toc212792000 \h </w:instrText>
        </w:r>
        <w:r>
          <w:rPr>
            <w:noProof/>
            <w:webHidden/>
          </w:rPr>
        </w:r>
        <w:r>
          <w:rPr>
            <w:noProof/>
            <w:webHidden/>
          </w:rPr>
          <w:fldChar w:fldCharType="separate"/>
        </w:r>
        <w:r w:rsidR="00102DFF">
          <w:rPr>
            <w:noProof/>
            <w:webHidden/>
          </w:rPr>
          <w:t>5</w:t>
        </w:r>
        <w:r>
          <w:rPr>
            <w:noProof/>
            <w:webHidden/>
          </w:rPr>
          <w:fldChar w:fldCharType="end"/>
        </w:r>
      </w:hyperlink>
    </w:p>
    <w:p w14:paraId="19C0D47D" w14:textId="2377E0FD"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2001" w:history="1">
        <w:r w:rsidRPr="006E7237">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Technical returnable documents</w:t>
        </w:r>
        <w:r>
          <w:rPr>
            <w:noProof/>
            <w:webHidden/>
          </w:rPr>
          <w:tab/>
        </w:r>
        <w:r>
          <w:rPr>
            <w:noProof/>
            <w:webHidden/>
          </w:rPr>
          <w:fldChar w:fldCharType="begin"/>
        </w:r>
        <w:r>
          <w:rPr>
            <w:noProof/>
            <w:webHidden/>
          </w:rPr>
          <w:instrText xml:space="preserve"> PAGEREF _Toc212792001 \h </w:instrText>
        </w:r>
        <w:r>
          <w:rPr>
            <w:noProof/>
            <w:webHidden/>
          </w:rPr>
        </w:r>
        <w:r>
          <w:rPr>
            <w:noProof/>
            <w:webHidden/>
          </w:rPr>
          <w:fldChar w:fldCharType="separate"/>
        </w:r>
        <w:r w:rsidR="00102DFF">
          <w:rPr>
            <w:noProof/>
            <w:webHidden/>
          </w:rPr>
          <w:t>6</w:t>
        </w:r>
        <w:r>
          <w:rPr>
            <w:noProof/>
            <w:webHidden/>
          </w:rPr>
          <w:fldChar w:fldCharType="end"/>
        </w:r>
      </w:hyperlink>
    </w:p>
    <w:p w14:paraId="15A47CDB" w14:textId="7EC65186"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2002" w:history="1">
        <w:r w:rsidRPr="006E7237">
          <w:rPr>
            <w:rStyle w:val="Hyperlink"/>
            <w:bCs/>
            <w:noProof/>
          </w:rPr>
          <w:t>4.2.1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Instruction and evaluation criteria</w:t>
        </w:r>
        <w:r>
          <w:rPr>
            <w:noProof/>
            <w:webHidden/>
          </w:rPr>
          <w:tab/>
        </w:r>
        <w:r>
          <w:rPr>
            <w:noProof/>
            <w:webHidden/>
          </w:rPr>
          <w:fldChar w:fldCharType="begin"/>
        </w:r>
        <w:r>
          <w:rPr>
            <w:noProof/>
            <w:webHidden/>
          </w:rPr>
          <w:instrText xml:space="preserve"> PAGEREF _Toc212792002 \h </w:instrText>
        </w:r>
        <w:r>
          <w:rPr>
            <w:noProof/>
            <w:webHidden/>
          </w:rPr>
        </w:r>
        <w:r>
          <w:rPr>
            <w:noProof/>
            <w:webHidden/>
          </w:rPr>
          <w:fldChar w:fldCharType="separate"/>
        </w:r>
        <w:r w:rsidR="00102DFF">
          <w:rPr>
            <w:noProof/>
            <w:webHidden/>
          </w:rPr>
          <w:t>6</w:t>
        </w:r>
        <w:r>
          <w:rPr>
            <w:noProof/>
            <w:webHidden/>
          </w:rPr>
          <w:fldChar w:fldCharType="end"/>
        </w:r>
      </w:hyperlink>
    </w:p>
    <w:p w14:paraId="62568EEF" w14:textId="3F2F698F"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2003" w:history="1">
        <w:r w:rsidRPr="006E7237">
          <w:rPr>
            <w:rStyle w:val="Hyperlink"/>
            <w:bCs/>
            <w:noProof/>
          </w:rPr>
          <w:t>4.2.2</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Technical mandatory requirements (Stage 2)</w:t>
        </w:r>
        <w:r>
          <w:rPr>
            <w:noProof/>
            <w:webHidden/>
          </w:rPr>
          <w:tab/>
        </w:r>
        <w:r>
          <w:rPr>
            <w:noProof/>
            <w:webHidden/>
          </w:rPr>
          <w:fldChar w:fldCharType="begin"/>
        </w:r>
        <w:r>
          <w:rPr>
            <w:noProof/>
            <w:webHidden/>
          </w:rPr>
          <w:instrText xml:space="preserve"> PAGEREF _Toc212792003 \h </w:instrText>
        </w:r>
        <w:r>
          <w:rPr>
            <w:noProof/>
            <w:webHidden/>
          </w:rPr>
        </w:r>
        <w:r>
          <w:rPr>
            <w:noProof/>
            <w:webHidden/>
          </w:rPr>
          <w:fldChar w:fldCharType="separate"/>
        </w:r>
        <w:r w:rsidR="00102DFF">
          <w:rPr>
            <w:noProof/>
            <w:webHidden/>
          </w:rPr>
          <w:t>6</w:t>
        </w:r>
        <w:r>
          <w:rPr>
            <w:noProof/>
            <w:webHidden/>
          </w:rPr>
          <w:fldChar w:fldCharType="end"/>
        </w:r>
      </w:hyperlink>
    </w:p>
    <w:p w14:paraId="2DB65B90" w14:textId="010131E5"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2004" w:history="1">
        <w:r w:rsidRPr="006E7237">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Special Conditions of Contract Verification (Stage 2)</w:t>
        </w:r>
        <w:r>
          <w:rPr>
            <w:noProof/>
            <w:webHidden/>
          </w:rPr>
          <w:tab/>
        </w:r>
        <w:r>
          <w:rPr>
            <w:noProof/>
            <w:webHidden/>
          </w:rPr>
          <w:fldChar w:fldCharType="begin"/>
        </w:r>
        <w:r>
          <w:rPr>
            <w:noProof/>
            <w:webHidden/>
          </w:rPr>
          <w:instrText xml:space="preserve"> PAGEREF _Toc212792004 \h </w:instrText>
        </w:r>
        <w:r>
          <w:rPr>
            <w:noProof/>
            <w:webHidden/>
          </w:rPr>
        </w:r>
        <w:r>
          <w:rPr>
            <w:noProof/>
            <w:webHidden/>
          </w:rPr>
          <w:fldChar w:fldCharType="separate"/>
        </w:r>
        <w:r w:rsidR="00102DFF">
          <w:rPr>
            <w:noProof/>
            <w:webHidden/>
          </w:rPr>
          <w:t>8</w:t>
        </w:r>
        <w:r>
          <w:rPr>
            <w:noProof/>
            <w:webHidden/>
          </w:rPr>
          <w:fldChar w:fldCharType="end"/>
        </w:r>
      </w:hyperlink>
    </w:p>
    <w:p w14:paraId="47E37D00" w14:textId="300EFD5F"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2005" w:history="1">
        <w:r w:rsidRPr="006E7237">
          <w:rPr>
            <w:rStyle w:val="Hyperlink"/>
            <w:bCs/>
            <w:noProof/>
          </w:rPr>
          <w:t>4.3.1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Special Conditions of Contract</w:t>
        </w:r>
        <w:r>
          <w:rPr>
            <w:noProof/>
            <w:webHidden/>
          </w:rPr>
          <w:tab/>
        </w:r>
        <w:r>
          <w:rPr>
            <w:noProof/>
            <w:webHidden/>
          </w:rPr>
          <w:fldChar w:fldCharType="begin"/>
        </w:r>
        <w:r>
          <w:rPr>
            <w:noProof/>
            <w:webHidden/>
          </w:rPr>
          <w:instrText xml:space="preserve"> PAGEREF _Toc212792005 \h </w:instrText>
        </w:r>
        <w:r>
          <w:rPr>
            <w:noProof/>
            <w:webHidden/>
          </w:rPr>
        </w:r>
        <w:r>
          <w:rPr>
            <w:noProof/>
            <w:webHidden/>
          </w:rPr>
          <w:fldChar w:fldCharType="separate"/>
        </w:r>
        <w:r w:rsidR="00102DFF">
          <w:rPr>
            <w:noProof/>
            <w:webHidden/>
          </w:rPr>
          <w:t>8</w:t>
        </w:r>
        <w:r>
          <w:rPr>
            <w:noProof/>
            <w:webHidden/>
          </w:rPr>
          <w:fldChar w:fldCharType="end"/>
        </w:r>
      </w:hyperlink>
    </w:p>
    <w:p w14:paraId="7D3F5318" w14:textId="095F9A53"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2006" w:history="1">
        <w:r w:rsidRPr="006E7237">
          <w:rPr>
            <w:rStyle w:val="Hyperlink"/>
            <w:bCs/>
            <w:noProof/>
          </w:rPr>
          <w:t>4.3.2</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Declaration of compliance and acceptance SCC</w:t>
        </w:r>
        <w:r>
          <w:rPr>
            <w:noProof/>
            <w:webHidden/>
          </w:rPr>
          <w:tab/>
        </w:r>
        <w:r>
          <w:rPr>
            <w:noProof/>
            <w:webHidden/>
          </w:rPr>
          <w:fldChar w:fldCharType="begin"/>
        </w:r>
        <w:r>
          <w:rPr>
            <w:noProof/>
            <w:webHidden/>
          </w:rPr>
          <w:instrText xml:space="preserve"> PAGEREF _Toc212792006 \h </w:instrText>
        </w:r>
        <w:r>
          <w:rPr>
            <w:noProof/>
            <w:webHidden/>
          </w:rPr>
        </w:r>
        <w:r>
          <w:rPr>
            <w:noProof/>
            <w:webHidden/>
          </w:rPr>
          <w:fldChar w:fldCharType="separate"/>
        </w:r>
        <w:r w:rsidR="00102DFF">
          <w:rPr>
            <w:noProof/>
            <w:webHidden/>
          </w:rPr>
          <w:t>14</w:t>
        </w:r>
        <w:r>
          <w:rPr>
            <w:noProof/>
            <w:webHidden/>
          </w:rPr>
          <w:fldChar w:fldCharType="end"/>
        </w:r>
      </w:hyperlink>
    </w:p>
    <w:p w14:paraId="0163C7B8" w14:textId="03210B59"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2007" w:history="1">
        <w:r w:rsidRPr="006E7237">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Price and Preference Points Evaluation (Stage 6)</w:t>
        </w:r>
        <w:r>
          <w:rPr>
            <w:noProof/>
            <w:webHidden/>
          </w:rPr>
          <w:tab/>
        </w:r>
        <w:r>
          <w:rPr>
            <w:noProof/>
            <w:webHidden/>
          </w:rPr>
          <w:fldChar w:fldCharType="begin"/>
        </w:r>
        <w:r>
          <w:rPr>
            <w:noProof/>
            <w:webHidden/>
          </w:rPr>
          <w:instrText xml:space="preserve"> PAGEREF _Toc212792007 \h </w:instrText>
        </w:r>
        <w:r>
          <w:rPr>
            <w:noProof/>
            <w:webHidden/>
          </w:rPr>
        </w:r>
        <w:r>
          <w:rPr>
            <w:noProof/>
            <w:webHidden/>
          </w:rPr>
          <w:fldChar w:fldCharType="separate"/>
        </w:r>
        <w:r w:rsidR="00102DFF">
          <w:rPr>
            <w:noProof/>
            <w:webHidden/>
          </w:rPr>
          <w:t>14</w:t>
        </w:r>
        <w:r>
          <w:rPr>
            <w:noProof/>
            <w:webHidden/>
          </w:rPr>
          <w:fldChar w:fldCharType="end"/>
        </w:r>
      </w:hyperlink>
    </w:p>
    <w:p w14:paraId="6BF18507" w14:textId="6077D9D4"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2008" w:history="1">
        <w:r w:rsidRPr="006E7237">
          <w:rPr>
            <w:rStyle w:val="Hyperlink"/>
            <w:bCs/>
            <w:noProof/>
          </w:rPr>
          <w:t>4.4.1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Costing and Preference Evaluation</w:t>
        </w:r>
        <w:r>
          <w:rPr>
            <w:noProof/>
            <w:webHidden/>
          </w:rPr>
          <w:tab/>
        </w:r>
        <w:r>
          <w:rPr>
            <w:noProof/>
            <w:webHidden/>
          </w:rPr>
          <w:fldChar w:fldCharType="begin"/>
        </w:r>
        <w:r>
          <w:rPr>
            <w:noProof/>
            <w:webHidden/>
          </w:rPr>
          <w:instrText xml:space="preserve"> PAGEREF _Toc212792008 \h </w:instrText>
        </w:r>
        <w:r>
          <w:rPr>
            <w:noProof/>
            <w:webHidden/>
          </w:rPr>
        </w:r>
        <w:r>
          <w:rPr>
            <w:noProof/>
            <w:webHidden/>
          </w:rPr>
          <w:fldChar w:fldCharType="separate"/>
        </w:r>
        <w:r w:rsidR="00102DFF">
          <w:rPr>
            <w:noProof/>
            <w:webHidden/>
          </w:rPr>
          <w:t>14</w:t>
        </w:r>
        <w:r>
          <w:rPr>
            <w:noProof/>
            <w:webHidden/>
          </w:rPr>
          <w:fldChar w:fldCharType="end"/>
        </w:r>
      </w:hyperlink>
    </w:p>
    <w:p w14:paraId="2B895DAC" w14:textId="3C6FCFD9"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2009" w:history="1">
        <w:r w:rsidRPr="006E7237">
          <w:rPr>
            <w:rStyle w:val="Hyperlink"/>
            <w:bCs/>
            <w:noProof/>
          </w:rPr>
          <w:t>4.4.2</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Costing and Pricing Conditions</w:t>
        </w:r>
        <w:r>
          <w:rPr>
            <w:noProof/>
            <w:webHidden/>
          </w:rPr>
          <w:tab/>
        </w:r>
        <w:r>
          <w:rPr>
            <w:noProof/>
            <w:webHidden/>
          </w:rPr>
          <w:fldChar w:fldCharType="begin"/>
        </w:r>
        <w:r>
          <w:rPr>
            <w:noProof/>
            <w:webHidden/>
          </w:rPr>
          <w:instrText xml:space="preserve"> PAGEREF _Toc212792009 \h </w:instrText>
        </w:r>
        <w:r>
          <w:rPr>
            <w:noProof/>
            <w:webHidden/>
          </w:rPr>
        </w:r>
        <w:r>
          <w:rPr>
            <w:noProof/>
            <w:webHidden/>
          </w:rPr>
          <w:fldChar w:fldCharType="separate"/>
        </w:r>
        <w:r w:rsidR="00102DFF">
          <w:rPr>
            <w:noProof/>
            <w:webHidden/>
          </w:rPr>
          <w:t>14</w:t>
        </w:r>
        <w:r>
          <w:rPr>
            <w:noProof/>
            <w:webHidden/>
          </w:rPr>
          <w:fldChar w:fldCharType="end"/>
        </w:r>
      </w:hyperlink>
    </w:p>
    <w:p w14:paraId="4FDB65BA" w14:textId="27A53FFC"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2010" w:history="1">
        <w:r w:rsidRPr="006E7237">
          <w:rPr>
            <w:rStyle w:val="Hyperlink"/>
            <w:bCs/>
            <w:noProof/>
          </w:rPr>
          <w:t>4.4.3</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Bid Exchange Rate Conditions</w:t>
        </w:r>
        <w:r>
          <w:rPr>
            <w:noProof/>
            <w:webHidden/>
          </w:rPr>
          <w:tab/>
        </w:r>
        <w:r>
          <w:rPr>
            <w:noProof/>
            <w:webHidden/>
          </w:rPr>
          <w:fldChar w:fldCharType="begin"/>
        </w:r>
        <w:r>
          <w:rPr>
            <w:noProof/>
            <w:webHidden/>
          </w:rPr>
          <w:instrText xml:space="preserve"> PAGEREF _Toc212792010 \h </w:instrText>
        </w:r>
        <w:r>
          <w:rPr>
            <w:noProof/>
            <w:webHidden/>
          </w:rPr>
        </w:r>
        <w:r>
          <w:rPr>
            <w:noProof/>
            <w:webHidden/>
          </w:rPr>
          <w:fldChar w:fldCharType="separate"/>
        </w:r>
        <w:r w:rsidR="00102DFF">
          <w:rPr>
            <w:noProof/>
            <w:webHidden/>
          </w:rPr>
          <w:t>15</w:t>
        </w:r>
        <w:r>
          <w:rPr>
            <w:noProof/>
            <w:webHidden/>
          </w:rPr>
          <w:fldChar w:fldCharType="end"/>
        </w:r>
      </w:hyperlink>
    </w:p>
    <w:p w14:paraId="2EDA6D08" w14:textId="1F47FC13"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2011" w:history="1">
        <w:r w:rsidRPr="006E7237">
          <w:rPr>
            <w:rStyle w:val="Hyperlink"/>
            <w:bCs/>
            <w:noProof/>
          </w:rPr>
          <w:t>4.4.4</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Bid Pricing Schedule</w:t>
        </w:r>
        <w:r>
          <w:rPr>
            <w:noProof/>
            <w:webHidden/>
          </w:rPr>
          <w:tab/>
        </w:r>
        <w:r>
          <w:rPr>
            <w:noProof/>
            <w:webHidden/>
          </w:rPr>
          <w:fldChar w:fldCharType="begin"/>
        </w:r>
        <w:r>
          <w:rPr>
            <w:noProof/>
            <w:webHidden/>
          </w:rPr>
          <w:instrText xml:space="preserve"> PAGEREF _Toc212792011 \h </w:instrText>
        </w:r>
        <w:r>
          <w:rPr>
            <w:noProof/>
            <w:webHidden/>
          </w:rPr>
        </w:r>
        <w:r>
          <w:rPr>
            <w:noProof/>
            <w:webHidden/>
          </w:rPr>
          <w:fldChar w:fldCharType="separate"/>
        </w:r>
        <w:r w:rsidR="00102DFF">
          <w:rPr>
            <w:noProof/>
            <w:webHidden/>
          </w:rPr>
          <w:t>15</w:t>
        </w:r>
        <w:r>
          <w:rPr>
            <w:noProof/>
            <w:webHidden/>
          </w:rPr>
          <w:fldChar w:fldCharType="end"/>
        </w:r>
      </w:hyperlink>
    </w:p>
    <w:p w14:paraId="0C95AB4B" w14:textId="76E0957E" w:rsidR="007F045E" w:rsidRDefault="007F045E">
      <w:pPr>
        <w:pStyle w:val="TOC3"/>
        <w:rPr>
          <w:rFonts w:asciiTheme="minorHAnsi" w:eastAsiaTheme="minorEastAsia" w:hAnsiTheme="minorHAnsi" w:cstheme="minorBidi"/>
          <w:noProof/>
          <w:kern w:val="2"/>
          <w:sz w:val="24"/>
          <w:szCs w:val="24"/>
          <w:lang w:eastAsia="en-ZA"/>
          <w14:ligatures w14:val="standardContextual"/>
        </w:rPr>
      </w:pPr>
      <w:hyperlink w:anchor="_Toc212792012" w:history="1">
        <w:r w:rsidRPr="006E7237">
          <w:rPr>
            <w:rStyle w:val="Hyperlink"/>
            <w:bCs/>
            <w:noProof/>
          </w:rPr>
          <w:t>4.4.5</w:t>
        </w:r>
        <w:r>
          <w:rPr>
            <w:rFonts w:asciiTheme="minorHAnsi" w:eastAsiaTheme="minorEastAsia" w:hAnsiTheme="minorHAnsi" w:cstheme="minorBidi"/>
            <w:noProof/>
            <w:kern w:val="2"/>
            <w:sz w:val="24"/>
            <w:szCs w:val="24"/>
            <w:lang w:eastAsia="en-ZA"/>
            <w14:ligatures w14:val="standardContextual"/>
          </w:rPr>
          <w:tab/>
        </w:r>
        <w:r w:rsidRPr="006E7237">
          <w:rPr>
            <w:rStyle w:val="Hyperlink"/>
            <w:bCs/>
            <w:noProof/>
          </w:rPr>
          <w:t>Declaration of Acceptance</w:t>
        </w:r>
        <w:r>
          <w:rPr>
            <w:noProof/>
            <w:webHidden/>
          </w:rPr>
          <w:tab/>
        </w:r>
        <w:r>
          <w:rPr>
            <w:noProof/>
            <w:webHidden/>
          </w:rPr>
          <w:fldChar w:fldCharType="begin"/>
        </w:r>
        <w:r>
          <w:rPr>
            <w:noProof/>
            <w:webHidden/>
          </w:rPr>
          <w:instrText xml:space="preserve"> PAGEREF _Toc212792012 \h </w:instrText>
        </w:r>
        <w:r>
          <w:rPr>
            <w:noProof/>
            <w:webHidden/>
          </w:rPr>
        </w:r>
        <w:r>
          <w:rPr>
            <w:noProof/>
            <w:webHidden/>
          </w:rPr>
          <w:fldChar w:fldCharType="separate"/>
        </w:r>
        <w:r w:rsidR="00102DFF">
          <w:rPr>
            <w:noProof/>
            <w:webHidden/>
          </w:rPr>
          <w:t>15</w:t>
        </w:r>
        <w:r>
          <w:rPr>
            <w:noProof/>
            <w:webHidden/>
          </w:rPr>
          <w:fldChar w:fldCharType="end"/>
        </w:r>
      </w:hyperlink>
    </w:p>
    <w:p w14:paraId="64D9187D" w14:textId="014C3985"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2013" w:history="1">
        <w:r w:rsidRPr="006E7237">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Preference Requirements</w:t>
        </w:r>
        <w:r>
          <w:rPr>
            <w:noProof/>
            <w:webHidden/>
          </w:rPr>
          <w:tab/>
        </w:r>
        <w:r>
          <w:rPr>
            <w:noProof/>
            <w:webHidden/>
          </w:rPr>
          <w:fldChar w:fldCharType="begin"/>
        </w:r>
        <w:r>
          <w:rPr>
            <w:noProof/>
            <w:webHidden/>
          </w:rPr>
          <w:instrText xml:space="preserve"> PAGEREF _Toc212792013 \h </w:instrText>
        </w:r>
        <w:r>
          <w:rPr>
            <w:noProof/>
            <w:webHidden/>
          </w:rPr>
        </w:r>
        <w:r>
          <w:rPr>
            <w:noProof/>
            <w:webHidden/>
          </w:rPr>
          <w:fldChar w:fldCharType="separate"/>
        </w:r>
        <w:r w:rsidR="00102DFF">
          <w:rPr>
            <w:noProof/>
            <w:webHidden/>
          </w:rPr>
          <w:t>16</w:t>
        </w:r>
        <w:r>
          <w:rPr>
            <w:noProof/>
            <w:webHidden/>
          </w:rPr>
          <w:fldChar w:fldCharType="end"/>
        </w:r>
      </w:hyperlink>
    </w:p>
    <w:p w14:paraId="778D4EBF" w14:textId="1DD6F292" w:rsidR="007F045E" w:rsidRDefault="007F045E">
      <w:pPr>
        <w:pStyle w:val="TOC1"/>
        <w:rPr>
          <w:rFonts w:asciiTheme="minorHAnsi" w:eastAsiaTheme="minorEastAsia" w:hAnsiTheme="minorHAnsi" w:cstheme="minorBidi"/>
          <w:b w:val="0"/>
          <w:noProof/>
          <w:kern w:val="2"/>
          <w:sz w:val="24"/>
          <w:szCs w:val="24"/>
          <w:lang w:eastAsia="en-ZA"/>
          <w14:ligatures w14:val="standardContextual"/>
        </w:rPr>
      </w:pPr>
      <w:hyperlink w:anchor="_Toc212792014" w:history="1">
        <w:r w:rsidRPr="006E7237">
          <w:rPr>
            <w:rStyle w:val="Hyperlink"/>
            <w:noProof/>
            <w14:scene3d>
              <w14:camera w14:prst="orthographicFront"/>
              <w14:lightRig w14:rig="threePt" w14:dir="t">
                <w14:rot w14:lat="0" w14:lon="0" w14:rev="0"/>
              </w14:lightRig>
            </w14:scene3d>
          </w:rPr>
          <w:t>Annex A:</w:t>
        </w:r>
        <w:r w:rsidRPr="006E7237">
          <w:rPr>
            <w:rStyle w:val="Hyperlink"/>
            <w:noProof/>
          </w:rPr>
          <w:t xml:space="preserve"> Bidder substantiating evidence</w:t>
        </w:r>
        <w:r>
          <w:rPr>
            <w:noProof/>
            <w:webHidden/>
          </w:rPr>
          <w:tab/>
        </w:r>
        <w:r>
          <w:rPr>
            <w:noProof/>
            <w:webHidden/>
          </w:rPr>
          <w:fldChar w:fldCharType="begin"/>
        </w:r>
        <w:r>
          <w:rPr>
            <w:noProof/>
            <w:webHidden/>
          </w:rPr>
          <w:instrText xml:space="preserve"> PAGEREF _Toc212792014 \h </w:instrText>
        </w:r>
        <w:r>
          <w:rPr>
            <w:noProof/>
            <w:webHidden/>
          </w:rPr>
        </w:r>
        <w:r>
          <w:rPr>
            <w:noProof/>
            <w:webHidden/>
          </w:rPr>
          <w:fldChar w:fldCharType="separate"/>
        </w:r>
        <w:r w:rsidR="00102DFF">
          <w:rPr>
            <w:noProof/>
            <w:webHidden/>
          </w:rPr>
          <w:t>21</w:t>
        </w:r>
        <w:r>
          <w:rPr>
            <w:noProof/>
            <w:webHidden/>
          </w:rPr>
          <w:fldChar w:fldCharType="end"/>
        </w:r>
      </w:hyperlink>
    </w:p>
    <w:p w14:paraId="0312DF57" w14:textId="480D3D7C" w:rsidR="007F045E" w:rsidRDefault="007F045E">
      <w:pPr>
        <w:pStyle w:val="TOC1"/>
        <w:rPr>
          <w:rFonts w:asciiTheme="minorHAnsi" w:eastAsiaTheme="minorEastAsia" w:hAnsiTheme="minorHAnsi" w:cstheme="minorBidi"/>
          <w:b w:val="0"/>
          <w:noProof/>
          <w:kern w:val="2"/>
          <w:sz w:val="24"/>
          <w:szCs w:val="24"/>
          <w:lang w:eastAsia="en-ZA"/>
          <w14:ligatures w14:val="standardContextual"/>
        </w:rPr>
      </w:pPr>
      <w:hyperlink w:anchor="_Toc212792015" w:history="1">
        <w:r w:rsidRPr="006E7237">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6E7237">
          <w:rPr>
            <w:rStyle w:val="Hyperlink"/>
            <w:noProof/>
          </w:rPr>
          <w:t>Technical Mandatory Requirement Evidence</w:t>
        </w:r>
        <w:r>
          <w:rPr>
            <w:noProof/>
            <w:webHidden/>
          </w:rPr>
          <w:tab/>
        </w:r>
        <w:r>
          <w:rPr>
            <w:noProof/>
            <w:webHidden/>
          </w:rPr>
          <w:fldChar w:fldCharType="begin"/>
        </w:r>
        <w:r>
          <w:rPr>
            <w:noProof/>
            <w:webHidden/>
          </w:rPr>
          <w:instrText xml:space="preserve"> PAGEREF _Toc212792015 \h </w:instrText>
        </w:r>
        <w:r>
          <w:rPr>
            <w:noProof/>
            <w:webHidden/>
          </w:rPr>
        </w:r>
        <w:r>
          <w:rPr>
            <w:noProof/>
            <w:webHidden/>
          </w:rPr>
          <w:fldChar w:fldCharType="separate"/>
        </w:r>
        <w:r w:rsidR="00102DFF">
          <w:rPr>
            <w:noProof/>
            <w:webHidden/>
          </w:rPr>
          <w:t>21</w:t>
        </w:r>
        <w:r>
          <w:rPr>
            <w:noProof/>
            <w:webHidden/>
          </w:rPr>
          <w:fldChar w:fldCharType="end"/>
        </w:r>
      </w:hyperlink>
    </w:p>
    <w:p w14:paraId="060EBA17" w14:textId="793989B5"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2016" w:history="1">
        <w:r w:rsidRPr="006E7237">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Bidder Certification / Affiliation Requirement</w:t>
        </w:r>
        <w:r w:rsidRPr="006E7237">
          <w:rPr>
            <w:rStyle w:val="Hyperlink"/>
            <w:bCs/>
            <w:noProof/>
            <w:lang w:val="en-GB"/>
          </w:rPr>
          <w:t>.</w:t>
        </w:r>
        <w:r>
          <w:rPr>
            <w:noProof/>
            <w:webHidden/>
          </w:rPr>
          <w:tab/>
        </w:r>
        <w:r>
          <w:rPr>
            <w:noProof/>
            <w:webHidden/>
          </w:rPr>
          <w:fldChar w:fldCharType="begin"/>
        </w:r>
        <w:r>
          <w:rPr>
            <w:noProof/>
            <w:webHidden/>
          </w:rPr>
          <w:instrText xml:space="preserve"> PAGEREF _Toc212792016 \h </w:instrText>
        </w:r>
        <w:r>
          <w:rPr>
            <w:noProof/>
            <w:webHidden/>
          </w:rPr>
        </w:r>
        <w:r>
          <w:rPr>
            <w:noProof/>
            <w:webHidden/>
          </w:rPr>
          <w:fldChar w:fldCharType="separate"/>
        </w:r>
        <w:r w:rsidR="00102DFF">
          <w:rPr>
            <w:noProof/>
            <w:webHidden/>
          </w:rPr>
          <w:t>21</w:t>
        </w:r>
        <w:r>
          <w:rPr>
            <w:noProof/>
            <w:webHidden/>
          </w:rPr>
          <w:fldChar w:fldCharType="end"/>
        </w:r>
      </w:hyperlink>
    </w:p>
    <w:p w14:paraId="7E05C1A5" w14:textId="493B0495"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2017" w:history="1">
        <w:r w:rsidRPr="006E7237">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Bidder Experience and Capability Requirements</w:t>
        </w:r>
        <w:r>
          <w:rPr>
            <w:noProof/>
            <w:webHidden/>
          </w:rPr>
          <w:tab/>
        </w:r>
        <w:r>
          <w:rPr>
            <w:noProof/>
            <w:webHidden/>
          </w:rPr>
          <w:fldChar w:fldCharType="begin"/>
        </w:r>
        <w:r>
          <w:rPr>
            <w:noProof/>
            <w:webHidden/>
          </w:rPr>
          <w:instrText xml:space="preserve"> PAGEREF _Toc212792017 \h </w:instrText>
        </w:r>
        <w:r>
          <w:rPr>
            <w:noProof/>
            <w:webHidden/>
          </w:rPr>
        </w:r>
        <w:r>
          <w:rPr>
            <w:noProof/>
            <w:webHidden/>
          </w:rPr>
          <w:fldChar w:fldCharType="separate"/>
        </w:r>
        <w:r w:rsidR="00102DFF">
          <w:rPr>
            <w:noProof/>
            <w:webHidden/>
          </w:rPr>
          <w:t>21</w:t>
        </w:r>
        <w:r>
          <w:rPr>
            <w:noProof/>
            <w:webHidden/>
          </w:rPr>
          <w:fldChar w:fldCharType="end"/>
        </w:r>
      </w:hyperlink>
    </w:p>
    <w:p w14:paraId="3DE2DE1A" w14:textId="3E6A07D3"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2018" w:history="1">
        <w:r w:rsidRPr="006E7237">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Special Conditions of contracts</w:t>
        </w:r>
        <w:r>
          <w:rPr>
            <w:noProof/>
            <w:webHidden/>
          </w:rPr>
          <w:tab/>
        </w:r>
        <w:r>
          <w:rPr>
            <w:noProof/>
            <w:webHidden/>
          </w:rPr>
          <w:fldChar w:fldCharType="begin"/>
        </w:r>
        <w:r>
          <w:rPr>
            <w:noProof/>
            <w:webHidden/>
          </w:rPr>
          <w:instrText xml:space="preserve"> PAGEREF _Toc212792018 \h </w:instrText>
        </w:r>
        <w:r>
          <w:rPr>
            <w:noProof/>
            <w:webHidden/>
          </w:rPr>
        </w:r>
        <w:r>
          <w:rPr>
            <w:noProof/>
            <w:webHidden/>
          </w:rPr>
          <w:fldChar w:fldCharType="separate"/>
        </w:r>
        <w:r w:rsidR="00102DFF">
          <w:rPr>
            <w:noProof/>
            <w:webHidden/>
          </w:rPr>
          <w:t>22</w:t>
        </w:r>
        <w:r>
          <w:rPr>
            <w:noProof/>
            <w:webHidden/>
          </w:rPr>
          <w:fldChar w:fldCharType="end"/>
        </w:r>
      </w:hyperlink>
    </w:p>
    <w:p w14:paraId="436F7039" w14:textId="15090FE1" w:rsidR="007F045E" w:rsidRDefault="007F045E">
      <w:pPr>
        <w:pStyle w:val="TOC2"/>
        <w:rPr>
          <w:rFonts w:asciiTheme="minorHAnsi" w:eastAsiaTheme="minorEastAsia" w:hAnsiTheme="minorHAnsi" w:cstheme="minorBidi"/>
          <w:noProof/>
          <w:kern w:val="2"/>
          <w:sz w:val="24"/>
          <w:szCs w:val="24"/>
          <w:lang w:eastAsia="en-ZA"/>
          <w14:ligatures w14:val="standardContextual"/>
        </w:rPr>
      </w:pPr>
      <w:hyperlink w:anchor="_Toc212792019" w:history="1">
        <w:r w:rsidRPr="006E7237">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6E7237">
          <w:rPr>
            <w:rStyle w:val="Hyperlink"/>
            <w:noProof/>
          </w:rPr>
          <w:t>Preference Points Preferential Goals Evidence</w:t>
        </w:r>
        <w:r>
          <w:rPr>
            <w:noProof/>
            <w:webHidden/>
          </w:rPr>
          <w:tab/>
        </w:r>
        <w:r>
          <w:rPr>
            <w:noProof/>
            <w:webHidden/>
          </w:rPr>
          <w:fldChar w:fldCharType="begin"/>
        </w:r>
        <w:r>
          <w:rPr>
            <w:noProof/>
            <w:webHidden/>
          </w:rPr>
          <w:instrText xml:space="preserve"> PAGEREF _Toc212792019 \h </w:instrText>
        </w:r>
        <w:r>
          <w:rPr>
            <w:noProof/>
            <w:webHidden/>
          </w:rPr>
        </w:r>
        <w:r>
          <w:rPr>
            <w:noProof/>
            <w:webHidden/>
          </w:rPr>
          <w:fldChar w:fldCharType="separate"/>
        </w:r>
        <w:r w:rsidR="00102DFF">
          <w:rPr>
            <w:noProof/>
            <w:webHidden/>
          </w:rPr>
          <w:t>22</w:t>
        </w:r>
        <w:r>
          <w:rPr>
            <w:noProof/>
            <w:webHidden/>
          </w:rPr>
          <w:fldChar w:fldCharType="end"/>
        </w:r>
      </w:hyperlink>
    </w:p>
    <w:p w14:paraId="61CD884B" w14:textId="25312050" w:rsidR="00A44D99" w:rsidRDefault="00A44D99" w:rsidP="00A44D99">
      <w:r>
        <w:rPr>
          <w:rFonts w:asciiTheme="minorHAnsi" w:hAnsiTheme="minorHAnsi"/>
          <w:b/>
          <w:bCs/>
          <w:caps/>
          <w:sz w:val="20"/>
        </w:rPr>
        <w:fldChar w:fldCharType="end"/>
      </w:r>
    </w:p>
    <w:p w14:paraId="4FABDF9B" w14:textId="77777777" w:rsidR="00AB361C" w:rsidRDefault="00AB361C" w:rsidP="00A44D99">
      <w:pPr>
        <w:sectPr w:rsidR="00AB361C" w:rsidSect="00E5740F">
          <w:footerReference w:type="default" r:id="rId13"/>
          <w:pgSz w:w="11906" w:h="16838" w:code="9"/>
          <w:pgMar w:top="1276" w:right="1134" w:bottom="993" w:left="1134" w:header="709" w:footer="584" w:gutter="0"/>
          <w:cols w:space="708"/>
          <w:docGrid w:linePitch="360"/>
        </w:sectPr>
      </w:pPr>
    </w:p>
    <w:p w14:paraId="0FAE1BCC" w14:textId="3597CDA7" w:rsidR="001313AD" w:rsidRPr="00FB57B0" w:rsidRDefault="001A1E65" w:rsidP="007E6FC0">
      <w:pPr>
        <w:pStyle w:val="Heading1"/>
        <w:rPr>
          <w:sz w:val="24"/>
          <w:szCs w:val="24"/>
        </w:rPr>
      </w:pPr>
      <w:bookmarkStart w:id="0" w:name="_Toc212791982"/>
      <w:bookmarkStart w:id="1" w:name="_Toc394775451"/>
      <w:bookmarkStart w:id="2" w:name="_Toc394778358"/>
      <w:bookmarkStart w:id="3" w:name="_Toc498843318"/>
      <w:bookmarkStart w:id="4" w:name="_Toc505652265"/>
      <w:r w:rsidRPr="00FB57B0">
        <w:rPr>
          <w:sz w:val="24"/>
          <w:szCs w:val="24"/>
        </w:rPr>
        <w:lastRenderedPageBreak/>
        <w:t>Purpose and Background</w:t>
      </w:r>
      <w:bookmarkEnd w:id="0"/>
    </w:p>
    <w:p w14:paraId="2E8F3A37" w14:textId="1541407B" w:rsidR="001A1E65" w:rsidRPr="00FB57B0" w:rsidRDefault="001A1E65" w:rsidP="00A9662F">
      <w:pPr>
        <w:pStyle w:val="Heading2"/>
        <w:ind w:left="567"/>
        <w:rPr>
          <w:sz w:val="24"/>
          <w:szCs w:val="24"/>
        </w:rPr>
      </w:pPr>
      <w:bookmarkStart w:id="5" w:name="_Toc212791983"/>
      <w:r w:rsidRPr="00FB57B0">
        <w:rPr>
          <w:sz w:val="24"/>
          <w:szCs w:val="24"/>
        </w:rPr>
        <w:t>Purpose</w:t>
      </w:r>
      <w:bookmarkEnd w:id="5"/>
    </w:p>
    <w:p w14:paraId="256D1676" w14:textId="550ADEAD" w:rsidR="00496E1A" w:rsidRDefault="001A1E65" w:rsidP="005D10D5">
      <w:pPr>
        <w:spacing w:line="240" w:lineRule="auto"/>
        <w:ind w:left="567"/>
      </w:pPr>
      <w:r w:rsidRPr="001A1E65">
        <w:t xml:space="preserve">The purpose of this Request for bid is to invite Suppliers (hereinafter referred to as “bidders”) to submit bid for the procurement of renewal of </w:t>
      </w:r>
      <w:r>
        <w:t>INET</w:t>
      </w:r>
      <w:r w:rsidRPr="001A1E65">
        <w:t>/</w:t>
      </w:r>
      <w:r>
        <w:t>WINET E</w:t>
      </w:r>
      <w:r w:rsidRPr="001A1E65">
        <w:t xml:space="preserve">mulator </w:t>
      </w:r>
      <w:r>
        <w:t>S</w:t>
      </w:r>
      <w:r w:rsidRPr="001A1E65">
        <w:t xml:space="preserve">oftware </w:t>
      </w:r>
      <w:r>
        <w:t>L</w:t>
      </w:r>
      <w:r w:rsidRPr="001A1E65">
        <w:t>icenses including maintenance and support for a period of five (5) years</w:t>
      </w:r>
      <w:r>
        <w:t xml:space="preserve"> for the </w:t>
      </w:r>
      <w:r w:rsidRPr="001A1E65">
        <w:t>Department of Correctional Services</w:t>
      </w:r>
      <w:r>
        <w:t>.</w:t>
      </w:r>
    </w:p>
    <w:p w14:paraId="2AB8396B" w14:textId="77777777" w:rsidR="001A1E65" w:rsidRDefault="001A1E65" w:rsidP="0094186A">
      <w:pPr>
        <w:spacing w:line="240" w:lineRule="auto"/>
        <w:ind w:left="567"/>
        <w:jc w:val="left"/>
      </w:pPr>
    </w:p>
    <w:p w14:paraId="51D213F4" w14:textId="000E3625" w:rsidR="001A1E65" w:rsidRPr="00FB57B0" w:rsidRDefault="001A1E65" w:rsidP="00A9662F">
      <w:pPr>
        <w:pStyle w:val="Heading2"/>
        <w:ind w:left="567"/>
        <w:rPr>
          <w:sz w:val="24"/>
          <w:szCs w:val="24"/>
        </w:rPr>
      </w:pPr>
      <w:bookmarkStart w:id="6" w:name="_Toc212791984"/>
      <w:r w:rsidRPr="00FB57B0">
        <w:rPr>
          <w:sz w:val="24"/>
          <w:szCs w:val="24"/>
        </w:rPr>
        <w:t>Background</w:t>
      </w:r>
      <w:bookmarkEnd w:id="6"/>
    </w:p>
    <w:p w14:paraId="31316D56" w14:textId="5FAEBAF7" w:rsidR="001A1E65" w:rsidRPr="005D10D5" w:rsidRDefault="00A9662F" w:rsidP="005D10D5">
      <w:pPr>
        <w:spacing w:line="240" w:lineRule="auto"/>
        <w:ind w:left="567"/>
        <w:rPr>
          <w:rFonts w:asciiTheme="majorHAnsi" w:hAnsiTheme="majorHAnsi" w:cstheme="majorHAnsi"/>
        </w:rPr>
      </w:pPr>
      <w:r w:rsidRPr="005D10D5">
        <w:rPr>
          <w:rFonts w:asciiTheme="majorHAnsi" w:hAnsiTheme="majorHAnsi" w:cstheme="majorHAnsi"/>
        </w:rPr>
        <w:t xml:space="preserve">The department has been using INET/WINET </w:t>
      </w:r>
      <w:r w:rsidR="005D10D5" w:rsidRPr="005D10D5">
        <w:rPr>
          <w:rFonts w:asciiTheme="majorHAnsi" w:hAnsiTheme="majorHAnsi" w:cstheme="majorHAnsi"/>
        </w:rPr>
        <w:t xml:space="preserve">Emulator </w:t>
      </w:r>
      <w:r w:rsidRPr="005D10D5">
        <w:rPr>
          <w:rFonts w:asciiTheme="majorHAnsi" w:hAnsiTheme="majorHAnsi" w:cstheme="majorHAnsi"/>
        </w:rPr>
        <w:t>Software for PERSAL and Logis transversal system.  INET/WINET</w:t>
      </w:r>
      <w:r w:rsidR="005D10D5" w:rsidRPr="005D10D5">
        <w:rPr>
          <w:rFonts w:asciiTheme="majorHAnsi" w:hAnsiTheme="majorHAnsi" w:cstheme="majorHAnsi"/>
        </w:rPr>
        <w:t xml:space="preserve"> Emulator</w:t>
      </w:r>
      <w:r w:rsidRPr="005D10D5">
        <w:rPr>
          <w:rFonts w:asciiTheme="majorHAnsi" w:hAnsiTheme="majorHAnsi" w:cstheme="majorHAnsi"/>
        </w:rPr>
        <w:t xml:space="preserve"> is a terminal Software package used to connect to a mainframe.  The renewal will prevent downtime and ensure that officials continue using the software without interruptions </w:t>
      </w:r>
      <w:proofErr w:type="gramStart"/>
      <w:r w:rsidRPr="005D10D5">
        <w:rPr>
          <w:rFonts w:asciiTheme="majorHAnsi" w:hAnsiTheme="majorHAnsi" w:cstheme="majorHAnsi"/>
        </w:rPr>
        <w:t>and also</w:t>
      </w:r>
      <w:proofErr w:type="gramEnd"/>
      <w:r w:rsidRPr="005D10D5">
        <w:rPr>
          <w:rFonts w:asciiTheme="majorHAnsi" w:hAnsiTheme="majorHAnsi" w:cstheme="majorHAnsi"/>
        </w:rPr>
        <w:t xml:space="preserve"> have access to the latest features.</w:t>
      </w:r>
    </w:p>
    <w:p w14:paraId="4BE91337" w14:textId="77777777" w:rsidR="00A9662F" w:rsidRPr="0094186A" w:rsidRDefault="00A9662F" w:rsidP="0094186A">
      <w:pPr>
        <w:spacing w:line="240" w:lineRule="auto"/>
        <w:ind w:left="567"/>
        <w:jc w:val="left"/>
      </w:pPr>
    </w:p>
    <w:p w14:paraId="65036CEE" w14:textId="77777777" w:rsidR="00496E1A" w:rsidRPr="00FB57B0" w:rsidRDefault="00AF05FE" w:rsidP="005D10D5">
      <w:pPr>
        <w:pStyle w:val="Heading1"/>
        <w:ind w:left="426" w:hanging="426"/>
        <w:rPr>
          <w:sz w:val="24"/>
          <w:szCs w:val="24"/>
        </w:rPr>
      </w:pPr>
      <w:bookmarkStart w:id="7" w:name="_Toc212791985"/>
      <w:r w:rsidRPr="00FB57B0">
        <w:rPr>
          <w:sz w:val="24"/>
          <w:szCs w:val="24"/>
        </w:rPr>
        <w:t>Scope of Bid</w:t>
      </w:r>
      <w:bookmarkEnd w:id="7"/>
    </w:p>
    <w:p w14:paraId="1B79A79A" w14:textId="09471DA8" w:rsidR="00AF05FE" w:rsidRPr="00FB57B0" w:rsidRDefault="00AF05FE" w:rsidP="005D10D5">
      <w:pPr>
        <w:pStyle w:val="Heading2"/>
        <w:ind w:left="426" w:hanging="426"/>
        <w:rPr>
          <w:sz w:val="24"/>
          <w:szCs w:val="24"/>
        </w:rPr>
      </w:pPr>
      <w:bookmarkStart w:id="8" w:name="_Toc212791986"/>
      <w:r w:rsidRPr="00FB57B0">
        <w:rPr>
          <w:sz w:val="24"/>
          <w:szCs w:val="24"/>
        </w:rPr>
        <w:t>Scope of Work</w:t>
      </w:r>
      <w:bookmarkEnd w:id="8"/>
    </w:p>
    <w:p w14:paraId="12785B13" w14:textId="77777777" w:rsidR="00E06FB8" w:rsidRPr="00E06FB8" w:rsidRDefault="00E06FB8" w:rsidP="005D10D5">
      <w:pPr>
        <w:ind w:left="567" w:hanging="141"/>
        <w:rPr>
          <w:rFonts w:cs="Calibri"/>
        </w:rPr>
      </w:pPr>
      <w:r w:rsidRPr="00E06FB8">
        <w:rPr>
          <w:rFonts w:cs="Calibri"/>
        </w:rPr>
        <w:t>The scope of work for this RFB is as follows:</w:t>
      </w:r>
    </w:p>
    <w:p w14:paraId="7A9E9367" w14:textId="3C4F0453" w:rsidR="00E06FB8" w:rsidRDefault="00E06FB8" w:rsidP="005D10D5">
      <w:pPr>
        <w:ind w:left="426"/>
        <w:rPr>
          <w:rFonts w:cs="Calibri"/>
        </w:rPr>
      </w:pPr>
      <w:r w:rsidRPr="00E06FB8">
        <w:rPr>
          <w:rFonts w:cs="Calibri"/>
        </w:rPr>
        <w:t xml:space="preserve">To provide the </w:t>
      </w:r>
      <w:r w:rsidR="005D10D5">
        <w:rPr>
          <w:rFonts w:cs="Calibri"/>
        </w:rPr>
        <w:t>INETWINET</w:t>
      </w:r>
      <w:r>
        <w:rPr>
          <w:rFonts w:cs="Calibri"/>
        </w:rPr>
        <w:t xml:space="preserve"> Emulator Software Licenses</w:t>
      </w:r>
      <w:r w:rsidRPr="00E06FB8">
        <w:rPr>
          <w:rFonts w:cs="Calibri"/>
        </w:rPr>
        <w:t xml:space="preserve"> Maintenance and Support</w:t>
      </w:r>
      <w:r>
        <w:rPr>
          <w:rFonts w:cs="Calibri"/>
        </w:rPr>
        <w:t xml:space="preserve"> for the </w:t>
      </w:r>
      <w:bookmarkStart w:id="9" w:name="_Hlk212735971"/>
      <w:r>
        <w:rPr>
          <w:rFonts w:cs="Calibri"/>
        </w:rPr>
        <w:t xml:space="preserve">Department of Correctional Services </w:t>
      </w:r>
      <w:bookmarkEnd w:id="9"/>
      <w:r>
        <w:rPr>
          <w:rFonts w:cs="Calibri"/>
        </w:rPr>
        <w:t xml:space="preserve">for a period of </w:t>
      </w:r>
      <w:bookmarkStart w:id="10" w:name="_Hlk204764897"/>
      <w:r w:rsidR="0005172C">
        <w:rPr>
          <w:rFonts w:cs="Calibri"/>
        </w:rPr>
        <w:t xml:space="preserve">five </w:t>
      </w:r>
      <w:r w:rsidR="00ED3AD2">
        <w:rPr>
          <w:rFonts w:cs="Calibri"/>
        </w:rPr>
        <w:t>(</w:t>
      </w:r>
      <w:r w:rsidR="0005172C">
        <w:rPr>
          <w:rFonts w:cs="Calibri"/>
        </w:rPr>
        <w:t>5</w:t>
      </w:r>
      <w:r>
        <w:rPr>
          <w:rFonts w:cs="Calibri"/>
        </w:rPr>
        <w:t xml:space="preserve">) </w:t>
      </w:r>
      <w:r w:rsidR="0005172C">
        <w:rPr>
          <w:rFonts w:cs="Calibri"/>
        </w:rPr>
        <w:t>years.</w:t>
      </w:r>
      <w:bookmarkEnd w:id="10"/>
    </w:p>
    <w:p w14:paraId="5FF61BD7" w14:textId="77777777" w:rsidR="00E06FB8" w:rsidRPr="00E06FB8" w:rsidRDefault="00E06FB8" w:rsidP="00401FF9">
      <w:pPr>
        <w:ind w:firstLine="426"/>
        <w:rPr>
          <w:rFonts w:cs="Calibri"/>
          <w:b/>
          <w:bCs/>
        </w:rPr>
      </w:pPr>
      <w:r w:rsidRPr="00E06FB8">
        <w:rPr>
          <w:rFonts w:cs="Calibri"/>
          <w:b/>
          <w:bCs/>
        </w:rPr>
        <w:t>These services include the following:</w:t>
      </w:r>
    </w:p>
    <w:p w14:paraId="7EE28C19" w14:textId="77777777" w:rsidR="00E06FB8" w:rsidRPr="00EF3A8A" w:rsidRDefault="00E06FB8" w:rsidP="00401FF9">
      <w:pPr>
        <w:numPr>
          <w:ilvl w:val="0"/>
          <w:numId w:val="32"/>
        </w:numPr>
        <w:ind w:left="709" w:hanging="283"/>
        <w:rPr>
          <w:rFonts w:cs="Calibri"/>
        </w:rPr>
      </w:pPr>
      <w:r w:rsidRPr="00EF3A8A">
        <w:rPr>
          <w:rFonts w:cs="Calibri"/>
        </w:rPr>
        <w:t>Provide technical support services to address incidents and troubleshoot software issues, including providing fixes to resolve software bugs and assisting with the implementation of new releases, as needed.</w:t>
      </w:r>
    </w:p>
    <w:p w14:paraId="5416E75D" w14:textId="77777777" w:rsidR="00E06FB8" w:rsidRPr="00EF3A8A" w:rsidRDefault="00E06FB8" w:rsidP="00401FF9">
      <w:pPr>
        <w:numPr>
          <w:ilvl w:val="0"/>
          <w:numId w:val="32"/>
        </w:numPr>
        <w:ind w:left="709" w:hanging="283"/>
        <w:rPr>
          <w:rFonts w:cs="Calibri"/>
        </w:rPr>
      </w:pPr>
      <w:r w:rsidRPr="00EF3A8A">
        <w:rPr>
          <w:rFonts w:cs="Calibri"/>
        </w:rPr>
        <w:t>Provide enhancements, patches, upgrades, new releases, and versions of the Software to maintain the Software on supported versions and to ensure that the Software can function under new releases of the operating system and other system software for which the Software was developed</w:t>
      </w:r>
    </w:p>
    <w:p w14:paraId="4466B488" w14:textId="5026CA8A" w:rsidR="00AF05FE" w:rsidRPr="00EF3A8A" w:rsidRDefault="0066780E" w:rsidP="00401FF9">
      <w:pPr>
        <w:numPr>
          <w:ilvl w:val="0"/>
          <w:numId w:val="32"/>
        </w:numPr>
        <w:ind w:left="709" w:hanging="283"/>
        <w:rPr>
          <w:rFonts w:cs="Calibri"/>
        </w:rPr>
      </w:pPr>
      <w:r w:rsidRPr="00EF3A8A">
        <w:t xml:space="preserve">Provide maintenance and support on the product for </w:t>
      </w:r>
      <w:r w:rsidR="0005172C" w:rsidRPr="00EF3A8A">
        <w:rPr>
          <w:rFonts w:cs="Calibri"/>
        </w:rPr>
        <w:t>five (5) years</w:t>
      </w:r>
      <w:r w:rsidR="00EF3A8A">
        <w:rPr>
          <w:rFonts w:cs="Calibri"/>
        </w:rPr>
        <w:t xml:space="preserve"> </w:t>
      </w:r>
      <w:r w:rsidRPr="00EF3A8A">
        <w:rPr>
          <w:lang w:val="en-GB"/>
        </w:rPr>
        <w:t>for 4410 licenses</w:t>
      </w:r>
      <w:r w:rsidR="005D10D5" w:rsidRPr="00EF3A8A">
        <w:rPr>
          <w:lang w:val="en-GB"/>
        </w:rPr>
        <w:t>.</w:t>
      </w:r>
    </w:p>
    <w:p w14:paraId="3AC50ACA" w14:textId="77777777" w:rsidR="00AF05FE" w:rsidRPr="00FB57B0" w:rsidRDefault="00AF05FE" w:rsidP="005D10D5">
      <w:pPr>
        <w:pStyle w:val="Heading2"/>
        <w:ind w:left="426" w:hanging="426"/>
        <w:rPr>
          <w:sz w:val="24"/>
          <w:szCs w:val="24"/>
        </w:rPr>
      </w:pPr>
      <w:bookmarkStart w:id="11" w:name="_Toc212791987"/>
      <w:r w:rsidRPr="00FB57B0">
        <w:rPr>
          <w:sz w:val="24"/>
          <w:szCs w:val="24"/>
        </w:rPr>
        <w:t>Delivery address</w:t>
      </w:r>
      <w:bookmarkEnd w:id="11"/>
    </w:p>
    <w:p w14:paraId="343BB7B5" w14:textId="6EC95724" w:rsidR="00AF05FE" w:rsidRDefault="00AF05FE" w:rsidP="00401FF9">
      <w:pPr>
        <w:ind w:firstLine="426"/>
        <w:rPr>
          <w:lang w:val="en-GB"/>
        </w:rPr>
      </w:pPr>
      <w:r>
        <w:rPr>
          <w:lang w:val="en-GB"/>
        </w:rPr>
        <w:t xml:space="preserve">The address where the required </w:t>
      </w:r>
      <w:r w:rsidRPr="00801880">
        <w:rPr>
          <w:lang w:val="en-GB"/>
        </w:rPr>
        <w:t>goods / services / works</w:t>
      </w:r>
      <w:r>
        <w:rPr>
          <w:lang w:val="en-GB"/>
        </w:rPr>
        <w:t xml:space="preserve"> must be delivered is</w:t>
      </w:r>
    </w:p>
    <w:tbl>
      <w:tblPr>
        <w:tblStyle w:val="TableGrid"/>
        <w:tblW w:w="3179" w:type="pct"/>
        <w:tblInd w:w="35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32"/>
        <w:gridCol w:w="4596"/>
      </w:tblGrid>
      <w:tr w:rsidR="0066780E" w:rsidRPr="00AD001C" w14:paraId="1F0BD872" w14:textId="77777777" w:rsidTr="0066780E">
        <w:tc>
          <w:tcPr>
            <w:tcW w:w="1250" w:type="pct"/>
            <w:shd w:val="clear" w:color="auto" w:fill="DBE5F1" w:themeFill="accent1" w:themeFillTint="33"/>
          </w:tcPr>
          <w:p w14:paraId="16D98548" w14:textId="77777777" w:rsidR="0066780E" w:rsidRPr="00AD001C" w:rsidRDefault="0066780E" w:rsidP="00A15286">
            <w:pPr>
              <w:rPr>
                <w:szCs w:val="24"/>
              </w:rPr>
            </w:pPr>
            <w:r w:rsidRPr="00AD001C">
              <w:rPr>
                <w:szCs w:val="24"/>
              </w:rPr>
              <w:t>No</w:t>
            </w:r>
          </w:p>
        </w:tc>
        <w:tc>
          <w:tcPr>
            <w:tcW w:w="3750" w:type="pct"/>
            <w:shd w:val="clear" w:color="auto" w:fill="DBE5F1" w:themeFill="accent1" w:themeFillTint="33"/>
          </w:tcPr>
          <w:p w14:paraId="31DACBA3" w14:textId="77777777" w:rsidR="0066780E" w:rsidRPr="00AD001C" w:rsidRDefault="0066780E" w:rsidP="00A15286">
            <w:pPr>
              <w:rPr>
                <w:szCs w:val="24"/>
              </w:rPr>
            </w:pPr>
            <w:r w:rsidRPr="00AD001C">
              <w:rPr>
                <w:szCs w:val="24"/>
              </w:rPr>
              <w:t>Physical Address</w:t>
            </w:r>
          </w:p>
        </w:tc>
      </w:tr>
      <w:tr w:rsidR="0066780E" w:rsidRPr="00AD001C" w14:paraId="3109E0A7" w14:textId="77777777" w:rsidTr="0066780E">
        <w:tc>
          <w:tcPr>
            <w:tcW w:w="1250" w:type="pct"/>
          </w:tcPr>
          <w:p w14:paraId="247B4CA8" w14:textId="77777777" w:rsidR="0066780E" w:rsidRPr="00AD001C" w:rsidRDefault="0066780E" w:rsidP="00A15286">
            <w:pPr>
              <w:rPr>
                <w:szCs w:val="24"/>
              </w:rPr>
            </w:pPr>
            <w:r w:rsidRPr="00AD001C">
              <w:rPr>
                <w:szCs w:val="24"/>
              </w:rPr>
              <w:t>1</w:t>
            </w:r>
          </w:p>
        </w:tc>
        <w:tc>
          <w:tcPr>
            <w:tcW w:w="3750" w:type="pct"/>
          </w:tcPr>
          <w:p w14:paraId="29388833" w14:textId="77777777" w:rsidR="0066780E" w:rsidRPr="00AD001C" w:rsidRDefault="0066780E" w:rsidP="00A15286">
            <w:pPr>
              <w:rPr>
                <w:szCs w:val="24"/>
              </w:rPr>
            </w:pPr>
            <w:r w:rsidRPr="00AD001C">
              <w:rPr>
                <w:szCs w:val="24"/>
              </w:rPr>
              <w:t>124 WF Nkomo Street</w:t>
            </w:r>
          </w:p>
          <w:p w14:paraId="78CDC4B8" w14:textId="77777777" w:rsidR="0066780E" w:rsidRPr="00AD001C" w:rsidRDefault="0066780E" w:rsidP="00A15286">
            <w:pPr>
              <w:rPr>
                <w:szCs w:val="24"/>
              </w:rPr>
            </w:pPr>
            <w:proofErr w:type="spellStart"/>
            <w:r w:rsidRPr="00AD001C">
              <w:rPr>
                <w:szCs w:val="24"/>
              </w:rPr>
              <w:t>Cnr</w:t>
            </w:r>
            <w:proofErr w:type="spellEnd"/>
            <w:r w:rsidRPr="00AD001C">
              <w:rPr>
                <w:szCs w:val="24"/>
              </w:rPr>
              <w:t xml:space="preserve"> WF Nkomo and Sophie de Bruyn streets</w:t>
            </w:r>
          </w:p>
          <w:p w14:paraId="0900CFE4" w14:textId="77777777" w:rsidR="0066780E" w:rsidRPr="00AD001C" w:rsidRDefault="0066780E" w:rsidP="00A15286">
            <w:pPr>
              <w:rPr>
                <w:szCs w:val="24"/>
              </w:rPr>
            </w:pPr>
            <w:r w:rsidRPr="00AD001C">
              <w:rPr>
                <w:szCs w:val="24"/>
              </w:rPr>
              <w:t>Pretoria, 0001</w:t>
            </w:r>
          </w:p>
        </w:tc>
      </w:tr>
    </w:tbl>
    <w:p w14:paraId="720369CD" w14:textId="77777777" w:rsidR="00AF05FE" w:rsidRDefault="00AF05FE" w:rsidP="00496E1A">
      <w:pPr>
        <w:rPr>
          <w:lang w:val="en-GB"/>
        </w:rPr>
      </w:pPr>
    </w:p>
    <w:p w14:paraId="07FECF84" w14:textId="77777777" w:rsidR="00AF05FE" w:rsidRPr="00FB57B0" w:rsidRDefault="00AF05FE" w:rsidP="005D10D5">
      <w:pPr>
        <w:pStyle w:val="Heading2"/>
        <w:ind w:left="426" w:hanging="426"/>
        <w:rPr>
          <w:sz w:val="24"/>
          <w:szCs w:val="24"/>
        </w:rPr>
      </w:pPr>
      <w:bookmarkStart w:id="12" w:name="_Toc212791988"/>
      <w:r w:rsidRPr="00FB57B0">
        <w:rPr>
          <w:sz w:val="24"/>
          <w:szCs w:val="24"/>
        </w:rPr>
        <w:t>Customer Infrastructure and environment requirements</w:t>
      </w:r>
      <w:bookmarkEnd w:id="12"/>
    </w:p>
    <w:p w14:paraId="32EC1293" w14:textId="5E0B26BE" w:rsidR="0097573A" w:rsidRPr="005D10D5" w:rsidRDefault="0097573A" w:rsidP="00401FF9">
      <w:pPr>
        <w:pStyle w:val="Specification"/>
        <w:ind w:left="709" w:hanging="283"/>
        <w:rPr>
          <w:rFonts w:asciiTheme="minorHAnsi" w:hAnsiTheme="minorHAnsi" w:cstheme="minorHAnsi"/>
          <w:sz w:val="22"/>
          <w:szCs w:val="22"/>
        </w:rPr>
      </w:pPr>
      <w:r w:rsidRPr="005D10D5">
        <w:rPr>
          <w:rFonts w:asciiTheme="minorHAnsi" w:hAnsiTheme="minorHAnsi" w:cstheme="minorHAnsi"/>
          <w:sz w:val="22"/>
          <w:szCs w:val="22"/>
        </w:rPr>
        <w:t>The Department currently uses the following operating systems:</w:t>
      </w:r>
    </w:p>
    <w:p w14:paraId="753CD961" w14:textId="2B71B162" w:rsidR="0097573A" w:rsidRPr="005D10D5" w:rsidRDefault="0097573A" w:rsidP="00401FF9">
      <w:pPr>
        <w:pStyle w:val="Specification"/>
        <w:numPr>
          <w:ilvl w:val="1"/>
          <w:numId w:val="31"/>
        </w:numPr>
        <w:tabs>
          <w:tab w:val="clear" w:pos="1134"/>
        </w:tabs>
        <w:ind w:left="851" w:hanging="425"/>
        <w:rPr>
          <w:rFonts w:asciiTheme="minorHAnsi" w:hAnsiTheme="minorHAnsi" w:cstheme="minorHAnsi"/>
          <w:sz w:val="22"/>
          <w:szCs w:val="22"/>
        </w:rPr>
      </w:pPr>
      <w:r w:rsidRPr="005D10D5">
        <w:rPr>
          <w:rFonts w:asciiTheme="minorHAnsi" w:hAnsiTheme="minorHAnsi" w:cstheme="minorHAnsi"/>
          <w:sz w:val="22"/>
          <w:szCs w:val="22"/>
        </w:rPr>
        <w:t>Windows 7 SP1 and Windows 10, 11</w:t>
      </w:r>
    </w:p>
    <w:p w14:paraId="7E30CFFD" w14:textId="77777777" w:rsidR="0097573A" w:rsidRPr="005D10D5" w:rsidRDefault="0097573A" w:rsidP="00401FF9">
      <w:pPr>
        <w:pStyle w:val="Specification"/>
        <w:numPr>
          <w:ilvl w:val="1"/>
          <w:numId w:val="31"/>
        </w:numPr>
        <w:tabs>
          <w:tab w:val="clear" w:pos="1134"/>
        </w:tabs>
        <w:ind w:left="851" w:hanging="425"/>
        <w:rPr>
          <w:rFonts w:asciiTheme="minorHAnsi" w:hAnsiTheme="minorHAnsi" w:cstheme="minorHAnsi"/>
          <w:sz w:val="22"/>
          <w:szCs w:val="22"/>
        </w:rPr>
      </w:pPr>
      <w:r w:rsidRPr="005D10D5">
        <w:rPr>
          <w:rFonts w:asciiTheme="minorHAnsi" w:hAnsiTheme="minorHAnsi" w:cstheme="minorHAnsi"/>
          <w:sz w:val="22"/>
          <w:szCs w:val="22"/>
        </w:rPr>
        <w:t>Windows XP.</w:t>
      </w:r>
    </w:p>
    <w:p w14:paraId="0BCCF4BD" w14:textId="7C42A44C" w:rsidR="0097573A" w:rsidRPr="005D10D5" w:rsidRDefault="0097573A" w:rsidP="00401FF9">
      <w:pPr>
        <w:pStyle w:val="Specification"/>
        <w:numPr>
          <w:ilvl w:val="1"/>
          <w:numId w:val="31"/>
        </w:numPr>
        <w:tabs>
          <w:tab w:val="clear" w:pos="1134"/>
        </w:tabs>
        <w:ind w:left="851" w:hanging="425"/>
        <w:rPr>
          <w:rFonts w:asciiTheme="minorHAnsi" w:hAnsiTheme="minorHAnsi" w:cstheme="minorHAnsi"/>
          <w:sz w:val="22"/>
          <w:szCs w:val="22"/>
        </w:rPr>
      </w:pPr>
      <w:r w:rsidRPr="005D10D5">
        <w:rPr>
          <w:rFonts w:asciiTheme="minorHAnsi" w:hAnsiTheme="minorHAnsi" w:cstheme="minorHAnsi"/>
          <w:sz w:val="22"/>
          <w:szCs w:val="22"/>
        </w:rPr>
        <w:t xml:space="preserve">The TCP/IP Terminal Emulators must be Windows compatible to </w:t>
      </w:r>
      <w:r w:rsidR="0005172C" w:rsidRPr="005D10D5">
        <w:rPr>
          <w:rFonts w:asciiTheme="minorHAnsi" w:hAnsiTheme="minorHAnsi" w:cstheme="minorHAnsi"/>
          <w:sz w:val="22"/>
          <w:szCs w:val="22"/>
        </w:rPr>
        <w:t>32- and 64-bit</w:t>
      </w:r>
      <w:r w:rsidRPr="005D10D5">
        <w:rPr>
          <w:rFonts w:asciiTheme="minorHAnsi" w:hAnsiTheme="minorHAnsi" w:cstheme="minorHAnsi"/>
          <w:sz w:val="22"/>
          <w:szCs w:val="22"/>
        </w:rPr>
        <w:t xml:space="preserve"> operating systems</w:t>
      </w:r>
    </w:p>
    <w:p w14:paraId="21B5E51D" w14:textId="77777777" w:rsidR="00AF05FE" w:rsidRPr="00FB57B0" w:rsidRDefault="00AF05FE" w:rsidP="005D10D5">
      <w:pPr>
        <w:pStyle w:val="Heading1"/>
        <w:ind w:left="426" w:hanging="426"/>
        <w:rPr>
          <w:sz w:val="24"/>
          <w:szCs w:val="24"/>
        </w:rPr>
      </w:pPr>
      <w:bookmarkStart w:id="13" w:name="_Toc212791989"/>
      <w:r w:rsidRPr="00FB57B0">
        <w:rPr>
          <w:sz w:val="24"/>
          <w:szCs w:val="24"/>
        </w:rPr>
        <w:lastRenderedPageBreak/>
        <w:t>Requirements</w:t>
      </w:r>
      <w:bookmarkEnd w:id="13"/>
    </w:p>
    <w:p w14:paraId="5A235570" w14:textId="77777777" w:rsidR="00AF05FE" w:rsidRPr="00FB57B0" w:rsidRDefault="00AF05FE" w:rsidP="005D10D5">
      <w:pPr>
        <w:pStyle w:val="Heading2"/>
        <w:ind w:left="567"/>
        <w:rPr>
          <w:sz w:val="24"/>
          <w:szCs w:val="24"/>
        </w:rPr>
      </w:pPr>
      <w:bookmarkStart w:id="14" w:name="_Toc212791990"/>
      <w:r w:rsidRPr="00FB57B0">
        <w:rPr>
          <w:sz w:val="24"/>
          <w:szCs w:val="24"/>
        </w:rPr>
        <w:t>Product / Service / Solution Requirements</w:t>
      </w:r>
      <w:bookmarkEnd w:id="14"/>
    </w:p>
    <w:p w14:paraId="1891839B" w14:textId="6DF6046D" w:rsidR="00AF05FE" w:rsidRPr="005D10D5" w:rsidRDefault="003429FC" w:rsidP="005D10D5">
      <w:pPr>
        <w:pStyle w:val="Heading3"/>
        <w:ind w:left="567"/>
        <w:rPr>
          <w:color w:val="auto"/>
        </w:rPr>
      </w:pPr>
      <w:bookmarkStart w:id="15" w:name="_Toc212791991"/>
      <w:r w:rsidRPr="005D10D5">
        <w:rPr>
          <w:color w:val="auto"/>
        </w:rPr>
        <w:t xml:space="preserve">This document outlines the specifications for renewal of </w:t>
      </w:r>
      <w:r w:rsidR="005D10D5" w:rsidRPr="005D10D5">
        <w:rPr>
          <w:color w:val="auto"/>
        </w:rPr>
        <w:t>INETWINET</w:t>
      </w:r>
      <w:r w:rsidRPr="005D10D5">
        <w:rPr>
          <w:color w:val="auto"/>
        </w:rPr>
        <w:t xml:space="preserve"> software licenses for a period of </w:t>
      </w:r>
      <w:r w:rsidR="0005172C" w:rsidRPr="005D10D5">
        <w:rPr>
          <w:rFonts w:cs="Calibri"/>
          <w:color w:val="auto"/>
        </w:rPr>
        <w:t xml:space="preserve">five (5) </w:t>
      </w:r>
      <w:r w:rsidR="00F0053E" w:rsidRPr="005D10D5">
        <w:rPr>
          <w:rFonts w:cs="Calibri"/>
          <w:color w:val="auto"/>
        </w:rPr>
        <w:t>years.</w:t>
      </w:r>
      <w:r w:rsidRPr="005D10D5">
        <w:rPr>
          <w:color w:val="auto"/>
        </w:rPr>
        <w:t xml:space="preserve"> The licenses should include the following features:</w:t>
      </w:r>
      <w:bookmarkEnd w:id="15"/>
    </w:p>
    <w:p w14:paraId="79235DD4" w14:textId="77777777" w:rsidR="0097573A" w:rsidRPr="005D10D5" w:rsidRDefault="0097573A" w:rsidP="00401FF9">
      <w:pPr>
        <w:pStyle w:val="Specification"/>
        <w:numPr>
          <w:ilvl w:val="1"/>
          <w:numId w:val="44"/>
        </w:numPr>
        <w:rPr>
          <w:rFonts w:asciiTheme="majorHAnsi" w:hAnsiTheme="majorHAnsi" w:cstheme="majorHAnsi"/>
          <w:sz w:val="22"/>
          <w:szCs w:val="22"/>
        </w:rPr>
      </w:pPr>
      <w:r w:rsidRPr="005D10D5">
        <w:rPr>
          <w:rFonts w:asciiTheme="majorHAnsi" w:hAnsiTheme="majorHAnsi" w:cstheme="majorHAnsi"/>
          <w:sz w:val="22"/>
          <w:szCs w:val="22"/>
        </w:rPr>
        <w:t>Emulator must be SSL compliant</w:t>
      </w:r>
    </w:p>
    <w:p w14:paraId="5CD37424" w14:textId="77777777" w:rsidR="0097573A" w:rsidRPr="005D10D5" w:rsidRDefault="0097573A" w:rsidP="00401FF9">
      <w:pPr>
        <w:pStyle w:val="Specification"/>
        <w:numPr>
          <w:ilvl w:val="1"/>
          <w:numId w:val="44"/>
        </w:numPr>
        <w:rPr>
          <w:rFonts w:asciiTheme="majorHAnsi" w:hAnsiTheme="majorHAnsi" w:cstheme="majorHAnsi"/>
          <w:sz w:val="22"/>
          <w:szCs w:val="22"/>
        </w:rPr>
      </w:pPr>
      <w:r w:rsidRPr="005D10D5">
        <w:rPr>
          <w:rFonts w:asciiTheme="majorHAnsi" w:hAnsiTheme="majorHAnsi" w:cstheme="majorHAnsi"/>
          <w:sz w:val="22"/>
          <w:szCs w:val="22"/>
        </w:rPr>
        <w:t>Accommodate all printing – session bound printing and LPD Listening (Local Printing Demon).</w:t>
      </w:r>
    </w:p>
    <w:p w14:paraId="371B7919" w14:textId="77777777" w:rsidR="0097573A" w:rsidRPr="005D10D5" w:rsidRDefault="0097573A" w:rsidP="00401FF9">
      <w:pPr>
        <w:pStyle w:val="Specification"/>
        <w:numPr>
          <w:ilvl w:val="1"/>
          <w:numId w:val="44"/>
        </w:numPr>
        <w:rPr>
          <w:rFonts w:asciiTheme="majorHAnsi" w:hAnsiTheme="majorHAnsi" w:cstheme="majorHAnsi"/>
          <w:sz w:val="22"/>
          <w:szCs w:val="22"/>
        </w:rPr>
      </w:pPr>
      <w:r w:rsidRPr="005D10D5">
        <w:rPr>
          <w:rFonts w:asciiTheme="majorHAnsi" w:hAnsiTheme="majorHAnsi" w:cstheme="majorHAnsi"/>
          <w:sz w:val="22"/>
          <w:szCs w:val="22"/>
        </w:rPr>
        <w:t>Remote Desktop</w:t>
      </w:r>
    </w:p>
    <w:p w14:paraId="34017CC3" w14:textId="77777777" w:rsidR="0097573A" w:rsidRPr="005D10D5" w:rsidRDefault="0097573A" w:rsidP="00401FF9">
      <w:pPr>
        <w:pStyle w:val="Specification"/>
        <w:numPr>
          <w:ilvl w:val="1"/>
          <w:numId w:val="44"/>
        </w:numPr>
        <w:rPr>
          <w:rFonts w:asciiTheme="majorHAnsi" w:hAnsiTheme="majorHAnsi" w:cstheme="majorHAnsi"/>
          <w:sz w:val="22"/>
          <w:szCs w:val="22"/>
        </w:rPr>
      </w:pPr>
      <w:r w:rsidRPr="005D10D5">
        <w:rPr>
          <w:rFonts w:asciiTheme="majorHAnsi" w:hAnsiTheme="majorHAnsi" w:cstheme="majorHAnsi"/>
          <w:sz w:val="22"/>
          <w:szCs w:val="22"/>
        </w:rPr>
        <w:t>Be able to work on all ports based on the Mainframe.</w:t>
      </w:r>
    </w:p>
    <w:p w14:paraId="381C2606" w14:textId="77777777" w:rsidR="0097573A" w:rsidRPr="005D10D5" w:rsidRDefault="0097573A" w:rsidP="00401FF9">
      <w:pPr>
        <w:pStyle w:val="Specification"/>
        <w:numPr>
          <w:ilvl w:val="1"/>
          <w:numId w:val="44"/>
        </w:numPr>
        <w:rPr>
          <w:rFonts w:asciiTheme="majorHAnsi" w:hAnsiTheme="majorHAnsi" w:cstheme="majorHAnsi"/>
          <w:sz w:val="22"/>
          <w:szCs w:val="22"/>
        </w:rPr>
      </w:pPr>
      <w:r w:rsidRPr="005D10D5">
        <w:rPr>
          <w:rFonts w:asciiTheme="majorHAnsi" w:hAnsiTheme="majorHAnsi" w:cstheme="majorHAnsi"/>
          <w:sz w:val="22"/>
          <w:szCs w:val="22"/>
        </w:rPr>
        <w:t>Printing must be automatic.</w:t>
      </w:r>
    </w:p>
    <w:p w14:paraId="2AEB7E36" w14:textId="77777777" w:rsidR="0097573A" w:rsidRPr="005D10D5" w:rsidRDefault="0097573A" w:rsidP="00401FF9">
      <w:pPr>
        <w:pStyle w:val="Specification"/>
        <w:numPr>
          <w:ilvl w:val="1"/>
          <w:numId w:val="44"/>
        </w:numPr>
        <w:rPr>
          <w:rFonts w:asciiTheme="majorHAnsi" w:hAnsiTheme="majorHAnsi" w:cstheme="majorHAnsi"/>
          <w:sz w:val="22"/>
          <w:szCs w:val="22"/>
        </w:rPr>
      </w:pPr>
      <w:r w:rsidRPr="005D10D5">
        <w:rPr>
          <w:rFonts w:asciiTheme="majorHAnsi" w:hAnsiTheme="majorHAnsi" w:cstheme="majorHAnsi"/>
          <w:sz w:val="22"/>
          <w:szCs w:val="22"/>
        </w:rPr>
        <w:t xml:space="preserve">Reporting tool (Database for licenses used and unused) monthly. </w:t>
      </w:r>
    </w:p>
    <w:p w14:paraId="2755A2C7" w14:textId="77777777" w:rsidR="0097573A" w:rsidRPr="005D10D5" w:rsidRDefault="0097573A" w:rsidP="00401FF9">
      <w:pPr>
        <w:pStyle w:val="ListParagraph"/>
        <w:numPr>
          <w:ilvl w:val="1"/>
          <w:numId w:val="44"/>
        </w:numPr>
        <w:spacing w:after="120" w:line="240" w:lineRule="auto"/>
        <w:jc w:val="left"/>
        <w:outlineLvl w:val="9"/>
        <w:rPr>
          <w:rFonts w:asciiTheme="majorHAnsi" w:hAnsiTheme="majorHAnsi" w:cstheme="majorHAnsi"/>
        </w:rPr>
      </w:pPr>
      <w:r w:rsidRPr="005D10D5">
        <w:rPr>
          <w:rFonts w:asciiTheme="majorHAnsi" w:hAnsiTheme="majorHAnsi" w:cstheme="majorHAnsi"/>
        </w:rPr>
        <w:t>Product must be compatible to PERSAL Biometrics solution.</w:t>
      </w:r>
    </w:p>
    <w:p w14:paraId="6DD21FE4" w14:textId="77777777" w:rsidR="00AF05FE" w:rsidRPr="00FB57B0" w:rsidRDefault="00AF05FE" w:rsidP="005D10D5">
      <w:pPr>
        <w:pStyle w:val="Heading2"/>
        <w:ind w:left="426" w:hanging="516"/>
        <w:rPr>
          <w:sz w:val="24"/>
          <w:szCs w:val="24"/>
        </w:rPr>
      </w:pPr>
      <w:bookmarkStart w:id="16" w:name="_Toc212791992"/>
      <w:r w:rsidRPr="00FB57B0">
        <w:rPr>
          <w:sz w:val="24"/>
          <w:szCs w:val="24"/>
        </w:rPr>
        <w:t>Service Elements</w:t>
      </w:r>
      <w:bookmarkEnd w:id="16"/>
    </w:p>
    <w:p w14:paraId="3370CE35" w14:textId="7E8A4DD5" w:rsidR="005A2E71" w:rsidRPr="005D10D5" w:rsidRDefault="005A2E71" w:rsidP="00401FF9">
      <w:pPr>
        <w:pStyle w:val="Specification"/>
        <w:numPr>
          <w:ilvl w:val="1"/>
          <w:numId w:val="45"/>
        </w:numPr>
        <w:ind w:left="851" w:hanging="425"/>
        <w:rPr>
          <w:rFonts w:asciiTheme="majorHAnsi" w:hAnsiTheme="majorHAnsi" w:cstheme="majorHAnsi"/>
          <w:sz w:val="22"/>
          <w:szCs w:val="22"/>
        </w:rPr>
      </w:pPr>
      <w:r w:rsidRPr="005D10D5">
        <w:rPr>
          <w:rFonts w:asciiTheme="majorHAnsi" w:hAnsiTheme="majorHAnsi" w:cstheme="majorHAnsi"/>
          <w:sz w:val="22"/>
          <w:szCs w:val="22"/>
        </w:rPr>
        <w:t xml:space="preserve">The Supplier is responsible to provide the following services as specified in the Service Breakdown Structure (SBS): </w:t>
      </w:r>
    </w:p>
    <w:p w14:paraId="09A3A392" w14:textId="362AB315" w:rsidR="005A2E71" w:rsidRPr="005D10D5" w:rsidRDefault="0005172C" w:rsidP="00401FF9">
      <w:pPr>
        <w:pStyle w:val="Specification"/>
        <w:numPr>
          <w:ilvl w:val="1"/>
          <w:numId w:val="45"/>
        </w:numPr>
        <w:ind w:left="851" w:hanging="425"/>
        <w:rPr>
          <w:rFonts w:asciiTheme="majorHAnsi" w:hAnsiTheme="majorHAnsi" w:cstheme="majorHAnsi"/>
          <w:sz w:val="22"/>
          <w:szCs w:val="22"/>
        </w:rPr>
      </w:pPr>
      <w:r w:rsidRPr="005D10D5">
        <w:rPr>
          <w:rFonts w:asciiTheme="majorHAnsi" w:hAnsiTheme="majorHAnsi" w:cstheme="majorHAnsi"/>
          <w:sz w:val="22"/>
          <w:szCs w:val="22"/>
        </w:rPr>
        <w:t>The successful</w:t>
      </w:r>
      <w:r w:rsidR="005A2E71" w:rsidRPr="005D10D5">
        <w:rPr>
          <w:rFonts w:asciiTheme="majorHAnsi" w:hAnsiTheme="majorHAnsi" w:cstheme="majorHAnsi"/>
          <w:sz w:val="22"/>
          <w:szCs w:val="22"/>
        </w:rPr>
        <w:t xml:space="preserve"> bidder must respond to any software licenses matters during office hours (7h15 till 16:00)</w:t>
      </w:r>
    </w:p>
    <w:p w14:paraId="65C6C31F" w14:textId="381A65C8" w:rsidR="005A2E71" w:rsidRPr="005D10D5" w:rsidRDefault="005A2E71" w:rsidP="00401FF9">
      <w:pPr>
        <w:pStyle w:val="Specification"/>
        <w:numPr>
          <w:ilvl w:val="1"/>
          <w:numId w:val="45"/>
        </w:numPr>
        <w:ind w:left="851" w:hanging="425"/>
        <w:rPr>
          <w:rFonts w:asciiTheme="majorHAnsi" w:hAnsiTheme="majorHAnsi" w:cstheme="majorHAnsi"/>
          <w:sz w:val="22"/>
          <w:szCs w:val="22"/>
        </w:rPr>
      </w:pPr>
      <w:r w:rsidRPr="005D10D5">
        <w:rPr>
          <w:rFonts w:asciiTheme="majorHAnsi" w:hAnsiTheme="majorHAnsi" w:cstheme="majorHAnsi"/>
          <w:sz w:val="22"/>
          <w:szCs w:val="22"/>
        </w:rPr>
        <w:t xml:space="preserve">Maintenance and support </w:t>
      </w:r>
      <w:proofErr w:type="gramStart"/>
      <w:r w:rsidRPr="005D10D5">
        <w:rPr>
          <w:rFonts w:asciiTheme="majorHAnsi" w:hAnsiTheme="majorHAnsi" w:cstheme="majorHAnsi"/>
          <w:sz w:val="22"/>
          <w:szCs w:val="22"/>
        </w:rPr>
        <w:t>is</w:t>
      </w:r>
      <w:proofErr w:type="gramEnd"/>
      <w:r w:rsidRPr="005D10D5">
        <w:rPr>
          <w:rFonts w:asciiTheme="majorHAnsi" w:hAnsiTheme="majorHAnsi" w:cstheme="majorHAnsi"/>
          <w:sz w:val="22"/>
          <w:szCs w:val="22"/>
        </w:rPr>
        <w:t xml:space="preserve"> required for a period of </w:t>
      </w:r>
      <w:r w:rsidR="0005172C" w:rsidRPr="005D10D5">
        <w:rPr>
          <w:rFonts w:asciiTheme="majorHAnsi" w:hAnsiTheme="majorHAnsi" w:cstheme="majorHAnsi"/>
          <w:sz w:val="22"/>
          <w:szCs w:val="22"/>
        </w:rPr>
        <w:t>five (5) years.</w:t>
      </w:r>
    </w:p>
    <w:p w14:paraId="1538671D" w14:textId="16C5EA27" w:rsidR="005A2E71" w:rsidRPr="005D10D5" w:rsidRDefault="005A2E71" w:rsidP="00401FF9">
      <w:pPr>
        <w:pStyle w:val="Specification"/>
        <w:numPr>
          <w:ilvl w:val="1"/>
          <w:numId w:val="45"/>
        </w:numPr>
        <w:ind w:left="851" w:hanging="425"/>
        <w:rPr>
          <w:rFonts w:asciiTheme="majorHAnsi" w:hAnsiTheme="majorHAnsi" w:cstheme="majorHAnsi"/>
          <w:sz w:val="22"/>
          <w:szCs w:val="22"/>
        </w:rPr>
      </w:pPr>
      <w:r w:rsidRPr="005D10D5">
        <w:rPr>
          <w:rFonts w:asciiTheme="majorHAnsi" w:hAnsiTheme="majorHAnsi" w:cstheme="majorHAnsi"/>
          <w:sz w:val="22"/>
          <w:szCs w:val="22"/>
        </w:rPr>
        <w:t>Support level = Mission critical mean time to resolve (</w:t>
      </w:r>
      <w:r w:rsidR="0005172C" w:rsidRPr="005D10D5">
        <w:rPr>
          <w:rFonts w:asciiTheme="majorHAnsi" w:hAnsiTheme="majorHAnsi" w:cstheme="majorHAnsi"/>
          <w:sz w:val="22"/>
          <w:szCs w:val="22"/>
        </w:rPr>
        <w:t>MTTR) (</w:t>
      </w:r>
      <w:r w:rsidRPr="005D10D5">
        <w:rPr>
          <w:rFonts w:asciiTheme="majorHAnsi" w:hAnsiTheme="majorHAnsi" w:cstheme="majorHAnsi"/>
          <w:sz w:val="22"/>
          <w:szCs w:val="22"/>
        </w:rPr>
        <w:t xml:space="preserve">defined as </w:t>
      </w:r>
      <w:r w:rsidR="0005172C" w:rsidRPr="005D10D5">
        <w:rPr>
          <w:rFonts w:asciiTheme="majorHAnsi" w:hAnsiTheme="majorHAnsi" w:cstheme="majorHAnsi"/>
          <w:sz w:val="22"/>
          <w:szCs w:val="22"/>
        </w:rPr>
        <w:t>4-hour</w:t>
      </w:r>
      <w:r w:rsidRPr="005D10D5">
        <w:rPr>
          <w:rFonts w:asciiTheme="majorHAnsi" w:hAnsiTheme="majorHAnsi" w:cstheme="majorHAnsi"/>
          <w:sz w:val="22"/>
          <w:szCs w:val="22"/>
        </w:rPr>
        <w:t xml:space="preserve"> time from call being logged to problem being resolved &amp; service restored), and mean time to respond (</w:t>
      </w:r>
      <w:r w:rsidR="0005172C" w:rsidRPr="005D10D5">
        <w:rPr>
          <w:rFonts w:asciiTheme="majorHAnsi" w:hAnsiTheme="majorHAnsi" w:cstheme="majorHAnsi"/>
          <w:sz w:val="22"/>
          <w:szCs w:val="22"/>
        </w:rPr>
        <w:t>MTTR</w:t>
      </w:r>
      <w:r w:rsidRPr="005D10D5">
        <w:rPr>
          <w:rFonts w:asciiTheme="majorHAnsi" w:hAnsiTheme="majorHAnsi" w:cstheme="majorHAnsi"/>
          <w:sz w:val="22"/>
          <w:szCs w:val="22"/>
        </w:rPr>
        <w:t xml:space="preserve">) support (defined as </w:t>
      </w:r>
      <w:r w:rsidR="00F0053E" w:rsidRPr="005D10D5">
        <w:rPr>
          <w:rFonts w:asciiTheme="majorHAnsi" w:hAnsiTheme="majorHAnsi" w:cstheme="majorHAnsi"/>
          <w:sz w:val="22"/>
          <w:szCs w:val="22"/>
        </w:rPr>
        <w:t>2-hour</w:t>
      </w:r>
      <w:r w:rsidRPr="005D10D5">
        <w:rPr>
          <w:rFonts w:asciiTheme="majorHAnsi" w:hAnsiTheme="majorHAnsi" w:cstheme="majorHAnsi"/>
          <w:sz w:val="22"/>
          <w:szCs w:val="22"/>
        </w:rPr>
        <w:t xml:space="preserve"> time to response from call being logged). </w:t>
      </w:r>
    </w:p>
    <w:p w14:paraId="2FD877C3" w14:textId="77777777" w:rsidR="005A2E71" w:rsidRPr="005D10D5" w:rsidRDefault="005A2E71" w:rsidP="00401FF9">
      <w:pPr>
        <w:pStyle w:val="Specification"/>
        <w:numPr>
          <w:ilvl w:val="1"/>
          <w:numId w:val="45"/>
        </w:numPr>
        <w:spacing w:before="120"/>
        <w:ind w:left="851" w:hanging="425"/>
        <w:rPr>
          <w:rFonts w:asciiTheme="majorHAnsi" w:hAnsiTheme="majorHAnsi" w:cstheme="majorHAnsi"/>
          <w:sz w:val="22"/>
          <w:szCs w:val="22"/>
        </w:rPr>
      </w:pPr>
      <w:r w:rsidRPr="005D10D5">
        <w:rPr>
          <w:rFonts w:asciiTheme="majorHAnsi" w:hAnsiTheme="majorHAnsi" w:cstheme="majorHAnsi"/>
          <w:sz w:val="22"/>
          <w:szCs w:val="22"/>
        </w:rPr>
        <w:t>Downtime can be arranged for after hours.</w:t>
      </w:r>
    </w:p>
    <w:p w14:paraId="311E5096" w14:textId="191FA1B1" w:rsidR="009A07C6" w:rsidRPr="00FB57B0" w:rsidRDefault="005D10D5" w:rsidP="005D10D5">
      <w:pPr>
        <w:pStyle w:val="Heading3"/>
        <w:ind w:left="851" w:hanging="671"/>
        <w:rPr>
          <w:color w:val="1F497D" w:themeColor="text2"/>
        </w:rPr>
      </w:pPr>
      <w:bookmarkStart w:id="17" w:name="_Toc212791993"/>
      <w:r w:rsidRPr="00FB57B0">
        <w:rPr>
          <w:color w:val="1F497D" w:themeColor="text2"/>
        </w:rPr>
        <w:t>Full-Service</w:t>
      </w:r>
      <w:r w:rsidR="009A07C6" w:rsidRPr="00FB57B0">
        <w:rPr>
          <w:color w:val="1F497D" w:themeColor="text2"/>
        </w:rPr>
        <w:t xml:space="preserve"> Agreement</w:t>
      </w:r>
      <w:bookmarkEnd w:id="17"/>
    </w:p>
    <w:p w14:paraId="19450A06" w14:textId="1935773D" w:rsidR="003429FC" w:rsidRDefault="005A2E71" w:rsidP="00401FF9">
      <w:pPr>
        <w:pStyle w:val="ListParagraph"/>
        <w:numPr>
          <w:ilvl w:val="0"/>
          <w:numId w:val="25"/>
        </w:numPr>
        <w:ind w:left="1276" w:hanging="425"/>
        <w:rPr>
          <w:rFonts w:cstheme="minorHAnsi"/>
        </w:rPr>
      </w:pPr>
      <w:r w:rsidRPr="005A2E71">
        <w:rPr>
          <w:rFonts w:cstheme="minorHAnsi"/>
        </w:rPr>
        <w:t xml:space="preserve">Maintenance and support </w:t>
      </w:r>
      <w:proofErr w:type="gramStart"/>
      <w:r w:rsidRPr="005A2E71">
        <w:rPr>
          <w:rFonts w:cstheme="minorHAnsi"/>
        </w:rPr>
        <w:t>is</w:t>
      </w:r>
      <w:proofErr w:type="gramEnd"/>
      <w:r w:rsidRPr="005A2E71">
        <w:rPr>
          <w:rFonts w:cstheme="minorHAnsi"/>
        </w:rPr>
        <w:t xml:space="preserve"> required for a period of </w:t>
      </w:r>
      <w:r w:rsidR="00D74416">
        <w:rPr>
          <w:rFonts w:cstheme="minorHAnsi"/>
        </w:rPr>
        <w:t>five (5) years</w:t>
      </w:r>
      <w:r w:rsidRPr="005A2E71">
        <w:rPr>
          <w:rFonts w:cstheme="minorHAnsi"/>
        </w:rPr>
        <w:t>.</w:t>
      </w:r>
    </w:p>
    <w:p w14:paraId="2F272731" w14:textId="77777777" w:rsidR="003429FC" w:rsidRDefault="005A2E71" w:rsidP="00401FF9">
      <w:pPr>
        <w:pStyle w:val="ListParagraph"/>
        <w:numPr>
          <w:ilvl w:val="0"/>
          <w:numId w:val="25"/>
        </w:numPr>
        <w:ind w:left="1276" w:hanging="425"/>
        <w:rPr>
          <w:rFonts w:cstheme="minorHAnsi"/>
        </w:rPr>
      </w:pPr>
      <w:r w:rsidRPr="003429FC">
        <w:rPr>
          <w:rFonts w:cstheme="minorHAnsi"/>
        </w:rPr>
        <w:t>Monthly and quarterly reporting</w:t>
      </w:r>
    </w:p>
    <w:p w14:paraId="43FF7FAB" w14:textId="76442407" w:rsidR="005A2E71" w:rsidRPr="003429FC" w:rsidRDefault="005A2E71" w:rsidP="00401FF9">
      <w:pPr>
        <w:pStyle w:val="ListParagraph"/>
        <w:numPr>
          <w:ilvl w:val="0"/>
          <w:numId w:val="25"/>
        </w:numPr>
        <w:ind w:left="1276" w:hanging="425"/>
        <w:rPr>
          <w:rFonts w:cstheme="minorHAnsi"/>
        </w:rPr>
      </w:pPr>
      <w:r w:rsidRPr="003429FC">
        <w:rPr>
          <w:rFonts w:cstheme="minorHAnsi"/>
        </w:rPr>
        <w:t>Quarterly SLA meeting</w:t>
      </w:r>
    </w:p>
    <w:p w14:paraId="58C0CA34" w14:textId="77777777" w:rsidR="001A4710" w:rsidRPr="00FB57B0" w:rsidRDefault="001A4710" w:rsidP="004D1F53">
      <w:pPr>
        <w:pStyle w:val="Heading2"/>
        <w:ind w:hanging="709"/>
        <w:rPr>
          <w:sz w:val="24"/>
          <w:szCs w:val="24"/>
        </w:rPr>
      </w:pPr>
      <w:bookmarkStart w:id="18" w:name="_Toc212791994"/>
      <w:r w:rsidRPr="00FB57B0">
        <w:rPr>
          <w:sz w:val="24"/>
          <w:szCs w:val="24"/>
        </w:rPr>
        <w:t>The Supplier is responsible to provide the following services as specified in the Service Breakdown Structure (SBS):</w:t>
      </w:r>
      <w:bookmarkEnd w:id="18"/>
      <w:r w:rsidRPr="00FB57B0">
        <w:rPr>
          <w:sz w:val="24"/>
          <w:szCs w:val="24"/>
        </w:rPr>
        <w:t xml:space="preserve"> </w:t>
      </w:r>
    </w:p>
    <w:tbl>
      <w:tblPr>
        <w:tblStyle w:val="TableGrid"/>
        <w:tblW w:w="4658" w:type="pct"/>
        <w:tblInd w:w="45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7"/>
        <w:gridCol w:w="3087"/>
        <w:gridCol w:w="1999"/>
        <w:gridCol w:w="3217"/>
      </w:tblGrid>
      <w:tr w:rsidR="001A4710" w:rsidRPr="00AD001C" w14:paraId="65886861" w14:textId="77777777" w:rsidTr="00A15286">
        <w:trPr>
          <w:tblHeader/>
        </w:trPr>
        <w:tc>
          <w:tcPr>
            <w:tcW w:w="377" w:type="pct"/>
            <w:shd w:val="clear" w:color="auto" w:fill="DBE5F1" w:themeFill="accent1" w:themeFillTint="33"/>
          </w:tcPr>
          <w:p w14:paraId="3DD1567A" w14:textId="77777777" w:rsidR="001A4710" w:rsidRPr="00AD001C" w:rsidRDefault="001A4710" w:rsidP="00A15286">
            <w:pPr>
              <w:rPr>
                <w:szCs w:val="24"/>
              </w:rPr>
            </w:pPr>
            <w:r w:rsidRPr="00AD001C">
              <w:rPr>
                <w:szCs w:val="24"/>
              </w:rPr>
              <w:t>SBS</w:t>
            </w:r>
          </w:p>
        </w:tc>
        <w:tc>
          <w:tcPr>
            <w:tcW w:w="1719" w:type="pct"/>
            <w:shd w:val="clear" w:color="auto" w:fill="DBE5F1" w:themeFill="accent1" w:themeFillTint="33"/>
          </w:tcPr>
          <w:p w14:paraId="22EF49FC" w14:textId="77777777" w:rsidR="001A4710" w:rsidRPr="00AD001C" w:rsidRDefault="001A4710" w:rsidP="00A15286">
            <w:pPr>
              <w:rPr>
                <w:szCs w:val="24"/>
              </w:rPr>
            </w:pPr>
            <w:r w:rsidRPr="00AD001C">
              <w:rPr>
                <w:szCs w:val="24"/>
              </w:rPr>
              <w:t>Service Element</w:t>
            </w:r>
          </w:p>
        </w:tc>
        <w:tc>
          <w:tcPr>
            <w:tcW w:w="1113" w:type="pct"/>
            <w:shd w:val="clear" w:color="auto" w:fill="DBE5F1" w:themeFill="accent1" w:themeFillTint="33"/>
          </w:tcPr>
          <w:p w14:paraId="50F5FCD9" w14:textId="77777777" w:rsidR="001A4710" w:rsidRPr="00AD001C" w:rsidRDefault="001A4710" w:rsidP="00A15286">
            <w:pPr>
              <w:rPr>
                <w:szCs w:val="24"/>
              </w:rPr>
            </w:pPr>
            <w:r w:rsidRPr="00AD001C">
              <w:rPr>
                <w:szCs w:val="24"/>
              </w:rPr>
              <w:t>Service Grade</w:t>
            </w:r>
          </w:p>
        </w:tc>
        <w:tc>
          <w:tcPr>
            <w:tcW w:w="1791" w:type="pct"/>
            <w:shd w:val="clear" w:color="auto" w:fill="DBE5F1" w:themeFill="accent1" w:themeFillTint="33"/>
          </w:tcPr>
          <w:p w14:paraId="07F1E26F" w14:textId="77777777" w:rsidR="001A4710" w:rsidRPr="00AD001C" w:rsidRDefault="001A4710" w:rsidP="00A15286">
            <w:pPr>
              <w:rPr>
                <w:szCs w:val="24"/>
              </w:rPr>
            </w:pPr>
            <w:r w:rsidRPr="00AD001C">
              <w:rPr>
                <w:szCs w:val="24"/>
              </w:rPr>
              <w:t>Service Level</w:t>
            </w:r>
          </w:p>
        </w:tc>
      </w:tr>
      <w:tr w:rsidR="001A4710" w:rsidRPr="00AD001C" w14:paraId="1990220E" w14:textId="77777777" w:rsidTr="00A15286">
        <w:tc>
          <w:tcPr>
            <w:tcW w:w="377" w:type="pct"/>
          </w:tcPr>
          <w:p w14:paraId="3D1949F3" w14:textId="77777777" w:rsidR="001A4710" w:rsidRPr="00AD001C" w:rsidRDefault="001A4710" w:rsidP="00A15286">
            <w:pPr>
              <w:pStyle w:val="ListParagraph"/>
              <w:tabs>
                <w:tab w:val="num" w:pos="786"/>
              </w:tabs>
              <w:spacing w:after="120"/>
              <w:ind w:left="284" w:hanging="284"/>
              <w:jc w:val="left"/>
              <w:outlineLvl w:val="9"/>
            </w:pPr>
          </w:p>
        </w:tc>
        <w:tc>
          <w:tcPr>
            <w:tcW w:w="1719" w:type="pct"/>
          </w:tcPr>
          <w:p w14:paraId="0E36BAA9" w14:textId="77777777" w:rsidR="001A4710" w:rsidRPr="00AD001C" w:rsidRDefault="001A4710" w:rsidP="00A15286">
            <w:pPr>
              <w:rPr>
                <w:szCs w:val="24"/>
              </w:rPr>
            </w:pPr>
            <w:r w:rsidRPr="00AD001C">
              <w:rPr>
                <w:szCs w:val="24"/>
              </w:rPr>
              <w:t>Call Centre</w:t>
            </w:r>
          </w:p>
        </w:tc>
        <w:tc>
          <w:tcPr>
            <w:tcW w:w="1113" w:type="pct"/>
          </w:tcPr>
          <w:p w14:paraId="64A38E87" w14:textId="77777777" w:rsidR="001A4710" w:rsidRPr="00AD001C" w:rsidRDefault="001A4710" w:rsidP="00A15286">
            <w:pPr>
              <w:rPr>
                <w:szCs w:val="24"/>
              </w:rPr>
            </w:pPr>
            <w:r w:rsidRPr="00AD001C">
              <w:rPr>
                <w:szCs w:val="24"/>
              </w:rPr>
              <w:t>Normal</w:t>
            </w:r>
          </w:p>
        </w:tc>
        <w:tc>
          <w:tcPr>
            <w:tcW w:w="1791" w:type="pct"/>
          </w:tcPr>
          <w:p w14:paraId="719FC687" w14:textId="77777777" w:rsidR="001A4710" w:rsidRPr="00AD001C" w:rsidRDefault="001A4710" w:rsidP="00A15286">
            <w:pPr>
              <w:rPr>
                <w:szCs w:val="24"/>
              </w:rPr>
            </w:pPr>
            <w:r w:rsidRPr="00AD001C">
              <w:rPr>
                <w:szCs w:val="24"/>
              </w:rPr>
              <w:t>8h x 5d, 07:15 – 16:00</w:t>
            </w:r>
          </w:p>
        </w:tc>
      </w:tr>
      <w:tr w:rsidR="001A4710" w:rsidRPr="00AD001C" w14:paraId="4E39088D" w14:textId="77777777" w:rsidTr="00A15286">
        <w:tc>
          <w:tcPr>
            <w:tcW w:w="377" w:type="pct"/>
          </w:tcPr>
          <w:p w14:paraId="4977340C" w14:textId="77777777" w:rsidR="001A4710" w:rsidRPr="00AD001C" w:rsidRDefault="001A4710" w:rsidP="00A15286">
            <w:pPr>
              <w:pStyle w:val="ListParagraph"/>
              <w:tabs>
                <w:tab w:val="num" w:pos="786"/>
              </w:tabs>
              <w:spacing w:after="120"/>
              <w:ind w:left="284" w:hanging="284"/>
              <w:jc w:val="left"/>
              <w:outlineLvl w:val="9"/>
            </w:pPr>
          </w:p>
        </w:tc>
        <w:tc>
          <w:tcPr>
            <w:tcW w:w="1719" w:type="pct"/>
          </w:tcPr>
          <w:p w14:paraId="7D149CB4" w14:textId="77777777" w:rsidR="001A4710" w:rsidRPr="00AD001C" w:rsidRDefault="001A4710" w:rsidP="00A15286">
            <w:pPr>
              <w:rPr>
                <w:szCs w:val="24"/>
              </w:rPr>
            </w:pPr>
            <w:r w:rsidRPr="00AD001C">
              <w:rPr>
                <w:szCs w:val="24"/>
              </w:rPr>
              <w:t>Incident Response</w:t>
            </w:r>
          </w:p>
        </w:tc>
        <w:tc>
          <w:tcPr>
            <w:tcW w:w="1113" w:type="pct"/>
          </w:tcPr>
          <w:p w14:paraId="1ACC9842" w14:textId="77777777" w:rsidR="001A4710" w:rsidRPr="00AD001C" w:rsidRDefault="001A4710" w:rsidP="00A15286">
            <w:pPr>
              <w:rPr>
                <w:szCs w:val="24"/>
              </w:rPr>
            </w:pPr>
            <w:r w:rsidRPr="00AD001C">
              <w:rPr>
                <w:szCs w:val="24"/>
              </w:rPr>
              <w:t>Normal</w:t>
            </w:r>
          </w:p>
        </w:tc>
        <w:tc>
          <w:tcPr>
            <w:tcW w:w="1791" w:type="pct"/>
          </w:tcPr>
          <w:p w14:paraId="35F9E0FD" w14:textId="4BF068A0" w:rsidR="001A4710" w:rsidRPr="00B05E7F" w:rsidRDefault="001A4710" w:rsidP="00A15286">
            <w:pPr>
              <w:rPr>
                <w:color w:val="EE0000"/>
                <w:szCs w:val="24"/>
              </w:rPr>
            </w:pPr>
            <w:r w:rsidRPr="00B05E7F">
              <w:rPr>
                <w:color w:val="EE0000"/>
                <w:szCs w:val="24"/>
              </w:rPr>
              <w:t xml:space="preserve">Maximum </w:t>
            </w:r>
            <w:r w:rsidR="00B05E7F" w:rsidRPr="00B05E7F">
              <w:rPr>
                <w:color w:val="EE0000"/>
                <w:szCs w:val="24"/>
              </w:rPr>
              <w:t>8</w:t>
            </w:r>
            <w:r w:rsidRPr="00B05E7F">
              <w:rPr>
                <w:color w:val="EE0000"/>
                <w:szCs w:val="24"/>
              </w:rPr>
              <w:t xml:space="preserve"> hours </w:t>
            </w:r>
          </w:p>
        </w:tc>
      </w:tr>
      <w:tr w:rsidR="001A4710" w:rsidRPr="00AD001C" w14:paraId="7E91E25D" w14:textId="77777777" w:rsidTr="00A15286">
        <w:tc>
          <w:tcPr>
            <w:tcW w:w="377" w:type="pct"/>
          </w:tcPr>
          <w:p w14:paraId="7D09DD5D" w14:textId="77777777" w:rsidR="001A4710" w:rsidRPr="00AD001C" w:rsidRDefault="001A4710" w:rsidP="00A15286">
            <w:pPr>
              <w:pStyle w:val="ListParagraph"/>
              <w:tabs>
                <w:tab w:val="num" w:pos="786"/>
              </w:tabs>
              <w:spacing w:after="120"/>
              <w:ind w:left="284" w:hanging="284"/>
              <w:jc w:val="left"/>
              <w:outlineLvl w:val="9"/>
            </w:pPr>
          </w:p>
        </w:tc>
        <w:tc>
          <w:tcPr>
            <w:tcW w:w="1719" w:type="pct"/>
          </w:tcPr>
          <w:p w14:paraId="7E7E384F" w14:textId="77777777" w:rsidR="001A4710" w:rsidRPr="00AD001C" w:rsidRDefault="001A4710" w:rsidP="00A15286">
            <w:pPr>
              <w:rPr>
                <w:szCs w:val="24"/>
              </w:rPr>
            </w:pPr>
            <w:r w:rsidRPr="00AD001C">
              <w:rPr>
                <w:szCs w:val="24"/>
              </w:rPr>
              <w:t>Incident Restore</w:t>
            </w:r>
          </w:p>
        </w:tc>
        <w:tc>
          <w:tcPr>
            <w:tcW w:w="1113" w:type="pct"/>
          </w:tcPr>
          <w:p w14:paraId="4B4334E5" w14:textId="77777777" w:rsidR="001A4710" w:rsidRPr="00AD001C" w:rsidRDefault="001A4710" w:rsidP="00A15286">
            <w:pPr>
              <w:rPr>
                <w:szCs w:val="24"/>
              </w:rPr>
            </w:pPr>
            <w:r w:rsidRPr="00AD001C">
              <w:rPr>
                <w:szCs w:val="24"/>
              </w:rPr>
              <w:t>Normal</w:t>
            </w:r>
          </w:p>
        </w:tc>
        <w:tc>
          <w:tcPr>
            <w:tcW w:w="1791" w:type="pct"/>
          </w:tcPr>
          <w:p w14:paraId="6C511B51" w14:textId="695C125D" w:rsidR="001A4710" w:rsidRPr="00B05E7F" w:rsidRDefault="001A4710" w:rsidP="00A15286">
            <w:pPr>
              <w:rPr>
                <w:color w:val="EE0000"/>
                <w:szCs w:val="24"/>
              </w:rPr>
            </w:pPr>
            <w:r w:rsidRPr="00B05E7F">
              <w:rPr>
                <w:color w:val="EE0000"/>
                <w:szCs w:val="24"/>
              </w:rPr>
              <w:t xml:space="preserve">Maximum </w:t>
            </w:r>
            <w:r w:rsidR="00B05E7F" w:rsidRPr="00B05E7F">
              <w:rPr>
                <w:color w:val="EE0000"/>
                <w:szCs w:val="24"/>
              </w:rPr>
              <w:t>48</w:t>
            </w:r>
            <w:r w:rsidRPr="00B05E7F">
              <w:rPr>
                <w:color w:val="EE0000"/>
                <w:szCs w:val="24"/>
              </w:rPr>
              <w:t xml:space="preserve"> hours</w:t>
            </w:r>
          </w:p>
        </w:tc>
      </w:tr>
    </w:tbl>
    <w:p w14:paraId="0CBAE5C9" w14:textId="77777777" w:rsidR="001A4710" w:rsidRDefault="001A4710" w:rsidP="001A4710">
      <w:pPr>
        <w:pStyle w:val="Specification"/>
      </w:pPr>
    </w:p>
    <w:p w14:paraId="072F8824" w14:textId="77777777" w:rsidR="00FB57B0" w:rsidRDefault="00FB57B0" w:rsidP="001A4710">
      <w:pPr>
        <w:pStyle w:val="Specification"/>
      </w:pPr>
    </w:p>
    <w:p w14:paraId="519D34AD" w14:textId="77777777" w:rsidR="00FB57B0" w:rsidRDefault="00FB57B0" w:rsidP="001A4710">
      <w:pPr>
        <w:pStyle w:val="Specification"/>
      </w:pPr>
    </w:p>
    <w:p w14:paraId="47FA7F1D" w14:textId="77777777" w:rsidR="00FB57B0" w:rsidRDefault="00FB57B0" w:rsidP="001A4710">
      <w:pPr>
        <w:pStyle w:val="Specification"/>
      </w:pPr>
    </w:p>
    <w:p w14:paraId="21D3D31E" w14:textId="77777777" w:rsidR="00FB57B0" w:rsidRDefault="00FB57B0" w:rsidP="001A4710">
      <w:pPr>
        <w:pStyle w:val="Specification"/>
      </w:pPr>
    </w:p>
    <w:p w14:paraId="39D1A7FA" w14:textId="77777777" w:rsidR="00FB57B0" w:rsidRDefault="00FB57B0" w:rsidP="001A4710">
      <w:pPr>
        <w:pStyle w:val="Specification"/>
      </w:pPr>
    </w:p>
    <w:p w14:paraId="2801E7D4" w14:textId="546BC8A5" w:rsidR="001A4710" w:rsidRPr="00FB57B0" w:rsidRDefault="0005172C" w:rsidP="001A4710">
      <w:pPr>
        <w:pStyle w:val="Heading2"/>
        <w:rPr>
          <w:sz w:val="24"/>
          <w:szCs w:val="24"/>
        </w:rPr>
      </w:pPr>
      <w:bookmarkStart w:id="19" w:name="_Toc212791995"/>
      <w:r w:rsidRPr="00FB57B0">
        <w:rPr>
          <w:sz w:val="24"/>
          <w:szCs w:val="24"/>
        </w:rPr>
        <w:lastRenderedPageBreak/>
        <w:t>The successful</w:t>
      </w:r>
      <w:r w:rsidR="001A4710" w:rsidRPr="00FB57B0">
        <w:rPr>
          <w:sz w:val="24"/>
          <w:szCs w:val="24"/>
        </w:rPr>
        <w:t xml:space="preserve"> bidder must respond to any software licenses matters during office hours (7h15 till 16:00)</w:t>
      </w:r>
      <w:bookmarkEnd w:id="19"/>
    </w:p>
    <w:p w14:paraId="5A16CBEE" w14:textId="264525B4" w:rsidR="001A4710" w:rsidRPr="00401FF9" w:rsidRDefault="009A07C6" w:rsidP="00293093">
      <w:pPr>
        <w:pStyle w:val="Heading3"/>
        <w:tabs>
          <w:tab w:val="left" w:pos="630"/>
        </w:tabs>
        <w:ind w:left="720" w:hanging="720"/>
        <w:rPr>
          <w:sz w:val="28"/>
          <w:szCs w:val="28"/>
        </w:rPr>
      </w:pPr>
      <w:bookmarkStart w:id="20" w:name="_Toc212791996"/>
      <w:r w:rsidRPr="00401FF9">
        <w:rPr>
          <w:sz w:val="28"/>
          <w:szCs w:val="28"/>
        </w:rPr>
        <w:t xml:space="preserve">Response time </w:t>
      </w:r>
      <w:bookmarkEnd w:id="20"/>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214"/>
        <w:gridCol w:w="4854"/>
        <w:gridCol w:w="1664"/>
        <w:gridCol w:w="1907"/>
      </w:tblGrid>
      <w:tr w:rsidR="00532BF3" w:rsidRPr="007533C6" w14:paraId="3800290A" w14:textId="77777777" w:rsidTr="00A15286">
        <w:trPr>
          <w:tblHeader/>
        </w:trPr>
        <w:tc>
          <w:tcPr>
            <w:tcW w:w="630" w:type="pct"/>
            <w:shd w:val="clear" w:color="auto" w:fill="DBE5F1"/>
          </w:tcPr>
          <w:p w14:paraId="6ACA9A92" w14:textId="77777777" w:rsidR="00532BF3" w:rsidRPr="007533C6" w:rsidRDefault="00532BF3" w:rsidP="00A15286">
            <w:pPr>
              <w:rPr>
                <w:b/>
                <w:szCs w:val="24"/>
              </w:rPr>
            </w:pPr>
            <w:r w:rsidRPr="007533C6">
              <w:rPr>
                <w:b/>
                <w:szCs w:val="24"/>
              </w:rPr>
              <w:t>S</w:t>
            </w:r>
            <w:r>
              <w:rPr>
                <w:b/>
                <w:szCs w:val="24"/>
              </w:rPr>
              <w:t>everity Levels</w:t>
            </w:r>
          </w:p>
        </w:tc>
        <w:tc>
          <w:tcPr>
            <w:tcW w:w="2518" w:type="pct"/>
            <w:shd w:val="clear" w:color="auto" w:fill="DBE5F1"/>
          </w:tcPr>
          <w:p w14:paraId="7998C2C1" w14:textId="77777777" w:rsidR="00532BF3" w:rsidRPr="007533C6" w:rsidRDefault="00532BF3" w:rsidP="00A15286">
            <w:pPr>
              <w:rPr>
                <w:b/>
                <w:szCs w:val="24"/>
              </w:rPr>
            </w:pPr>
            <w:r>
              <w:rPr>
                <w:b/>
                <w:szCs w:val="24"/>
              </w:rPr>
              <w:t>Description</w:t>
            </w:r>
          </w:p>
        </w:tc>
        <w:tc>
          <w:tcPr>
            <w:tcW w:w="863" w:type="pct"/>
            <w:shd w:val="clear" w:color="auto" w:fill="DBE5F1"/>
          </w:tcPr>
          <w:p w14:paraId="74745FB8" w14:textId="77777777" w:rsidR="00532BF3" w:rsidRPr="007533C6" w:rsidRDefault="00532BF3" w:rsidP="00A15286">
            <w:pPr>
              <w:rPr>
                <w:b/>
                <w:szCs w:val="24"/>
              </w:rPr>
            </w:pPr>
            <w:r>
              <w:rPr>
                <w:b/>
                <w:szCs w:val="24"/>
              </w:rPr>
              <w:t>Initial Response Time</w:t>
            </w:r>
          </w:p>
        </w:tc>
        <w:tc>
          <w:tcPr>
            <w:tcW w:w="989" w:type="pct"/>
            <w:shd w:val="clear" w:color="auto" w:fill="DBE5F1"/>
          </w:tcPr>
          <w:p w14:paraId="2F890E8E" w14:textId="77777777" w:rsidR="00532BF3" w:rsidRPr="007533C6" w:rsidRDefault="00532BF3" w:rsidP="00A15286">
            <w:pPr>
              <w:rPr>
                <w:b/>
                <w:szCs w:val="24"/>
              </w:rPr>
            </w:pPr>
            <w:r>
              <w:rPr>
                <w:b/>
                <w:szCs w:val="24"/>
              </w:rPr>
              <w:t>Resolution Time (Target)</w:t>
            </w:r>
          </w:p>
        </w:tc>
      </w:tr>
      <w:tr w:rsidR="00532BF3" w:rsidRPr="007533C6" w14:paraId="58ED8CC5" w14:textId="77777777" w:rsidTr="00A15286">
        <w:tc>
          <w:tcPr>
            <w:tcW w:w="630" w:type="pct"/>
          </w:tcPr>
          <w:p w14:paraId="79333B19" w14:textId="44C02B28" w:rsidR="00532BF3" w:rsidRPr="005D1D67" w:rsidRDefault="00532BF3" w:rsidP="00A15286">
            <w:r w:rsidRPr="005D1D67">
              <w:t xml:space="preserve">Critical </w:t>
            </w:r>
          </w:p>
        </w:tc>
        <w:tc>
          <w:tcPr>
            <w:tcW w:w="2518" w:type="pct"/>
          </w:tcPr>
          <w:p w14:paraId="3D6F1F73" w14:textId="77777777" w:rsidR="00532BF3" w:rsidRPr="005D1D67" w:rsidRDefault="00532BF3" w:rsidP="00A15286">
            <w:pPr>
              <w:jc w:val="left"/>
            </w:pPr>
            <w:r w:rsidRPr="005D1D67">
              <w:t>Widespread outage, malware outbreak, or security breach impacting core systems.</w:t>
            </w:r>
          </w:p>
        </w:tc>
        <w:tc>
          <w:tcPr>
            <w:tcW w:w="863" w:type="pct"/>
          </w:tcPr>
          <w:p w14:paraId="6B1651DF" w14:textId="77777777" w:rsidR="00532BF3" w:rsidRPr="005D1D67" w:rsidRDefault="00532BF3" w:rsidP="00A15286">
            <w:pPr>
              <w:jc w:val="left"/>
            </w:pPr>
            <w:r w:rsidRPr="005D1D67">
              <w:t>Within 1 hour</w:t>
            </w:r>
          </w:p>
        </w:tc>
        <w:tc>
          <w:tcPr>
            <w:tcW w:w="989" w:type="pct"/>
          </w:tcPr>
          <w:p w14:paraId="524FC2B5" w14:textId="77777777" w:rsidR="00532BF3" w:rsidRPr="005D1D67" w:rsidRDefault="00532BF3" w:rsidP="00A15286">
            <w:pPr>
              <w:jc w:val="left"/>
            </w:pPr>
            <w:r w:rsidRPr="005D1D67">
              <w:t>Within 4–6 hours</w:t>
            </w:r>
          </w:p>
        </w:tc>
      </w:tr>
      <w:tr w:rsidR="00532BF3" w:rsidRPr="007533C6" w14:paraId="419B694A" w14:textId="77777777" w:rsidTr="00A15286">
        <w:tc>
          <w:tcPr>
            <w:tcW w:w="630" w:type="pct"/>
          </w:tcPr>
          <w:p w14:paraId="2C3E3470" w14:textId="2E6A74C0" w:rsidR="00532BF3" w:rsidRPr="005D1D67" w:rsidRDefault="00532BF3" w:rsidP="00A15286">
            <w:r w:rsidRPr="005D1D67">
              <w:t xml:space="preserve">High </w:t>
            </w:r>
          </w:p>
        </w:tc>
        <w:tc>
          <w:tcPr>
            <w:tcW w:w="2518" w:type="pct"/>
          </w:tcPr>
          <w:p w14:paraId="696E827A" w14:textId="7A9517D4" w:rsidR="00532BF3" w:rsidRPr="005D1D67" w:rsidRDefault="00532BF3" w:rsidP="00A15286">
            <w:pPr>
              <w:jc w:val="left"/>
            </w:pPr>
            <w:r w:rsidRPr="005D1D67">
              <w:t>Major service degradation affecting multiple users.</w:t>
            </w:r>
          </w:p>
        </w:tc>
        <w:tc>
          <w:tcPr>
            <w:tcW w:w="863" w:type="pct"/>
          </w:tcPr>
          <w:p w14:paraId="4F9081B3" w14:textId="77777777" w:rsidR="00532BF3" w:rsidRPr="005D1D67" w:rsidRDefault="00532BF3" w:rsidP="00A15286">
            <w:pPr>
              <w:jc w:val="left"/>
            </w:pPr>
            <w:r w:rsidRPr="005D1D67">
              <w:t>Within 2 hours</w:t>
            </w:r>
          </w:p>
        </w:tc>
        <w:tc>
          <w:tcPr>
            <w:tcW w:w="989" w:type="pct"/>
          </w:tcPr>
          <w:p w14:paraId="75CC81C5" w14:textId="77777777" w:rsidR="00532BF3" w:rsidRPr="005D1D67" w:rsidRDefault="00532BF3" w:rsidP="00A15286">
            <w:pPr>
              <w:jc w:val="left"/>
            </w:pPr>
            <w:r w:rsidRPr="005D1D67">
              <w:t>Within 8–12 hours</w:t>
            </w:r>
          </w:p>
        </w:tc>
      </w:tr>
      <w:tr w:rsidR="00532BF3" w:rsidRPr="007533C6" w14:paraId="0919F548" w14:textId="77777777" w:rsidTr="00A15286">
        <w:tc>
          <w:tcPr>
            <w:tcW w:w="630" w:type="pct"/>
          </w:tcPr>
          <w:p w14:paraId="02230624" w14:textId="450DC430" w:rsidR="00532BF3" w:rsidRPr="005D1D67" w:rsidRDefault="00532BF3" w:rsidP="00A15286">
            <w:r w:rsidRPr="005D1D67">
              <w:t xml:space="preserve">Medium </w:t>
            </w:r>
          </w:p>
        </w:tc>
        <w:tc>
          <w:tcPr>
            <w:tcW w:w="2518" w:type="pct"/>
          </w:tcPr>
          <w:p w14:paraId="14AF46C8" w14:textId="77777777" w:rsidR="00532BF3" w:rsidRPr="005D1D67" w:rsidRDefault="00532BF3" w:rsidP="00A15286">
            <w:pPr>
              <w:jc w:val="left"/>
            </w:pPr>
            <w:r w:rsidRPr="005D1D67">
              <w:t>Issue affecting individual users or limited functionality.</w:t>
            </w:r>
          </w:p>
        </w:tc>
        <w:tc>
          <w:tcPr>
            <w:tcW w:w="863" w:type="pct"/>
          </w:tcPr>
          <w:p w14:paraId="233B26E0" w14:textId="77777777" w:rsidR="00532BF3" w:rsidRPr="005D1D67" w:rsidRDefault="00532BF3" w:rsidP="00A15286">
            <w:pPr>
              <w:jc w:val="left"/>
            </w:pPr>
            <w:r w:rsidRPr="005D1D67">
              <w:t>Within 4 hours</w:t>
            </w:r>
          </w:p>
        </w:tc>
        <w:tc>
          <w:tcPr>
            <w:tcW w:w="989" w:type="pct"/>
          </w:tcPr>
          <w:p w14:paraId="2F4F1D0B" w14:textId="77777777" w:rsidR="00532BF3" w:rsidRPr="005D1D67" w:rsidRDefault="00532BF3" w:rsidP="00A15286">
            <w:pPr>
              <w:jc w:val="left"/>
            </w:pPr>
            <w:r w:rsidRPr="005D1D67">
              <w:t>Within 24–48 hours</w:t>
            </w:r>
          </w:p>
        </w:tc>
      </w:tr>
      <w:tr w:rsidR="00532BF3" w:rsidRPr="007533C6" w14:paraId="7025148A" w14:textId="77777777" w:rsidTr="00A15286">
        <w:tc>
          <w:tcPr>
            <w:tcW w:w="630" w:type="pct"/>
          </w:tcPr>
          <w:p w14:paraId="43E38D2B" w14:textId="3C2C487E" w:rsidR="00532BF3" w:rsidRPr="005D1D67" w:rsidRDefault="00532BF3" w:rsidP="00A15286">
            <w:r w:rsidRPr="005D1D67">
              <w:t xml:space="preserve">Low </w:t>
            </w:r>
          </w:p>
        </w:tc>
        <w:tc>
          <w:tcPr>
            <w:tcW w:w="2518" w:type="pct"/>
          </w:tcPr>
          <w:p w14:paraId="0BAB8570" w14:textId="77777777" w:rsidR="00532BF3" w:rsidRPr="005D1D67" w:rsidRDefault="00532BF3" w:rsidP="00A15286">
            <w:pPr>
              <w:jc w:val="left"/>
            </w:pPr>
            <w:r w:rsidRPr="005D1D67">
              <w:t>General queries, minor bugs, or service requests.</w:t>
            </w:r>
          </w:p>
        </w:tc>
        <w:tc>
          <w:tcPr>
            <w:tcW w:w="863" w:type="pct"/>
          </w:tcPr>
          <w:p w14:paraId="4E2AD2DB" w14:textId="77777777" w:rsidR="00532BF3" w:rsidRPr="005D1D67" w:rsidRDefault="00532BF3" w:rsidP="00A15286">
            <w:pPr>
              <w:jc w:val="left"/>
            </w:pPr>
            <w:r w:rsidRPr="005D1D67">
              <w:t>Within 1 business day</w:t>
            </w:r>
          </w:p>
        </w:tc>
        <w:tc>
          <w:tcPr>
            <w:tcW w:w="989" w:type="pct"/>
          </w:tcPr>
          <w:p w14:paraId="5BE80C19" w14:textId="77777777" w:rsidR="00532BF3" w:rsidRDefault="00532BF3" w:rsidP="00A15286">
            <w:pPr>
              <w:jc w:val="left"/>
            </w:pPr>
            <w:r w:rsidRPr="005D1D67">
              <w:t>Within 3–5 business days</w:t>
            </w:r>
          </w:p>
        </w:tc>
      </w:tr>
    </w:tbl>
    <w:p w14:paraId="2E2D8066" w14:textId="77777777" w:rsidR="008273F3" w:rsidRPr="00E86CB4" w:rsidRDefault="008273F3" w:rsidP="000560FC">
      <w:pPr>
        <w:rPr>
          <w:color w:val="EE0000"/>
        </w:rPr>
      </w:pPr>
    </w:p>
    <w:p w14:paraId="03500ABB" w14:textId="77777777" w:rsidR="009A07C6" w:rsidRPr="00FB57B0" w:rsidRDefault="00CE4A9B" w:rsidP="00CE4A9B">
      <w:pPr>
        <w:pStyle w:val="Heading1"/>
        <w:rPr>
          <w:sz w:val="24"/>
          <w:szCs w:val="24"/>
        </w:rPr>
      </w:pPr>
      <w:bookmarkStart w:id="21" w:name="_Toc212791997"/>
      <w:r w:rsidRPr="00FB57B0">
        <w:rPr>
          <w:sz w:val="24"/>
          <w:szCs w:val="24"/>
        </w:rPr>
        <w:t>Bid Evaluation Stages</w:t>
      </w:r>
      <w:bookmarkEnd w:id="21"/>
    </w:p>
    <w:p w14:paraId="30B85890" w14:textId="77777777" w:rsidR="00CE4A9B" w:rsidRPr="00727416" w:rsidRDefault="00CE4A9B" w:rsidP="00CE4A9B">
      <w:pPr>
        <w:rPr>
          <w:rFonts w:cs="Calibri"/>
        </w:rPr>
      </w:pPr>
      <w:r w:rsidRPr="00727416">
        <w:rPr>
          <w:rFonts w:cs="Calibri"/>
        </w:rPr>
        <w:t>The bid evaluation process consists of four stages, according to the nature of the bid. A bidder must qualify for each stage to be eligible to proceed to the next stage of the evaluation. The stages are:</w:t>
      </w:r>
    </w:p>
    <w:p w14:paraId="2B2A61BC" w14:textId="38249832" w:rsidR="00CE4A9B" w:rsidRPr="00727416" w:rsidRDefault="00CE4A9B" w:rsidP="00CE4A9B">
      <w:pPr>
        <w:pStyle w:val="Caption"/>
        <w:rPr>
          <w:rFonts w:cs="Calibri"/>
        </w:rPr>
      </w:pPr>
      <w:bookmarkStart w:id="22" w:name="_Toc204770311"/>
      <w:r w:rsidRPr="00727416">
        <w:t xml:space="preserve">Table </w:t>
      </w:r>
      <w:r w:rsidRPr="00727416">
        <w:fldChar w:fldCharType="begin"/>
      </w:r>
      <w:r w:rsidRPr="00727416">
        <w:instrText xml:space="preserve"> SEQ Table \* ARABIC </w:instrText>
      </w:r>
      <w:r w:rsidRPr="00727416">
        <w:fldChar w:fldCharType="separate"/>
      </w:r>
      <w:r w:rsidR="00D16157">
        <w:rPr>
          <w:noProof/>
        </w:rPr>
        <w:t>1</w:t>
      </w:r>
      <w:r w:rsidRPr="00727416">
        <w:fldChar w:fldCharType="end"/>
      </w:r>
      <w:r w:rsidRPr="00727416">
        <w:t>: Bid Evaluation Stages</w:t>
      </w:r>
      <w:bookmarkEnd w:id="2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A62B8F" w:rsidRPr="00727416" w14:paraId="5ADDF104" w14:textId="77777777" w:rsidTr="00ED3AD2">
        <w:tc>
          <w:tcPr>
            <w:tcW w:w="736" w:type="pct"/>
            <w:shd w:val="clear" w:color="auto" w:fill="DBE5F1" w:themeFill="accent1" w:themeFillTint="33"/>
            <w:vAlign w:val="center"/>
          </w:tcPr>
          <w:p w14:paraId="13F4367A" w14:textId="77777777" w:rsidR="00CE4A9B" w:rsidRPr="00727416" w:rsidRDefault="00CE4A9B" w:rsidP="00595AD7">
            <w:pPr>
              <w:jc w:val="center"/>
              <w:rPr>
                <w:rFonts w:asciiTheme="majorHAnsi" w:eastAsiaTheme="majorEastAsia" w:hAnsiTheme="majorHAnsi" w:cstheme="minorBidi"/>
                <w:b/>
                <w:color w:val="0E1B8D"/>
              </w:rPr>
            </w:pPr>
            <w:r w:rsidRPr="00727416">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ADA9D3F" w14:textId="77777777" w:rsidR="00CE4A9B" w:rsidRPr="00727416" w:rsidRDefault="00CE4A9B" w:rsidP="00595AD7">
            <w:pPr>
              <w:jc w:val="center"/>
              <w:rPr>
                <w:rFonts w:asciiTheme="majorHAnsi" w:eastAsiaTheme="majorEastAsia" w:hAnsiTheme="majorHAnsi" w:cstheme="minorBidi"/>
                <w:b/>
                <w:color w:val="0E1B8D"/>
              </w:rPr>
            </w:pPr>
            <w:r w:rsidRPr="00727416">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4FCF32D5" w14:textId="77777777" w:rsidR="00CE4A9B" w:rsidRPr="00727416" w:rsidRDefault="00CE4A9B" w:rsidP="00595AD7">
            <w:pPr>
              <w:jc w:val="center"/>
              <w:rPr>
                <w:rFonts w:asciiTheme="majorHAnsi" w:eastAsiaTheme="majorEastAsia" w:hAnsiTheme="majorHAnsi" w:cstheme="minorBidi"/>
                <w:b/>
                <w:color w:val="0E1B8D"/>
              </w:rPr>
            </w:pPr>
            <w:r w:rsidRPr="00727416">
              <w:rPr>
                <w:rFonts w:asciiTheme="majorHAnsi" w:eastAsiaTheme="majorEastAsia" w:hAnsiTheme="majorHAnsi" w:cstheme="minorBidi"/>
                <w:b/>
                <w:color w:val="0E1B8D"/>
              </w:rPr>
              <w:t>Applicable for this bid YES/NO</w:t>
            </w:r>
          </w:p>
        </w:tc>
      </w:tr>
      <w:tr w:rsidR="00A62B8F" w:rsidRPr="00727416" w14:paraId="7CD85445" w14:textId="77777777" w:rsidTr="00ED3AD2">
        <w:tc>
          <w:tcPr>
            <w:tcW w:w="736" w:type="pct"/>
            <w:vAlign w:val="center"/>
          </w:tcPr>
          <w:p w14:paraId="0F7405EA" w14:textId="77777777" w:rsidR="00CE4A9B" w:rsidRPr="00727416" w:rsidRDefault="00CE4A9B" w:rsidP="00595AD7">
            <w:pPr>
              <w:rPr>
                <w:rFonts w:cs="Calibri"/>
              </w:rPr>
            </w:pPr>
            <w:r w:rsidRPr="00727416">
              <w:rPr>
                <w:rFonts w:cs="Calibri"/>
              </w:rPr>
              <w:t>Stage 1</w:t>
            </w:r>
            <w:r w:rsidRPr="00727416">
              <w:rPr>
                <w:rFonts w:cs="Calibri"/>
              </w:rPr>
              <w:tab/>
            </w:r>
          </w:p>
        </w:tc>
        <w:tc>
          <w:tcPr>
            <w:tcW w:w="2723" w:type="pct"/>
            <w:vAlign w:val="center"/>
          </w:tcPr>
          <w:p w14:paraId="7113A537" w14:textId="2C7C920E" w:rsidR="00CE4A9B" w:rsidRPr="00727416" w:rsidRDefault="00ED3AD2" w:rsidP="00F52232">
            <w:pPr>
              <w:jc w:val="left"/>
              <w:rPr>
                <w:rFonts w:cs="Calibri"/>
              </w:rPr>
            </w:pPr>
            <w:r>
              <w:rPr>
                <w:rFonts w:cs="Calibri"/>
              </w:rPr>
              <w:t xml:space="preserve">Mandatory </w:t>
            </w:r>
            <w:r w:rsidR="00CE4A9B" w:rsidRPr="00727416">
              <w:rPr>
                <w:rFonts w:cs="Calibri"/>
              </w:rPr>
              <w:t xml:space="preserve">Administrative </w:t>
            </w:r>
            <w:r w:rsidR="00F52232" w:rsidRPr="00727416">
              <w:rPr>
                <w:rFonts w:cs="Calibri"/>
              </w:rPr>
              <w:t>responsiveness</w:t>
            </w:r>
          </w:p>
        </w:tc>
        <w:tc>
          <w:tcPr>
            <w:tcW w:w="1541" w:type="pct"/>
            <w:shd w:val="clear" w:color="auto" w:fill="DBE5F1" w:themeFill="accent1" w:themeFillTint="33"/>
            <w:vAlign w:val="center"/>
          </w:tcPr>
          <w:p w14:paraId="19B62C90" w14:textId="6C0D2EB3" w:rsidR="00CE4A9B" w:rsidRPr="00727416" w:rsidRDefault="00CE4A9B" w:rsidP="00595AD7">
            <w:pPr>
              <w:jc w:val="center"/>
              <w:rPr>
                <w:rFonts w:cs="Calibri"/>
              </w:rPr>
            </w:pPr>
            <w:r w:rsidRPr="00727416">
              <w:rPr>
                <w:rFonts w:cs="Calibri"/>
              </w:rPr>
              <w:t>YES</w:t>
            </w:r>
          </w:p>
        </w:tc>
      </w:tr>
      <w:tr w:rsidR="00A62B8F" w:rsidRPr="00727416" w14:paraId="6D2FD592" w14:textId="77777777" w:rsidTr="00ED3AD2">
        <w:tc>
          <w:tcPr>
            <w:tcW w:w="736" w:type="pct"/>
            <w:vAlign w:val="center"/>
          </w:tcPr>
          <w:p w14:paraId="1225D19B" w14:textId="77777777" w:rsidR="00CE4A9B" w:rsidRPr="00727416" w:rsidRDefault="00CE4A9B" w:rsidP="00595AD7">
            <w:pPr>
              <w:rPr>
                <w:rFonts w:cs="Calibri"/>
              </w:rPr>
            </w:pPr>
            <w:r w:rsidRPr="00727416">
              <w:rPr>
                <w:rFonts w:cs="Calibri"/>
              </w:rPr>
              <w:t xml:space="preserve">Stage 2 </w:t>
            </w:r>
          </w:p>
        </w:tc>
        <w:tc>
          <w:tcPr>
            <w:tcW w:w="2723" w:type="pct"/>
            <w:vAlign w:val="center"/>
          </w:tcPr>
          <w:p w14:paraId="4FE6E892" w14:textId="77777777" w:rsidR="00CE4A9B" w:rsidRPr="00727416" w:rsidRDefault="00CE4A9B" w:rsidP="00F52232">
            <w:pPr>
              <w:jc w:val="left"/>
              <w:rPr>
                <w:rFonts w:cs="Calibri"/>
              </w:rPr>
            </w:pPr>
            <w:r w:rsidRPr="00727416">
              <w:rPr>
                <w:rFonts w:cs="Calibri"/>
              </w:rPr>
              <w:t>Technical Mandatory</w:t>
            </w:r>
            <w:r w:rsidR="00F52232" w:rsidRPr="00727416">
              <w:rPr>
                <w:rFonts w:cs="Calibri"/>
              </w:rPr>
              <w:t xml:space="preserve"> responsiveness</w:t>
            </w:r>
            <w:r w:rsidRPr="00727416">
              <w:rPr>
                <w:rFonts w:cs="Calibri"/>
              </w:rPr>
              <w:t xml:space="preserve"> </w:t>
            </w:r>
          </w:p>
        </w:tc>
        <w:tc>
          <w:tcPr>
            <w:tcW w:w="1541" w:type="pct"/>
            <w:shd w:val="clear" w:color="auto" w:fill="DBE5F1" w:themeFill="accent1" w:themeFillTint="33"/>
            <w:vAlign w:val="center"/>
          </w:tcPr>
          <w:p w14:paraId="68750AE5" w14:textId="60CEBD76" w:rsidR="00CE4A9B" w:rsidRPr="00727416" w:rsidRDefault="00CE4A9B" w:rsidP="00595AD7">
            <w:pPr>
              <w:jc w:val="center"/>
              <w:rPr>
                <w:rFonts w:cs="Calibri"/>
              </w:rPr>
            </w:pPr>
            <w:r w:rsidRPr="00727416">
              <w:rPr>
                <w:rFonts w:cs="Calibri"/>
              </w:rPr>
              <w:t>YES</w:t>
            </w:r>
          </w:p>
        </w:tc>
      </w:tr>
      <w:tr w:rsidR="00A62B8F" w:rsidRPr="00727416" w14:paraId="72021B49" w14:textId="77777777" w:rsidTr="00ED3AD2">
        <w:tc>
          <w:tcPr>
            <w:tcW w:w="736" w:type="pct"/>
            <w:vAlign w:val="center"/>
          </w:tcPr>
          <w:p w14:paraId="356B3FC8" w14:textId="2031DA79" w:rsidR="00CE4A9B" w:rsidRPr="00727416" w:rsidRDefault="00CE4A9B" w:rsidP="00595AD7">
            <w:pPr>
              <w:rPr>
                <w:rFonts w:cs="Calibri"/>
              </w:rPr>
            </w:pPr>
            <w:r w:rsidRPr="00727416">
              <w:rPr>
                <w:rFonts w:cs="Calibri"/>
              </w:rPr>
              <w:t xml:space="preserve">Stage </w:t>
            </w:r>
            <w:r w:rsidR="00ED3AD2">
              <w:rPr>
                <w:rFonts w:cs="Calibri"/>
              </w:rPr>
              <w:t>3</w:t>
            </w:r>
          </w:p>
        </w:tc>
        <w:tc>
          <w:tcPr>
            <w:tcW w:w="2723" w:type="pct"/>
            <w:vAlign w:val="center"/>
          </w:tcPr>
          <w:p w14:paraId="6E7A9DD1" w14:textId="77777777" w:rsidR="00CE4A9B" w:rsidRPr="00727416" w:rsidRDefault="00CE4A9B" w:rsidP="00F52232">
            <w:pPr>
              <w:jc w:val="left"/>
              <w:rPr>
                <w:rFonts w:cs="Calibri"/>
              </w:rPr>
            </w:pPr>
            <w:r w:rsidRPr="00727416">
              <w:rPr>
                <w:rFonts w:cs="Calibri"/>
              </w:rPr>
              <w:t>Special Conditions of Contract verification</w:t>
            </w:r>
          </w:p>
        </w:tc>
        <w:tc>
          <w:tcPr>
            <w:tcW w:w="1541" w:type="pct"/>
            <w:shd w:val="clear" w:color="auto" w:fill="DBE5F1" w:themeFill="accent1" w:themeFillTint="33"/>
            <w:vAlign w:val="center"/>
          </w:tcPr>
          <w:p w14:paraId="710543AC" w14:textId="5DB18427" w:rsidR="00CE4A9B" w:rsidRPr="00727416" w:rsidRDefault="00CE4A9B" w:rsidP="00595AD7">
            <w:pPr>
              <w:jc w:val="center"/>
              <w:rPr>
                <w:rFonts w:cs="Calibri"/>
              </w:rPr>
            </w:pPr>
            <w:r w:rsidRPr="00727416">
              <w:rPr>
                <w:rFonts w:cs="Calibri"/>
              </w:rPr>
              <w:t>YES</w:t>
            </w:r>
          </w:p>
        </w:tc>
      </w:tr>
      <w:tr w:rsidR="00A62B8F" w:rsidRPr="00E140C0" w14:paraId="397829AC" w14:textId="77777777" w:rsidTr="00ED3AD2">
        <w:tc>
          <w:tcPr>
            <w:tcW w:w="736" w:type="pct"/>
            <w:vAlign w:val="center"/>
          </w:tcPr>
          <w:p w14:paraId="55DDBED2" w14:textId="4658043A" w:rsidR="00CE4A9B" w:rsidRPr="00727416" w:rsidRDefault="00CE4A9B" w:rsidP="00595AD7">
            <w:pPr>
              <w:rPr>
                <w:rFonts w:cs="Calibri"/>
              </w:rPr>
            </w:pPr>
            <w:r w:rsidRPr="00727416">
              <w:rPr>
                <w:rFonts w:cs="Calibri"/>
              </w:rPr>
              <w:t xml:space="preserve">Stage </w:t>
            </w:r>
            <w:r w:rsidR="00ED3AD2">
              <w:rPr>
                <w:rFonts w:cs="Calibri"/>
              </w:rPr>
              <w:t>4</w:t>
            </w:r>
          </w:p>
        </w:tc>
        <w:tc>
          <w:tcPr>
            <w:tcW w:w="2723" w:type="pct"/>
            <w:vAlign w:val="center"/>
          </w:tcPr>
          <w:p w14:paraId="36EE6F82" w14:textId="77777777" w:rsidR="00CE4A9B" w:rsidRPr="00727416" w:rsidRDefault="00CE4A9B" w:rsidP="00F52232">
            <w:pPr>
              <w:jc w:val="left"/>
              <w:rPr>
                <w:rFonts w:cs="Calibri"/>
              </w:rPr>
            </w:pPr>
            <w:r w:rsidRPr="00727416">
              <w:rPr>
                <w:rFonts w:cs="Calibri"/>
              </w:rPr>
              <w:t xml:space="preserve">Price / </w:t>
            </w:r>
            <w:r w:rsidR="00504F20" w:rsidRPr="00727416">
              <w:rPr>
                <w:rFonts w:cs="Calibri"/>
              </w:rPr>
              <w:t>Preference points</w:t>
            </w:r>
          </w:p>
        </w:tc>
        <w:tc>
          <w:tcPr>
            <w:tcW w:w="1541" w:type="pct"/>
            <w:shd w:val="clear" w:color="auto" w:fill="DBE5F1" w:themeFill="accent1" w:themeFillTint="33"/>
            <w:vAlign w:val="center"/>
          </w:tcPr>
          <w:p w14:paraId="7438934F" w14:textId="1D599C24" w:rsidR="00CE4A9B" w:rsidRPr="00727416" w:rsidRDefault="00CE4A9B" w:rsidP="00595AD7">
            <w:pPr>
              <w:jc w:val="center"/>
              <w:rPr>
                <w:rFonts w:cs="Calibri"/>
              </w:rPr>
            </w:pPr>
            <w:r w:rsidRPr="00727416">
              <w:rPr>
                <w:rFonts w:cs="Calibri"/>
              </w:rPr>
              <w:t>YES</w:t>
            </w:r>
          </w:p>
        </w:tc>
      </w:tr>
    </w:tbl>
    <w:p w14:paraId="51E37B95" w14:textId="77777777" w:rsidR="00AF05FE" w:rsidRDefault="00AF05FE" w:rsidP="00AF05FE"/>
    <w:p w14:paraId="1F08E3A4" w14:textId="21034417" w:rsidR="00CE4A9B" w:rsidRPr="00FB57B0" w:rsidRDefault="00ED3AD2" w:rsidP="00CE4A9B">
      <w:pPr>
        <w:pStyle w:val="Heading2"/>
        <w:rPr>
          <w:sz w:val="24"/>
          <w:szCs w:val="24"/>
        </w:rPr>
      </w:pPr>
      <w:bookmarkStart w:id="23" w:name="_Toc212791998"/>
      <w:r w:rsidRPr="00FB57B0">
        <w:rPr>
          <w:sz w:val="24"/>
          <w:szCs w:val="24"/>
        </w:rPr>
        <w:t>Mandatory a</w:t>
      </w:r>
      <w:r w:rsidR="00CE4A9B" w:rsidRPr="00FB57B0">
        <w:rPr>
          <w:sz w:val="24"/>
          <w:szCs w:val="24"/>
        </w:rPr>
        <w:t xml:space="preserve">dministrative </w:t>
      </w:r>
      <w:r w:rsidR="00F52232" w:rsidRPr="00FB57B0">
        <w:rPr>
          <w:sz w:val="24"/>
          <w:szCs w:val="24"/>
        </w:rPr>
        <w:t>responsiveness</w:t>
      </w:r>
      <w:r w:rsidR="00595AD7" w:rsidRPr="00FB57B0">
        <w:rPr>
          <w:sz w:val="24"/>
          <w:szCs w:val="24"/>
        </w:rPr>
        <w:t xml:space="preserve"> (Stage 1)</w:t>
      </w:r>
      <w:bookmarkEnd w:id="23"/>
    </w:p>
    <w:p w14:paraId="3311BC42" w14:textId="77777777" w:rsidR="00942B4A" w:rsidRPr="00FB57B0" w:rsidRDefault="00942B4A" w:rsidP="002134F5">
      <w:pPr>
        <w:pStyle w:val="Heading3"/>
        <w:ind w:left="851" w:hanging="671"/>
      </w:pPr>
      <w:bookmarkStart w:id="24" w:name="_Toc212791999"/>
      <w:r w:rsidRPr="00FB57B0">
        <w:t>Attendance of briefing session</w:t>
      </w:r>
      <w:bookmarkEnd w:id="24"/>
    </w:p>
    <w:p w14:paraId="21469F15" w14:textId="7BB37373" w:rsidR="002134F5" w:rsidRDefault="002134F5" w:rsidP="002134F5">
      <w:pPr>
        <w:pStyle w:val="ListParagraph"/>
        <w:ind w:left="851"/>
        <w:rPr>
          <w:rFonts w:cs="Calibri"/>
        </w:rPr>
      </w:pPr>
      <w:r w:rsidRPr="002134F5">
        <w:rPr>
          <w:rFonts w:cs="Calibri"/>
        </w:rPr>
        <w:t xml:space="preserve">A </w:t>
      </w:r>
      <w:r>
        <w:rPr>
          <w:rFonts w:cs="Calibri"/>
        </w:rPr>
        <w:t>non-</w:t>
      </w:r>
      <w:r w:rsidR="004914C4">
        <w:rPr>
          <w:rFonts w:cs="Calibri"/>
        </w:rPr>
        <w:t xml:space="preserve">compulsory </w:t>
      </w:r>
      <w:r>
        <w:rPr>
          <w:rFonts w:cs="Calibri"/>
        </w:rPr>
        <w:t xml:space="preserve">virtual </w:t>
      </w:r>
      <w:r w:rsidRPr="002134F5">
        <w:rPr>
          <w:rFonts w:cs="Calibri"/>
        </w:rPr>
        <w:t xml:space="preserve">briefing session will be held. The bidder must sign the briefing session attendance register using the same information (bidder company name, bidder representative person name and contact details) as submitted in the bidder’s response document. </w:t>
      </w:r>
    </w:p>
    <w:p w14:paraId="43EB2E7D" w14:textId="77777777" w:rsidR="00942B4A" w:rsidRPr="00FB57B0" w:rsidRDefault="00942B4A" w:rsidP="002134F5">
      <w:pPr>
        <w:pStyle w:val="Heading3"/>
        <w:ind w:left="851" w:hanging="851"/>
      </w:pPr>
      <w:bookmarkStart w:id="25" w:name="_Toc212792000"/>
      <w:r w:rsidRPr="00FB57B0">
        <w:t>Registered Supplier</w:t>
      </w:r>
      <w:bookmarkEnd w:id="25"/>
    </w:p>
    <w:p w14:paraId="30635D02" w14:textId="0DE6F64B" w:rsidR="00504F20" w:rsidRPr="00504F20" w:rsidRDefault="00504F20" w:rsidP="002134F5">
      <w:pPr>
        <w:pStyle w:val="ListParagraph"/>
        <w:numPr>
          <w:ilvl w:val="0"/>
          <w:numId w:val="24"/>
        </w:numPr>
        <w:ind w:left="1276" w:hanging="425"/>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2134F5">
        <w:rPr>
          <w:rFonts w:cs="Calibri"/>
        </w:rPr>
        <w:t>RF</w:t>
      </w:r>
      <w:r w:rsidR="002134F5" w:rsidRPr="002134F5">
        <w:rPr>
          <w:rFonts w:cs="Calibri"/>
        </w:rPr>
        <w:t>B</w:t>
      </w:r>
      <w:r w:rsidRPr="002134F5">
        <w:rPr>
          <w:rFonts w:cs="Calibri"/>
        </w:rPr>
        <w:t>.</w:t>
      </w:r>
    </w:p>
    <w:p w14:paraId="6EF3E945" w14:textId="77777777" w:rsidR="00942B4A" w:rsidRPr="005E4B59" w:rsidRDefault="00504F20" w:rsidP="002134F5">
      <w:pPr>
        <w:pStyle w:val="ListParagraph"/>
        <w:numPr>
          <w:ilvl w:val="0"/>
          <w:numId w:val="24"/>
        </w:numPr>
        <w:ind w:left="1276" w:hanging="425"/>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13850795" w14:textId="77777777" w:rsidR="005E4B59" w:rsidRDefault="005E4B59" w:rsidP="005E4B59">
      <w:pPr>
        <w:pStyle w:val="ListParagraph"/>
        <w:ind w:left="1134"/>
        <w:rPr>
          <w:rFonts w:cs="Calibri"/>
        </w:rPr>
      </w:pPr>
    </w:p>
    <w:p w14:paraId="6B4BC413" w14:textId="77777777" w:rsidR="005E4B59" w:rsidRDefault="005E4B59" w:rsidP="005E4B59">
      <w:pPr>
        <w:pStyle w:val="ListParagraph"/>
        <w:ind w:left="1134"/>
      </w:pPr>
    </w:p>
    <w:p w14:paraId="1E48EA37" w14:textId="77777777" w:rsidR="00235913" w:rsidRPr="00FB57B0" w:rsidRDefault="00235913" w:rsidP="00292FA9">
      <w:pPr>
        <w:pStyle w:val="Heading2"/>
        <w:ind w:hanging="709"/>
        <w:rPr>
          <w:sz w:val="24"/>
          <w:szCs w:val="24"/>
        </w:rPr>
      </w:pPr>
      <w:bookmarkStart w:id="26" w:name="_Toc212792001"/>
      <w:r w:rsidRPr="00FB57B0">
        <w:rPr>
          <w:sz w:val="24"/>
          <w:szCs w:val="24"/>
        </w:rPr>
        <w:lastRenderedPageBreak/>
        <w:t xml:space="preserve">Technical </w:t>
      </w:r>
      <w:r w:rsidR="003806BB" w:rsidRPr="00FB57B0">
        <w:rPr>
          <w:sz w:val="24"/>
          <w:szCs w:val="24"/>
        </w:rPr>
        <w:t>returnable documents</w:t>
      </w:r>
      <w:bookmarkEnd w:id="26"/>
    </w:p>
    <w:p w14:paraId="6E4DF40E" w14:textId="77777777" w:rsidR="00942B4A" w:rsidRPr="00FB57B0" w:rsidRDefault="00235913" w:rsidP="00292FA9">
      <w:pPr>
        <w:pStyle w:val="Heading3"/>
        <w:ind w:left="709" w:hanging="709"/>
      </w:pPr>
      <w:bookmarkStart w:id="27" w:name="_Toc212792002"/>
      <w:r w:rsidRPr="00FB57B0">
        <w:t>Instruction and evaluation criteria</w:t>
      </w:r>
      <w:bookmarkEnd w:id="27"/>
    </w:p>
    <w:p w14:paraId="3F98A024" w14:textId="77777777" w:rsidR="00235913" w:rsidRPr="00235913" w:rsidRDefault="00235913" w:rsidP="00292FA9">
      <w:pPr>
        <w:pStyle w:val="ListParagraph"/>
        <w:numPr>
          <w:ilvl w:val="0"/>
          <w:numId w:val="3"/>
        </w:numPr>
        <w:ind w:hanging="425"/>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D446403" w14:textId="77777777" w:rsidR="00235913" w:rsidRPr="00235913" w:rsidRDefault="00235913" w:rsidP="00292FA9">
      <w:pPr>
        <w:pStyle w:val="ListParagraph"/>
        <w:numPr>
          <w:ilvl w:val="0"/>
          <w:numId w:val="3"/>
        </w:numPr>
        <w:ind w:hanging="425"/>
      </w:pPr>
      <w:r w:rsidRPr="00235913">
        <w:t xml:space="preserve">The bidder must provide a unique reference number (e.g. binder/folio, chapter, section, page) to locate substantiating evidence in the bid response. </w:t>
      </w:r>
    </w:p>
    <w:p w14:paraId="23BDA640" w14:textId="77777777" w:rsidR="00235913" w:rsidRPr="00235913" w:rsidRDefault="00235913" w:rsidP="00292FA9">
      <w:pPr>
        <w:pStyle w:val="ListParagraph"/>
        <w:numPr>
          <w:ilvl w:val="0"/>
          <w:numId w:val="3"/>
        </w:numPr>
        <w:ind w:hanging="425"/>
      </w:pPr>
      <w:r w:rsidRPr="00235913">
        <w:t xml:space="preserve">The bidder must comply with </w:t>
      </w:r>
      <w:r w:rsidRPr="00801880">
        <w:t>ALL the</w:t>
      </w:r>
      <w:r w:rsidRPr="00235913">
        <w:t xml:space="preserve"> TECHNICAL MANDATORY REQUIREMENTS </w:t>
      </w:r>
      <w:proofErr w:type="gramStart"/>
      <w:r w:rsidRPr="00235913">
        <w:t>in order for</w:t>
      </w:r>
      <w:proofErr w:type="gramEnd"/>
      <w:r w:rsidRPr="00235913">
        <w:t xml:space="preserve"> the bid</w:t>
      </w:r>
      <w:r>
        <w:t xml:space="preserve"> response</w:t>
      </w:r>
      <w:r w:rsidRPr="00235913">
        <w:t xml:space="preserve"> to proceed to the next stage of the evaluation.</w:t>
      </w:r>
    </w:p>
    <w:p w14:paraId="3D9FB2F3" w14:textId="77777777" w:rsidR="00942B4A" w:rsidRDefault="00942B4A" w:rsidP="00AF05FE"/>
    <w:p w14:paraId="32A0FBFB" w14:textId="77777777" w:rsidR="00235913" w:rsidRPr="00FB57B0" w:rsidRDefault="00235913" w:rsidP="00292FA9">
      <w:pPr>
        <w:pStyle w:val="Heading3"/>
        <w:ind w:hanging="747"/>
      </w:pPr>
      <w:bookmarkStart w:id="28" w:name="_Toc212792003"/>
      <w:r w:rsidRPr="00FB57B0">
        <w:t>Technical mandatory requirement</w:t>
      </w:r>
      <w:r w:rsidR="00B46FFE" w:rsidRPr="00FB57B0">
        <w:t>s</w:t>
      </w:r>
      <w:r w:rsidR="00512A12" w:rsidRPr="00FB57B0">
        <w:t xml:space="preserve"> (Stage 2)</w:t>
      </w:r>
      <w:bookmarkEnd w:id="28"/>
    </w:p>
    <w:p w14:paraId="64EF8EA5" w14:textId="0520F536" w:rsidR="00576C51" w:rsidRPr="00FB57B0" w:rsidRDefault="00576C51" w:rsidP="00576C51">
      <w:pPr>
        <w:pStyle w:val="Caption"/>
        <w:rPr>
          <w:sz w:val="24"/>
        </w:rPr>
      </w:pPr>
      <w:bookmarkStart w:id="29" w:name="_Toc204770312"/>
      <w:r w:rsidRPr="00FB57B0">
        <w:rPr>
          <w:sz w:val="24"/>
        </w:rPr>
        <w:t xml:space="preserve">Table </w:t>
      </w:r>
      <w:r w:rsidRPr="00FB57B0">
        <w:rPr>
          <w:sz w:val="24"/>
        </w:rPr>
        <w:fldChar w:fldCharType="begin"/>
      </w:r>
      <w:r w:rsidRPr="00FB57B0">
        <w:rPr>
          <w:sz w:val="24"/>
        </w:rPr>
        <w:instrText xml:space="preserve"> SEQ Table \* ARABIC </w:instrText>
      </w:r>
      <w:r w:rsidRPr="00FB57B0">
        <w:rPr>
          <w:sz w:val="24"/>
        </w:rPr>
        <w:fldChar w:fldCharType="separate"/>
      </w:r>
      <w:r w:rsidR="00D16157" w:rsidRPr="00FB57B0">
        <w:rPr>
          <w:noProof/>
          <w:sz w:val="24"/>
        </w:rPr>
        <w:t>2</w:t>
      </w:r>
      <w:r w:rsidRPr="00FB57B0">
        <w:rPr>
          <w:sz w:val="24"/>
        </w:rPr>
        <w:fldChar w:fldCharType="end"/>
      </w:r>
      <w:r w:rsidRPr="00FB57B0">
        <w:rPr>
          <w:sz w:val="24"/>
        </w:rPr>
        <w:t>: Technical</w:t>
      </w:r>
      <w:r w:rsidR="003711BF" w:rsidRPr="00FB57B0">
        <w:rPr>
          <w:sz w:val="24"/>
        </w:rPr>
        <w:t xml:space="preserve"> </w:t>
      </w:r>
      <w:r w:rsidRPr="00FB57B0">
        <w:rPr>
          <w:sz w:val="24"/>
        </w:rPr>
        <w:t>Mandatory Requirements</w:t>
      </w:r>
      <w:bookmarkEnd w:id="29"/>
    </w:p>
    <w:tbl>
      <w:tblPr>
        <w:tblStyle w:val="TableGrid"/>
        <w:tblW w:w="9639"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19"/>
        <w:gridCol w:w="3260"/>
        <w:gridCol w:w="3249"/>
        <w:gridCol w:w="11"/>
      </w:tblGrid>
      <w:tr w:rsidR="00235913" w14:paraId="3380C878" w14:textId="77777777" w:rsidTr="0027716C">
        <w:trPr>
          <w:gridAfter w:val="1"/>
          <w:wAfter w:w="11" w:type="dxa"/>
          <w:tblHeader/>
        </w:trPr>
        <w:tc>
          <w:tcPr>
            <w:tcW w:w="3119" w:type="dxa"/>
            <w:shd w:val="solid" w:color="DBE5F1" w:themeColor="accent1" w:themeTint="33" w:fill="DBE5F1" w:themeFill="accent1" w:themeFillTint="33"/>
          </w:tcPr>
          <w:p w14:paraId="55402E33"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60" w:type="dxa"/>
            <w:shd w:val="solid" w:color="DBE5F1" w:themeColor="accent1" w:themeTint="33" w:fill="DBE5F1" w:themeFill="accent1" w:themeFillTint="33"/>
          </w:tcPr>
          <w:p w14:paraId="1A3947B3"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49" w:type="dxa"/>
            <w:shd w:val="solid" w:color="DBE5F1" w:themeColor="accent1" w:themeTint="33" w:fill="DBE5F1" w:themeFill="accent1" w:themeFillTint="33"/>
          </w:tcPr>
          <w:p w14:paraId="22806A75"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13B9E5F8" w14:textId="77777777" w:rsidTr="0027716C">
        <w:trPr>
          <w:gridAfter w:val="1"/>
          <w:wAfter w:w="11" w:type="dxa"/>
        </w:trPr>
        <w:tc>
          <w:tcPr>
            <w:tcW w:w="9628" w:type="dxa"/>
            <w:gridSpan w:val="3"/>
          </w:tcPr>
          <w:p w14:paraId="6E9785BF" w14:textId="77777777" w:rsidR="00805234" w:rsidRPr="0017574E" w:rsidRDefault="00805234" w:rsidP="00235913">
            <w:pPr>
              <w:rPr>
                <w:b/>
                <w:bCs/>
                <w:sz w:val="24"/>
                <w:szCs w:val="24"/>
                <w:lang w:val="en-GB"/>
              </w:rPr>
            </w:pPr>
            <w:r w:rsidRPr="0017574E">
              <w:rPr>
                <w:b/>
                <w:bCs/>
                <w:sz w:val="24"/>
                <w:szCs w:val="24"/>
                <w:lang w:val="en-GB"/>
              </w:rPr>
              <w:t xml:space="preserve">1. </w:t>
            </w:r>
            <w:r w:rsidRPr="0017574E">
              <w:rPr>
                <w:b/>
                <w:bCs/>
                <w:color w:val="1F497D" w:themeColor="text2"/>
                <w:sz w:val="24"/>
                <w:szCs w:val="24"/>
                <w:lang w:val="en-GB"/>
              </w:rPr>
              <w:t>Bidder Certification/ Affiliation Requirements</w:t>
            </w:r>
          </w:p>
          <w:p w14:paraId="45F2EEA4" w14:textId="77777777" w:rsidR="00805234" w:rsidRDefault="00805234" w:rsidP="00235913">
            <w:pPr>
              <w:rPr>
                <w:lang w:val="en-GB"/>
              </w:rPr>
            </w:pPr>
          </w:p>
        </w:tc>
      </w:tr>
      <w:tr w:rsidR="00805234" w14:paraId="1A06FFCB" w14:textId="77777777" w:rsidTr="0027716C">
        <w:trPr>
          <w:gridAfter w:val="1"/>
          <w:wAfter w:w="11" w:type="dxa"/>
          <w:trHeight w:hRule="exact" w:val="4989"/>
        </w:trPr>
        <w:tc>
          <w:tcPr>
            <w:tcW w:w="3119" w:type="dxa"/>
          </w:tcPr>
          <w:p w14:paraId="5DB80D25" w14:textId="4518FD67" w:rsidR="00805234" w:rsidRDefault="00F748C8" w:rsidP="00292FA9">
            <w:pPr>
              <w:rPr>
                <w:lang w:val="en-GB"/>
              </w:rPr>
            </w:pPr>
            <w:r>
              <w:rPr>
                <w:lang w:val="en-GB"/>
              </w:rPr>
              <w:t xml:space="preserve">The bidder </w:t>
            </w:r>
            <w:r w:rsidRPr="00560F4B">
              <w:rPr>
                <w:b/>
                <w:bCs/>
                <w:lang w:val="en-GB"/>
              </w:rPr>
              <w:t>mus</w:t>
            </w:r>
            <w:r>
              <w:rPr>
                <w:b/>
                <w:bCs/>
                <w:lang w:val="en-GB"/>
              </w:rPr>
              <w:t>t</w:t>
            </w:r>
            <w:r w:rsidRPr="0017032D">
              <w:rPr>
                <w:bCs/>
                <w:lang w:val="en-GB"/>
              </w:rPr>
              <w:t xml:space="preserve"> be</w:t>
            </w:r>
            <w:r>
              <w:rPr>
                <w:bCs/>
                <w:lang w:val="en-GB"/>
              </w:rPr>
              <w:t xml:space="preserve"> an accredited reseller/partner</w:t>
            </w:r>
            <w:r w:rsidR="00292FA9">
              <w:rPr>
                <w:bCs/>
                <w:lang w:val="en-GB"/>
              </w:rPr>
              <w:t xml:space="preserve"> </w:t>
            </w:r>
            <w:r>
              <w:rPr>
                <w:bCs/>
                <w:lang w:val="en-GB"/>
              </w:rPr>
              <w:t xml:space="preserve">by the Original Software Manufacturer (OSM) to </w:t>
            </w:r>
            <w:r w:rsidR="00292FA9">
              <w:rPr>
                <w:bCs/>
                <w:lang w:val="en-GB"/>
              </w:rPr>
              <w:t xml:space="preserve">provide </w:t>
            </w:r>
            <w:r w:rsidR="00DF1D94">
              <w:rPr>
                <w:bCs/>
                <w:lang w:val="en-GB"/>
              </w:rPr>
              <w:t xml:space="preserve">the </w:t>
            </w:r>
            <w:r w:rsidR="00292FA9">
              <w:rPr>
                <w:bCs/>
                <w:lang w:val="en-GB"/>
              </w:rPr>
              <w:t xml:space="preserve">INET/WINET </w:t>
            </w:r>
            <w:r>
              <w:rPr>
                <w:bCs/>
                <w:lang w:val="en-GB"/>
              </w:rPr>
              <w:t>Emulation Software Licenses</w:t>
            </w:r>
            <w:r w:rsidR="00292FA9">
              <w:rPr>
                <w:bCs/>
                <w:lang w:val="en-GB"/>
              </w:rPr>
              <w:t>.</w:t>
            </w:r>
          </w:p>
        </w:tc>
        <w:tc>
          <w:tcPr>
            <w:tcW w:w="3260" w:type="dxa"/>
          </w:tcPr>
          <w:p w14:paraId="4197D667" w14:textId="02D45285" w:rsidR="00F748C8" w:rsidRDefault="00F748C8" w:rsidP="00292FA9">
            <w:pPr>
              <w:rPr>
                <w:lang w:val="en-GB"/>
              </w:rPr>
            </w:pPr>
            <w:bookmarkStart w:id="30" w:name="_Hlk202349819"/>
            <w:bookmarkStart w:id="31" w:name="_Hlk212789799"/>
            <w:r w:rsidRPr="00AB17CD">
              <w:rPr>
                <w:lang w:val="en-GB"/>
              </w:rPr>
              <w:t xml:space="preserve">Attach to </w:t>
            </w:r>
            <w:r w:rsidRPr="00EC54E1">
              <w:rPr>
                <w:b/>
                <w:bCs/>
                <w:lang w:val="en-GB"/>
              </w:rPr>
              <w:t>ANNEX A</w:t>
            </w:r>
            <w:r>
              <w:rPr>
                <w:lang w:val="en-GB"/>
              </w:rPr>
              <w:t xml:space="preserve">, </w:t>
            </w:r>
            <w:r w:rsidRPr="00AB17CD">
              <w:rPr>
                <w:lang w:val="en-GB"/>
              </w:rPr>
              <w:t xml:space="preserve">a copy of </w:t>
            </w:r>
            <w:r>
              <w:rPr>
                <w:lang w:val="en-GB"/>
              </w:rPr>
              <w:t>valid</w:t>
            </w:r>
            <w:r w:rsidRPr="00AB17CD">
              <w:rPr>
                <w:lang w:val="en-GB"/>
              </w:rPr>
              <w:t xml:space="preserve"> certifi</w:t>
            </w:r>
            <w:r>
              <w:rPr>
                <w:lang w:val="en-GB"/>
              </w:rPr>
              <w:t>cate</w:t>
            </w:r>
            <w:r w:rsidRPr="00AB17CD">
              <w:rPr>
                <w:lang w:val="en-GB"/>
              </w:rPr>
              <w:t xml:space="preserve"> that the bidder is </w:t>
            </w:r>
            <w:r>
              <w:rPr>
                <w:lang w:val="en-GB"/>
              </w:rPr>
              <w:t xml:space="preserve">accredited </w:t>
            </w:r>
            <w:r w:rsidR="00292FA9">
              <w:rPr>
                <w:lang w:val="en-GB"/>
              </w:rPr>
              <w:t xml:space="preserve">by </w:t>
            </w:r>
            <w:r>
              <w:rPr>
                <w:lang w:val="en-GB"/>
              </w:rPr>
              <w:t xml:space="preserve">the </w:t>
            </w:r>
            <w:r w:rsidRPr="00AB17CD">
              <w:rPr>
                <w:lang w:val="en-GB"/>
              </w:rPr>
              <w:t xml:space="preserve">OSM </w:t>
            </w:r>
            <w:r>
              <w:rPr>
                <w:lang w:val="en-GB"/>
              </w:rPr>
              <w:t xml:space="preserve">to </w:t>
            </w:r>
            <w:r w:rsidR="00292FA9">
              <w:rPr>
                <w:lang w:val="en-GB"/>
              </w:rPr>
              <w:t xml:space="preserve">provide </w:t>
            </w:r>
            <w:r w:rsidR="00DF1D94">
              <w:rPr>
                <w:lang w:val="en-GB"/>
              </w:rPr>
              <w:t>the</w:t>
            </w:r>
            <w:r w:rsidR="00DF1D94">
              <w:rPr>
                <w:bCs/>
                <w:lang w:val="en-GB"/>
              </w:rPr>
              <w:t xml:space="preserve"> </w:t>
            </w:r>
            <w:r w:rsidR="004F798C">
              <w:rPr>
                <w:bCs/>
                <w:lang w:val="en-GB"/>
              </w:rPr>
              <w:t>INET/WINET</w:t>
            </w:r>
            <w:r w:rsidR="004F798C">
              <w:rPr>
                <w:lang w:val="en-GB"/>
              </w:rPr>
              <w:t xml:space="preserve"> </w:t>
            </w:r>
            <w:r>
              <w:rPr>
                <w:lang w:val="en-GB"/>
              </w:rPr>
              <w:t>Emulation Software</w:t>
            </w:r>
            <w:r w:rsidR="00292FA9">
              <w:rPr>
                <w:lang w:val="en-GB"/>
              </w:rPr>
              <w:t xml:space="preserve"> License.</w:t>
            </w:r>
            <w:r w:rsidRPr="00AB17CD">
              <w:rPr>
                <w:lang w:val="en-GB"/>
              </w:rPr>
              <w:t xml:space="preserve"> </w:t>
            </w:r>
          </w:p>
          <w:bookmarkEnd w:id="30"/>
          <w:p w14:paraId="7908FBF1" w14:textId="77777777" w:rsidR="00F748C8" w:rsidRDefault="00F748C8" w:rsidP="00292FA9">
            <w:pPr>
              <w:rPr>
                <w:lang w:val="en-GB"/>
              </w:rPr>
            </w:pPr>
          </w:p>
          <w:p w14:paraId="68B6342D" w14:textId="77777777" w:rsidR="00F748C8" w:rsidRPr="001D7167" w:rsidRDefault="00F748C8" w:rsidP="00292FA9">
            <w:pPr>
              <w:rPr>
                <w:b/>
                <w:bCs/>
                <w:lang w:val="en-GB"/>
              </w:rPr>
            </w:pPr>
            <w:bookmarkStart w:id="32" w:name="_Hlk202349877"/>
            <w:r w:rsidRPr="001D7167">
              <w:rPr>
                <w:b/>
                <w:bCs/>
                <w:lang w:val="en-GB"/>
              </w:rPr>
              <w:t xml:space="preserve">NOTE (1): </w:t>
            </w:r>
          </w:p>
          <w:p w14:paraId="626B8124" w14:textId="78818E52" w:rsidR="00F748C8" w:rsidRDefault="00F748C8" w:rsidP="00292FA9">
            <w:r w:rsidRPr="001D7167">
              <w:t>The certificate</w:t>
            </w:r>
            <w:r w:rsidR="00292FA9">
              <w:t xml:space="preserve"> must </w:t>
            </w:r>
            <w:r w:rsidRPr="001D7167">
              <w:t>clearly indicat</w:t>
            </w:r>
            <w:r w:rsidR="00292FA9">
              <w:t xml:space="preserve">e </w:t>
            </w:r>
            <w:r w:rsidRPr="001D7167">
              <w:t>the following information below:</w:t>
            </w:r>
          </w:p>
          <w:p w14:paraId="64FDEBFA" w14:textId="77777777" w:rsidR="00292FA9" w:rsidRPr="001D7167" w:rsidRDefault="00292FA9" w:rsidP="00292FA9"/>
          <w:p w14:paraId="51462AC1" w14:textId="0846761E" w:rsidR="00F748C8" w:rsidRPr="001D7167" w:rsidRDefault="00F748C8" w:rsidP="00292FA9">
            <w:r w:rsidRPr="001D7167">
              <w:t>(</w:t>
            </w:r>
            <w:r w:rsidR="00DF1D94">
              <w:t>a</w:t>
            </w:r>
            <w:r w:rsidRPr="001D7167">
              <w:t xml:space="preserve">) The Bidder’s Name; and </w:t>
            </w:r>
          </w:p>
          <w:p w14:paraId="0BE2FE71" w14:textId="0A73B8DB" w:rsidR="00F748C8" w:rsidRPr="001D7167" w:rsidRDefault="00F748C8" w:rsidP="00292FA9">
            <w:r w:rsidRPr="001D7167">
              <w:t>(</w:t>
            </w:r>
            <w:r w:rsidR="00DF1D94">
              <w:t>b</w:t>
            </w:r>
            <w:r w:rsidRPr="001D7167">
              <w:t>) The date it was issued; and</w:t>
            </w:r>
          </w:p>
          <w:p w14:paraId="1E47DDBD" w14:textId="27315DA5" w:rsidR="00F748C8" w:rsidRDefault="00F748C8" w:rsidP="00292FA9">
            <w:r w:rsidRPr="001D7167">
              <w:t>(</w:t>
            </w:r>
            <w:r w:rsidR="00DF1D94">
              <w:t>c</w:t>
            </w:r>
            <w:r w:rsidRPr="001D7167">
              <w:t>) if applicable, the expiry date</w:t>
            </w:r>
          </w:p>
          <w:p w14:paraId="46126756" w14:textId="77777777" w:rsidR="00F748C8" w:rsidRDefault="00F748C8" w:rsidP="00292FA9">
            <w:pPr>
              <w:rPr>
                <w:lang w:val="en-GB"/>
              </w:rPr>
            </w:pPr>
          </w:p>
          <w:p w14:paraId="4B13399D" w14:textId="77777777" w:rsidR="00F748C8" w:rsidRPr="00EC54E1" w:rsidRDefault="00F748C8" w:rsidP="00292FA9">
            <w:pPr>
              <w:rPr>
                <w:b/>
                <w:bCs/>
                <w:lang w:val="en-GB"/>
              </w:rPr>
            </w:pPr>
            <w:r w:rsidRPr="00EC54E1">
              <w:rPr>
                <w:b/>
                <w:bCs/>
                <w:lang w:val="en-GB"/>
              </w:rPr>
              <w:t xml:space="preserve">NOTE (2): </w:t>
            </w:r>
          </w:p>
          <w:p w14:paraId="3B96210A" w14:textId="1B3BF5AC" w:rsidR="00F748C8" w:rsidRPr="00EC54E1" w:rsidRDefault="00292FA9" w:rsidP="00292FA9">
            <w:pPr>
              <w:rPr>
                <w:lang w:val="en-GB"/>
              </w:rPr>
            </w:pPr>
            <w:r>
              <w:rPr>
                <w:lang w:val="en-GB"/>
              </w:rPr>
              <w:t xml:space="preserve">DCS </w:t>
            </w:r>
            <w:r w:rsidR="00F748C8" w:rsidRPr="00EC54E1">
              <w:rPr>
                <w:lang w:val="en-GB"/>
              </w:rPr>
              <w:t>reserves the right to verify information provided.</w:t>
            </w:r>
          </w:p>
          <w:bookmarkEnd w:id="31"/>
          <w:bookmarkEnd w:id="32"/>
          <w:p w14:paraId="196E9005" w14:textId="77777777" w:rsidR="00F748C8" w:rsidRPr="004914AA" w:rsidRDefault="00F748C8" w:rsidP="00292FA9">
            <w:pPr>
              <w:ind w:left="450"/>
              <w:rPr>
                <w:lang w:val="en-US"/>
              </w:rPr>
            </w:pPr>
          </w:p>
          <w:p w14:paraId="78DD2B2A" w14:textId="3D68ADF9" w:rsidR="00805234" w:rsidRDefault="00805234" w:rsidP="00292FA9">
            <w:pPr>
              <w:rPr>
                <w:lang w:val="en-GB"/>
              </w:rPr>
            </w:pPr>
          </w:p>
          <w:p w14:paraId="57CDEB95" w14:textId="77777777" w:rsidR="001A50CD" w:rsidRDefault="001A50CD" w:rsidP="00292FA9">
            <w:pPr>
              <w:rPr>
                <w:lang w:val="en-GB"/>
              </w:rPr>
            </w:pPr>
          </w:p>
          <w:p w14:paraId="11D3A0C1" w14:textId="77777777" w:rsidR="001A50CD" w:rsidRDefault="001A50CD" w:rsidP="00292FA9">
            <w:pPr>
              <w:rPr>
                <w:lang w:val="en-GB"/>
              </w:rPr>
            </w:pPr>
          </w:p>
          <w:p w14:paraId="2C8B720D" w14:textId="77777777" w:rsidR="001A50CD" w:rsidRDefault="001A50CD" w:rsidP="00292FA9">
            <w:pPr>
              <w:rPr>
                <w:lang w:val="en-GB"/>
              </w:rPr>
            </w:pPr>
          </w:p>
        </w:tc>
        <w:tc>
          <w:tcPr>
            <w:tcW w:w="3249" w:type="dxa"/>
          </w:tcPr>
          <w:p w14:paraId="68A140E4" w14:textId="77777777" w:rsidR="00805234" w:rsidRPr="00293093" w:rsidRDefault="00805234" w:rsidP="00292FA9">
            <w:pPr>
              <w:rPr>
                <w:rFonts w:cs="Calibri"/>
              </w:rPr>
            </w:pPr>
            <w:r w:rsidRPr="00293093">
              <w:rPr>
                <w:rFonts w:cs="Calibri"/>
              </w:rPr>
              <w:t xml:space="preserve">&lt;provide unique reference to locate substantiating evidence in the bid response – </w:t>
            </w:r>
            <w:r w:rsidRPr="00293093">
              <w:rPr>
                <w:rFonts w:cs="Calibri"/>
                <w:b/>
                <w:bCs/>
              </w:rPr>
              <w:t xml:space="preserve">see Annex </w:t>
            </w:r>
            <w:r w:rsidR="0002219A" w:rsidRPr="00293093">
              <w:rPr>
                <w:rFonts w:cs="Calibri"/>
                <w:b/>
                <w:bCs/>
              </w:rPr>
              <w:t>A</w:t>
            </w:r>
            <w:r w:rsidRPr="00293093">
              <w:rPr>
                <w:rFonts w:cs="Calibri"/>
                <w:b/>
                <w:bCs/>
              </w:rPr>
              <w:t xml:space="preserve">, </w:t>
            </w:r>
            <w:r w:rsidR="003711BF" w:rsidRPr="00293093">
              <w:rPr>
                <w:rFonts w:cs="Calibri"/>
                <w:b/>
                <w:bCs/>
                <w:highlight w:val="darkGray"/>
              </w:rPr>
              <w:t>par 5</w:t>
            </w:r>
            <w:r w:rsidRPr="00293093">
              <w:rPr>
                <w:rFonts w:cs="Calibri"/>
                <w:b/>
                <w:bCs/>
                <w:highlight w:val="darkGray"/>
              </w:rPr>
              <w:t>.1</w:t>
            </w:r>
            <w:r w:rsidRPr="00293093">
              <w:rPr>
                <w:rFonts w:cs="Calibri"/>
              </w:rPr>
              <w:t>&gt;</w:t>
            </w:r>
          </w:p>
          <w:p w14:paraId="3BD95E5B" w14:textId="77777777" w:rsidR="00F748C8" w:rsidRDefault="00F748C8" w:rsidP="00292FA9">
            <w:pPr>
              <w:rPr>
                <w:lang w:val="en-GB"/>
              </w:rPr>
            </w:pPr>
            <w:r>
              <w:rPr>
                <w:rFonts w:cs="Calibri"/>
                <w:color w:val="FF0000"/>
              </w:rPr>
              <w:br/>
            </w:r>
          </w:p>
          <w:p w14:paraId="7C44435A" w14:textId="77777777" w:rsidR="00F748C8" w:rsidRDefault="00F748C8" w:rsidP="00292FA9">
            <w:pPr>
              <w:rPr>
                <w:lang w:val="en-GB"/>
              </w:rPr>
            </w:pPr>
          </w:p>
          <w:p w14:paraId="56D2C9E3" w14:textId="77777777" w:rsidR="00F748C8" w:rsidRDefault="00F748C8" w:rsidP="00292FA9">
            <w:pPr>
              <w:rPr>
                <w:lang w:val="en-GB"/>
              </w:rPr>
            </w:pPr>
          </w:p>
          <w:p w14:paraId="35226907" w14:textId="77777777" w:rsidR="00F748C8" w:rsidRDefault="00F748C8" w:rsidP="00292FA9">
            <w:pPr>
              <w:rPr>
                <w:lang w:val="en-GB"/>
              </w:rPr>
            </w:pPr>
          </w:p>
          <w:p w14:paraId="7CA32673" w14:textId="0D435022" w:rsidR="00F748C8" w:rsidRDefault="00F748C8" w:rsidP="00292FA9">
            <w:pPr>
              <w:rPr>
                <w:lang w:val="en-GB"/>
              </w:rPr>
            </w:pPr>
          </w:p>
        </w:tc>
      </w:tr>
      <w:tr w:rsidR="00805234" w14:paraId="03B953D2" w14:textId="77777777" w:rsidTr="0027716C">
        <w:trPr>
          <w:gridAfter w:val="1"/>
          <w:wAfter w:w="11" w:type="dxa"/>
        </w:trPr>
        <w:tc>
          <w:tcPr>
            <w:tcW w:w="9628" w:type="dxa"/>
            <w:gridSpan w:val="3"/>
          </w:tcPr>
          <w:p w14:paraId="198FC585" w14:textId="77777777" w:rsidR="00805234" w:rsidRPr="0017574E" w:rsidRDefault="00805234" w:rsidP="00805234">
            <w:pPr>
              <w:jc w:val="left"/>
              <w:rPr>
                <w:b/>
                <w:bCs/>
                <w:sz w:val="24"/>
                <w:szCs w:val="24"/>
                <w:lang w:val="en-GB"/>
              </w:rPr>
            </w:pPr>
            <w:r w:rsidRPr="0017574E">
              <w:rPr>
                <w:b/>
                <w:bCs/>
                <w:sz w:val="24"/>
                <w:szCs w:val="24"/>
                <w:lang w:val="en-GB"/>
              </w:rPr>
              <w:t xml:space="preserve">2. </w:t>
            </w:r>
            <w:r w:rsidRPr="0017574E">
              <w:rPr>
                <w:b/>
                <w:bCs/>
                <w:color w:val="1F497D" w:themeColor="text2"/>
                <w:sz w:val="24"/>
                <w:szCs w:val="24"/>
                <w:lang w:val="en-GB"/>
              </w:rPr>
              <w:t>Bidder Experience and Capability Requirements</w:t>
            </w:r>
          </w:p>
          <w:p w14:paraId="3B9950B0" w14:textId="77777777" w:rsidR="00805234" w:rsidRDefault="00805234" w:rsidP="00805234">
            <w:pPr>
              <w:jc w:val="left"/>
              <w:rPr>
                <w:lang w:val="en-GB"/>
              </w:rPr>
            </w:pPr>
          </w:p>
        </w:tc>
      </w:tr>
      <w:tr w:rsidR="005570A5" w14:paraId="1C2E87EF" w14:textId="77777777" w:rsidTr="0027716C">
        <w:trPr>
          <w:gridAfter w:val="1"/>
          <w:wAfter w:w="11" w:type="dxa"/>
          <w:trHeight w:val="7521"/>
        </w:trPr>
        <w:tc>
          <w:tcPr>
            <w:tcW w:w="3119" w:type="dxa"/>
          </w:tcPr>
          <w:p w14:paraId="77D157A2" w14:textId="01D8C614" w:rsidR="005570A5" w:rsidRDefault="005570A5" w:rsidP="004F798C">
            <w:pPr>
              <w:rPr>
                <w:lang w:val="en-GB"/>
              </w:rPr>
            </w:pPr>
            <w:bookmarkStart w:id="33" w:name="_Hlk212789962"/>
            <w:r>
              <w:rPr>
                <w:lang w:val="en-GB"/>
              </w:rPr>
              <w:lastRenderedPageBreak/>
              <w:t xml:space="preserve">The bidder </w:t>
            </w:r>
            <w:r w:rsidR="00293093" w:rsidRPr="00560F4B">
              <w:rPr>
                <w:b/>
                <w:bCs/>
                <w:lang w:val="en-GB"/>
              </w:rPr>
              <w:t xml:space="preserve">must </w:t>
            </w:r>
            <w:r w:rsidR="00293093" w:rsidRPr="00C90DD0">
              <w:t>have installed</w:t>
            </w:r>
            <w:r w:rsidRPr="00C90DD0">
              <w:t xml:space="preserve">/deployed the  </w:t>
            </w:r>
            <w:r w:rsidRPr="00D22962">
              <w:t xml:space="preserve"> </w:t>
            </w:r>
            <w:r>
              <w:t xml:space="preserve"> </w:t>
            </w:r>
            <w:r w:rsidR="004F798C">
              <w:t>INET</w:t>
            </w:r>
            <w:r w:rsidR="00BC783D">
              <w:t>/</w:t>
            </w:r>
            <w:r w:rsidR="004F798C">
              <w:t>WINET Emulator Software Licenses with maintenance and support to</w:t>
            </w:r>
            <w:r w:rsidRPr="00C90DD0">
              <w:t xml:space="preserve"> at least two (2) customers in the </w:t>
            </w:r>
            <w:r w:rsidR="00293093" w:rsidRPr="00C90DD0">
              <w:t>last three</w:t>
            </w:r>
            <w:r w:rsidRPr="00C90DD0">
              <w:t xml:space="preserve"> (3) years</w:t>
            </w:r>
            <w:r w:rsidR="00DF1D94">
              <w:t xml:space="preserve"> from the publication date of this bid.</w:t>
            </w:r>
          </w:p>
        </w:tc>
        <w:tc>
          <w:tcPr>
            <w:tcW w:w="3260" w:type="dxa"/>
          </w:tcPr>
          <w:p w14:paraId="3EDAD655" w14:textId="498DD507" w:rsidR="004F798C" w:rsidRPr="004F798C" w:rsidRDefault="004F798C" w:rsidP="004F798C">
            <w:pPr>
              <w:spacing w:line="264" w:lineRule="auto"/>
              <w:rPr>
                <w:rFonts w:asciiTheme="majorHAnsi" w:hAnsiTheme="majorHAnsi" w:cstheme="majorHAnsi"/>
                <w:lang w:val="en-GB"/>
              </w:rPr>
            </w:pPr>
            <w:r w:rsidRPr="004F798C">
              <w:rPr>
                <w:rFonts w:asciiTheme="majorHAnsi" w:hAnsiTheme="majorHAnsi" w:cstheme="majorHAnsi"/>
                <w:lang w:val="en-GB"/>
              </w:rPr>
              <w:t xml:space="preserve">Provide to ANNEX A, reference details and </w:t>
            </w:r>
            <w:r w:rsidR="005377DC">
              <w:rPr>
                <w:rFonts w:asciiTheme="majorHAnsi" w:hAnsiTheme="majorHAnsi" w:cstheme="majorHAnsi"/>
                <w:lang w:val="en-GB"/>
              </w:rPr>
              <w:t xml:space="preserve">/or </w:t>
            </w:r>
            <w:r w:rsidRPr="004F798C">
              <w:rPr>
                <w:rFonts w:asciiTheme="majorHAnsi" w:hAnsiTheme="majorHAnsi" w:cstheme="majorHAnsi"/>
                <w:lang w:val="en-GB"/>
              </w:rPr>
              <w:t>reference letters from two (2) customers to whom the installation</w:t>
            </w:r>
            <w:r>
              <w:rPr>
                <w:rFonts w:asciiTheme="majorHAnsi" w:hAnsiTheme="majorHAnsi" w:cstheme="majorHAnsi"/>
                <w:lang w:val="en-GB"/>
              </w:rPr>
              <w:t>/d</w:t>
            </w:r>
            <w:r w:rsidRPr="004F798C">
              <w:rPr>
                <w:rFonts w:asciiTheme="majorHAnsi" w:hAnsiTheme="majorHAnsi" w:cstheme="majorHAnsi"/>
                <w:lang w:val="en-GB"/>
              </w:rPr>
              <w:t>eploy</w:t>
            </w:r>
            <w:r>
              <w:rPr>
                <w:rFonts w:asciiTheme="majorHAnsi" w:hAnsiTheme="majorHAnsi" w:cstheme="majorHAnsi"/>
                <w:lang w:val="en-GB"/>
              </w:rPr>
              <w:t xml:space="preserve">ment of </w:t>
            </w:r>
            <w:r w:rsidRPr="004F798C">
              <w:rPr>
                <w:rFonts w:asciiTheme="majorHAnsi" w:hAnsiTheme="majorHAnsi" w:cstheme="majorHAnsi"/>
                <w:lang w:val="en-GB"/>
              </w:rPr>
              <w:t>the    INET</w:t>
            </w:r>
            <w:r w:rsidR="00BC783D">
              <w:rPr>
                <w:rFonts w:asciiTheme="majorHAnsi" w:hAnsiTheme="majorHAnsi" w:cstheme="majorHAnsi"/>
                <w:lang w:val="en-GB"/>
              </w:rPr>
              <w:t>/</w:t>
            </w:r>
            <w:r w:rsidRPr="004F798C">
              <w:rPr>
                <w:rFonts w:asciiTheme="majorHAnsi" w:hAnsiTheme="majorHAnsi" w:cstheme="majorHAnsi"/>
                <w:lang w:val="en-GB"/>
              </w:rPr>
              <w:t>WINET Emulator Software Licenses with maintenance and support was delivered in the</w:t>
            </w:r>
            <w:r>
              <w:rPr>
                <w:rFonts w:asciiTheme="majorHAnsi" w:hAnsiTheme="majorHAnsi" w:cstheme="majorHAnsi"/>
                <w:lang w:val="en-GB"/>
              </w:rPr>
              <w:t xml:space="preserve"> last three years </w:t>
            </w:r>
            <w:r w:rsidRPr="004F798C">
              <w:rPr>
                <w:rFonts w:asciiTheme="majorHAnsi" w:hAnsiTheme="majorHAnsi" w:cstheme="majorHAnsi"/>
                <w:lang w:val="en-GB"/>
              </w:rPr>
              <w:t>from the publication date of this bid.</w:t>
            </w:r>
          </w:p>
          <w:p w14:paraId="6C5D5BE9" w14:textId="77777777" w:rsidR="004F798C" w:rsidRPr="004F798C" w:rsidRDefault="004F798C" w:rsidP="004F798C">
            <w:pPr>
              <w:spacing w:line="264" w:lineRule="auto"/>
              <w:jc w:val="left"/>
              <w:rPr>
                <w:rFonts w:asciiTheme="majorHAnsi" w:hAnsiTheme="majorHAnsi" w:cstheme="majorHAnsi"/>
                <w:lang w:val="en-GB"/>
              </w:rPr>
            </w:pPr>
          </w:p>
          <w:p w14:paraId="549BDC19" w14:textId="77777777" w:rsidR="004F798C" w:rsidRPr="00BC783D" w:rsidRDefault="004F798C" w:rsidP="004F798C">
            <w:pPr>
              <w:spacing w:line="264" w:lineRule="auto"/>
              <w:jc w:val="left"/>
              <w:rPr>
                <w:rFonts w:asciiTheme="majorHAnsi" w:hAnsiTheme="majorHAnsi" w:cstheme="majorHAnsi"/>
                <w:b/>
                <w:bCs/>
                <w:lang w:val="en-GB"/>
              </w:rPr>
            </w:pPr>
            <w:r w:rsidRPr="00BC783D">
              <w:rPr>
                <w:rFonts w:asciiTheme="majorHAnsi" w:hAnsiTheme="majorHAnsi" w:cstheme="majorHAnsi"/>
                <w:b/>
                <w:bCs/>
                <w:lang w:val="en-GB"/>
              </w:rPr>
              <w:t xml:space="preserve">NOTE (1): </w:t>
            </w:r>
          </w:p>
          <w:p w14:paraId="7A579EFE" w14:textId="5E403B8A" w:rsidR="004F798C" w:rsidRPr="004F798C" w:rsidRDefault="004F798C" w:rsidP="0027716C">
            <w:pPr>
              <w:spacing w:line="264" w:lineRule="auto"/>
              <w:rPr>
                <w:rFonts w:asciiTheme="majorHAnsi" w:hAnsiTheme="majorHAnsi" w:cstheme="majorHAnsi"/>
                <w:lang w:val="en-GB"/>
              </w:rPr>
            </w:pPr>
            <w:r w:rsidRPr="004F798C">
              <w:rPr>
                <w:rFonts w:asciiTheme="majorHAnsi" w:hAnsiTheme="majorHAnsi" w:cstheme="majorHAnsi"/>
                <w:lang w:val="en-GB"/>
              </w:rPr>
              <w:t xml:space="preserve">The Bidder must provide all the following information when completing Table </w:t>
            </w:r>
            <w:r w:rsidR="00FB57B0">
              <w:rPr>
                <w:rFonts w:asciiTheme="majorHAnsi" w:hAnsiTheme="majorHAnsi" w:cstheme="majorHAnsi"/>
                <w:lang w:val="en-GB"/>
              </w:rPr>
              <w:t>6</w:t>
            </w:r>
            <w:r w:rsidRPr="004F798C">
              <w:rPr>
                <w:rFonts w:asciiTheme="majorHAnsi" w:hAnsiTheme="majorHAnsi" w:cstheme="majorHAnsi"/>
                <w:lang w:val="en-GB"/>
              </w:rPr>
              <w:t>:</w:t>
            </w:r>
          </w:p>
          <w:p w14:paraId="0E7B7667" w14:textId="77777777" w:rsidR="004F798C" w:rsidRPr="00BC783D" w:rsidRDefault="004F798C" w:rsidP="00BC783D">
            <w:pPr>
              <w:pStyle w:val="ListParagraph"/>
              <w:numPr>
                <w:ilvl w:val="0"/>
                <w:numId w:val="50"/>
              </w:numPr>
              <w:spacing w:line="264" w:lineRule="auto"/>
              <w:rPr>
                <w:rFonts w:asciiTheme="majorHAnsi" w:hAnsiTheme="majorHAnsi" w:cstheme="majorHAnsi"/>
                <w:lang w:val="en-GB"/>
              </w:rPr>
            </w:pPr>
            <w:r w:rsidRPr="00BC783D">
              <w:rPr>
                <w:rFonts w:asciiTheme="majorHAnsi" w:hAnsiTheme="majorHAnsi" w:cstheme="majorHAnsi"/>
                <w:lang w:val="en-GB"/>
              </w:rPr>
              <w:t>Company name; and</w:t>
            </w:r>
          </w:p>
          <w:p w14:paraId="317A1846" w14:textId="77777777" w:rsidR="004F798C" w:rsidRPr="00BC783D" w:rsidRDefault="004F798C" w:rsidP="00BC783D">
            <w:pPr>
              <w:pStyle w:val="ListParagraph"/>
              <w:numPr>
                <w:ilvl w:val="0"/>
                <w:numId w:val="50"/>
              </w:numPr>
              <w:spacing w:line="264" w:lineRule="auto"/>
              <w:rPr>
                <w:rFonts w:asciiTheme="majorHAnsi" w:hAnsiTheme="majorHAnsi" w:cstheme="majorHAnsi"/>
                <w:lang w:val="en-GB"/>
              </w:rPr>
            </w:pPr>
            <w:r w:rsidRPr="00BC783D">
              <w:rPr>
                <w:rFonts w:asciiTheme="majorHAnsi" w:hAnsiTheme="majorHAnsi" w:cstheme="majorHAnsi"/>
                <w:lang w:val="en-GB"/>
              </w:rPr>
              <w:t>Contact person, telephone and/or e-mail address; and</w:t>
            </w:r>
          </w:p>
          <w:p w14:paraId="3401FA84" w14:textId="77777777" w:rsidR="004F798C" w:rsidRPr="00BC783D" w:rsidRDefault="004F798C" w:rsidP="00BC783D">
            <w:pPr>
              <w:pStyle w:val="ListParagraph"/>
              <w:numPr>
                <w:ilvl w:val="0"/>
                <w:numId w:val="50"/>
              </w:numPr>
              <w:spacing w:line="264" w:lineRule="auto"/>
              <w:rPr>
                <w:rFonts w:asciiTheme="majorHAnsi" w:hAnsiTheme="majorHAnsi" w:cstheme="majorHAnsi"/>
                <w:lang w:val="en-GB"/>
              </w:rPr>
            </w:pPr>
            <w:r w:rsidRPr="00BC783D">
              <w:rPr>
                <w:rFonts w:asciiTheme="majorHAnsi" w:hAnsiTheme="majorHAnsi" w:cstheme="majorHAnsi"/>
                <w:lang w:val="en-GB"/>
              </w:rPr>
              <w:t>Project scope of Work; and</w:t>
            </w:r>
          </w:p>
          <w:p w14:paraId="4AF45F90" w14:textId="77777777" w:rsidR="004F798C" w:rsidRPr="00BC783D" w:rsidRDefault="004F798C" w:rsidP="00BC783D">
            <w:pPr>
              <w:pStyle w:val="ListParagraph"/>
              <w:numPr>
                <w:ilvl w:val="0"/>
                <w:numId w:val="50"/>
              </w:numPr>
              <w:spacing w:line="264" w:lineRule="auto"/>
              <w:rPr>
                <w:rFonts w:asciiTheme="majorHAnsi" w:hAnsiTheme="majorHAnsi" w:cstheme="majorHAnsi"/>
                <w:lang w:val="en-GB"/>
              </w:rPr>
            </w:pPr>
            <w:r w:rsidRPr="00BC783D">
              <w:rPr>
                <w:rFonts w:asciiTheme="majorHAnsi" w:hAnsiTheme="majorHAnsi" w:cstheme="majorHAnsi"/>
                <w:lang w:val="en-GB"/>
              </w:rPr>
              <w:t xml:space="preserve">Project start and End date. </w:t>
            </w:r>
          </w:p>
          <w:p w14:paraId="1C02E757" w14:textId="77777777" w:rsidR="004F798C" w:rsidRPr="004F798C" w:rsidRDefault="004F798C" w:rsidP="0027716C">
            <w:pPr>
              <w:spacing w:line="264" w:lineRule="auto"/>
              <w:rPr>
                <w:rFonts w:asciiTheme="majorHAnsi" w:hAnsiTheme="majorHAnsi" w:cstheme="majorHAnsi"/>
                <w:lang w:val="en-GB"/>
              </w:rPr>
            </w:pPr>
          </w:p>
          <w:p w14:paraId="3671A7C8" w14:textId="77777777" w:rsidR="004F798C" w:rsidRPr="004F798C" w:rsidRDefault="004F798C" w:rsidP="0027716C">
            <w:pPr>
              <w:spacing w:line="264" w:lineRule="auto"/>
              <w:rPr>
                <w:rFonts w:asciiTheme="majorHAnsi" w:hAnsiTheme="majorHAnsi" w:cstheme="majorHAnsi"/>
                <w:b/>
                <w:bCs/>
                <w:lang w:val="en-GB"/>
              </w:rPr>
            </w:pPr>
            <w:r w:rsidRPr="004F798C">
              <w:rPr>
                <w:rFonts w:asciiTheme="majorHAnsi" w:hAnsiTheme="majorHAnsi" w:cstheme="majorHAnsi"/>
                <w:b/>
                <w:bCs/>
                <w:lang w:val="en-GB"/>
              </w:rPr>
              <w:t xml:space="preserve">NOTE (2): </w:t>
            </w:r>
          </w:p>
          <w:p w14:paraId="413E7FD1" w14:textId="77777777" w:rsidR="004F798C" w:rsidRPr="004F798C" w:rsidRDefault="004F798C" w:rsidP="0027716C">
            <w:pPr>
              <w:spacing w:line="264" w:lineRule="auto"/>
              <w:rPr>
                <w:rFonts w:asciiTheme="majorHAnsi" w:hAnsiTheme="majorHAnsi" w:cstheme="majorHAnsi"/>
                <w:lang w:val="en-GB"/>
              </w:rPr>
            </w:pPr>
            <w:r w:rsidRPr="004F798C">
              <w:rPr>
                <w:rFonts w:asciiTheme="majorHAnsi" w:hAnsiTheme="majorHAnsi" w:cstheme="majorHAnsi"/>
                <w:lang w:val="en-GB"/>
              </w:rPr>
              <w:t xml:space="preserve">The reference letter/s should be on the referees’ company letterhead and include </w:t>
            </w:r>
            <w:proofErr w:type="gramStart"/>
            <w:r w:rsidRPr="004F798C">
              <w:rPr>
                <w:rFonts w:asciiTheme="majorHAnsi" w:hAnsiTheme="majorHAnsi" w:cstheme="majorHAnsi"/>
                <w:lang w:val="en-GB"/>
              </w:rPr>
              <w:t>all of</w:t>
            </w:r>
            <w:proofErr w:type="gramEnd"/>
            <w:r w:rsidRPr="004F798C">
              <w:rPr>
                <w:rFonts w:asciiTheme="majorHAnsi" w:hAnsiTheme="majorHAnsi" w:cstheme="majorHAnsi"/>
                <w:lang w:val="en-GB"/>
              </w:rPr>
              <w:t xml:space="preserve"> the following information:</w:t>
            </w:r>
          </w:p>
          <w:p w14:paraId="15BA5ECD" w14:textId="77777777" w:rsidR="004F798C" w:rsidRPr="00BC783D" w:rsidRDefault="004F798C" w:rsidP="00BC783D">
            <w:pPr>
              <w:pStyle w:val="ListParagraph"/>
              <w:numPr>
                <w:ilvl w:val="0"/>
                <w:numId w:val="51"/>
              </w:numPr>
              <w:spacing w:line="264" w:lineRule="auto"/>
              <w:rPr>
                <w:rFonts w:asciiTheme="majorHAnsi" w:hAnsiTheme="majorHAnsi" w:cstheme="majorHAnsi"/>
                <w:lang w:val="en-GB"/>
              </w:rPr>
            </w:pPr>
            <w:r w:rsidRPr="00BC783D">
              <w:rPr>
                <w:rFonts w:asciiTheme="majorHAnsi" w:hAnsiTheme="majorHAnsi" w:cstheme="majorHAnsi"/>
                <w:lang w:val="en-GB"/>
              </w:rPr>
              <w:t>Company Name; and</w:t>
            </w:r>
          </w:p>
          <w:p w14:paraId="29D3AB33" w14:textId="77777777" w:rsidR="004F798C" w:rsidRPr="00BC783D" w:rsidRDefault="004F798C" w:rsidP="00BC783D">
            <w:pPr>
              <w:pStyle w:val="ListParagraph"/>
              <w:numPr>
                <w:ilvl w:val="0"/>
                <w:numId w:val="51"/>
              </w:numPr>
              <w:spacing w:line="264" w:lineRule="auto"/>
              <w:rPr>
                <w:rFonts w:asciiTheme="majorHAnsi" w:hAnsiTheme="majorHAnsi" w:cstheme="majorHAnsi"/>
                <w:lang w:val="en-GB"/>
              </w:rPr>
            </w:pPr>
            <w:r w:rsidRPr="00BC783D">
              <w:rPr>
                <w:rFonts w:asciiTheme="majorHAnsi" w:hAnsiTheme="majorHAnsi" w:cstheme="majorHAnsi"/>
                <w:lang w:val="en-GB"/>
              </w:rPr>
              <w:t>Contact person, telephone and/or e-mail address; and</w:t>
            </w:r>
          </w:p>
          <w:p w14:paraId="385B9D5E" w14:textId="77777777" w:rsidR="004F798C" w:rsidRPr="00BC783D" w:rsidRDefault="004F798C" w:rsidP="00BC783D">
            <w:pPr>
              <w:pStyle w:val="ListParagraph"/>
              <w:numPr>
                <w:ilvl w:val="0"/>
                <w:numId w:val="51"/>
              </w:numPr>
              <w:spacing w:line="264" w:lineRule="auto"/>
              <w:rPr>
                <w:rFonts w:asciiTheme="majorHAnsi" w:hAnsiTheme="majorHAnsi" w:cstheme="majorHAnsi"/>
                <w:lang w:val="en-GB"/>
              </w:rPr>
            </w:pPr>
            <w:r w:rsidRPr="00BC783D">
              <w:rPr>
                <w:rFonts w:asciiTheme="majorHAnsi" w:hAnsiTheme="majorHAnsi" w:cstheme="majorHAnsi"/>
                <w:lang w:val="en-GB"/>
              </w:rPr>
              <w:t>Project scope of Work; and</w:t>
            </w:r>
          </w:p>
          <w:p w14:paraId="2DB0F0D2" w14:textId="77777777" w:rsidR="004F798C" w:rsidRPr="00BC783D" w:rsidRDefault="004F798C" w:rsidP="00BC783D">
            <w:pPr>
              <w:pStyle w:val="ListParagraph"/>
              <w:numPr>
                <w:ilvl w:val="0"/>
                <w:numId w:val="51"/>
              </w:numPr>
              <w:spacing w:line="264" w:lineRule="auto"/>
              <w:rPr>
                <w:rFonts w:asciiTheme="majorHAnsi" w:hAnsiTheme="majorHAnsi" w:cstheme="majorHAnsi"/>
                <w:lang w:val="en-GB"/>
              </w:rPr>
            </w:pPr>
            <w:r w:rsidRPr="00BC783D">
              <w:rPr>
                <w:rFonts w:asciiTheme="majorHAnsi" w:hAnsiTheme="majorHAnsi" w:cstheme="majorHAnsi"/>
                <w:lang w:val="en-GB"/>
              </w:rPr>
              <w:t xml:space="preserve">Project start and End date. </w:t>
            </w:r>
          </w:p>
          <w:p w14:paraId="781381AD" w14:textId="77777777" w:rsidR="004F798C" w:rsidRPr="004F798C" w:rsidRDefault="004F798C" w:rsidP="0027716C">
            <w:pPr>
              <w:spacing w:line="264" w:lineRule="auto"/>
              <w:rPr>
                <w:rFonts w:asciiTheme="majorHAnsi" w:hAnsiTheme="majorHAnsi" w:cstheme="majorHAnsi"/>
                <w:lang w:val="en-GB"/>
              </w:rPr>
            </w:pPr>
          </w:p>
          <w:p w14:paraId="1F62BE70" w14:textId="77777777" w:rsidR="004F798C" w:rsidRPr="004F798C" w:rsidRDefault="004F798C" w:rsidP="0027716C">
            <w:pPr>
              <w:spacing w:line="264" w:lineRule="auto"/>
              <w:rPr>
                <w:rFonts w:asciiTheme="majorHAnsi" w:hAnsiTheme="majorHAnsi" w:cstheme="majorHAnsi"/>
                <w:b/>
                <w:bCs/>
                <w:lang w:val="en-GB"/>
              </w:rPr>
            </w:pPr>
            <w:r w:rsidRPr="004F798C">
              <w:rPr>
                <w:rFonts w:asciiTheme="majorHAnsi" w:hAnsiTheme="majorHAnsi" w:cstheme="majorHAnsi"/>
                <w:b/>
                <w:bCs/>
                <w:lang w:val="en-GB"/>
              </w:rPr>
              <w:t xml:space="preserve">NOTE (3): </w:t>
            </w:r>
          </w:p>
          <w:p w14:paraId="2A638D93" w14:textId="5CEB0E1E" w:rsidR="005570A5" w:rsidRDefault="004F798C" w:rsidP="0027716C">
            <w:pPr>
              <w:spacing w:line="264" w:lineRule="auto"/>
              <w:rPr>
                <w:lang w:val="en-GB"/>
              </w:rPr>
            </w:pPr>
            <w:r w:rsidRPr="004F798C">
              <w:rPr>
                <w:rFonts w:asciiTheme="majorHAnsi" w:hAnsiTheme="majorHAnsi" w:cstheme="majorHAnsi"/>
                <w:lang w:val="en-GB"/>
              </w:rPr>
              <w:t xml:space="preserve">Failure to complete Table </w:t>
            </w:r>
            <w:r w:rsidR="00FB57B0">
              <w:rPr>
                <w:rFonts w:asciiTheme="majorHAnsi" w:hAnsiTheme="majorHAnsi" w:cstheme="majorHAnsi"/>
                <w:lang w:val="en-GB"/>
              </w:rPr>
              <w:t>6</w:t>
            </w:r>
            <w:r w:rsidRPr="004F798C">
              <w:rPr>
                <w:rFonts w:asciiTheme="majorHAnsi" w:hAnsiTheme="majorHAnsi" w:cstheme="majorHAnsi"/>
                <w:lang w:val="en-GB"/>
              </w:rPr>
              <w:t xml:space="preserve"> fully and</w:t>
            </w:r>
            <w:r w:rsidR="005377DC">
              <w:rPr>
                <w:rFonts w:asciiTheme="majorHAnsi" w:hAnsiTheme="majorHAnsi" w:cstheme="majorHAnsi"/>
                <w:lang w:val="en-GB"/>
              </w:rPr>
              <w:t>/or</w:t>
            </w:r>
            <w:r w:rsidRPr="004F798C">
              <w:rPr>
                <w:rFonts w:asciiTheme="majorHAnsi" w:hAnsiTheme="majorHAnsi" w:cstheme="majorHAnsi"/>
                <w:lang w:val="en-GB"/>
              </w:rPr>
              <w:t xml:space="preserve"> to submit reference letters as indicated above will result in disqualification.</w:t>
            </w:r>
          </w:p>
        </w:tc>
        <w:tc>
          <w:tcPr>
            <w:tcW w:w="3249" w:type="dxa"/>
          </w:tcPr>
          <w:p w14:paraId="483B0B55" w14:textId="7523E30D" w:rsidR="005570A5" w:rsidRDefault="005570A5" w:rsidP="005570A5">
            <w:pPr>
              <w:jc w:val="left"/>
              <w:rPr>
                <w:lang w:val="en-GB"/>
              </w:rPr>
            </w:pPr>
            <w:r w:rsidRPr="00293093">
              <w:rPr>
                <w:rFonts w:cs="Calibri"/>
              </w:rPr>
              <w:t>&lt;provide unique reference to locate substantiating evidence in the bid response –</w:t>
            </w:r>
            <w:r w:rsidRPr="00293093">
              <w:rPr>
                <w:rFonts w:cs="Calibri"/>
                <w:b/>
                <w:bCs/>
              </w:rPr>
              <w:t xml:space="preserve"> see Annex A, par 5.2, table </w:t>
            </w:r>
            <w:r w:rsidR="00FB57B0">
              <w:rPr>
                <w:rFonts w:cs="Calibri"/>
                <w:b/>
                <w:bCs/>
              </w:rPr>
              <w:t>6</w:t>
            </w:r>
            <w:r w:rsidRPr="00293093">
              <w:rPr>
                <w:rFonts w:cs="Calibri"/>
              </w:rPr>
              <w:t>&gt;</w:t>
            </w:r>
          </w:p>
        </w:tc>
      </w:tr>
      <w:bookmarkEnd w:id="33"/>
      <w:tr w:rsidR="0027716C" w:rsidRPr="0021087C" w14:paraId="49911E2C" w14:textId="77777777" w:rsidTr="00D55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EEE5DCB" w14:textId="489B9666" w:rsidR="0027716C" w:rsidRPr="0017574E" w:rsidRDefault="0017574E" w:rsidP="00CD0BF5">
            <w:pPr>
              <w:jc w:val="left"/>
              <w:rPr>
                <w:rFonts w:asciiTheme="majorHAnsi" w:hAnsiTheme="majorHAnsi" w:cstheme="majorHAnsi"/>
                <w:color w:val="FF0000"/>
                <w:sz w:val="24"/>
                <w:szCs w:val="24"/>
              </w:rPr>
            </w:pPr>
            <w:r w:rsidRPr="0017574E">
              <w:rPr>
                <w:rFonts w:asciiTheme="majorHAnsi" w:hAnsiTheme="majorHAnsi" w:cstheme="majorHAnsi"/>
                <w:b/>
                <w:bCs/>
                <w:color w:val="1F497D" w:themeColor="text2"/>
                <w:sz w:val="24"/>
                <w:szCs w:val="24"/>
                <w:lang w:val="en-GB"/>
              </w:rPr>
              <w:t xml:space="preserve">3. </w:t>
            </w:r>
            <w:r w:rsidR="0027716C" w:rsidRPr="0017574E">
              <w:rPr>
                <w:rFonts w:asciiTheme="majorHAnsi" w:hAnsiTheme="majorHAnsi" w:cstheme="majorHAnsi"/>
                <w:b/>
                <w:bCs/>
                <w:color w:val="1F497D" w:themeColor="text2"/>
                <w:sz w:val="24"/>
                <w:szCs w:val="24"/>
                <w:lang w:val="en-GB"/>
              </w:rPr>
              <w:t>Special Condition of Contracts</w:t>
            </w:r>
          </w:p>
        </w:tc>
      </w:tr>
      <w:tr w:rsidR="0027716C" w:rsidRPr="0021087C" w14:paraId="6F27E9DE" w14:textId="77777777" w:rsidTr="00277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9"/>
        </w:trPr>
        <w:tc>
          <w:tcPr>
            <w:tcW w:w="311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F3F4756" w14:textId="77777777" w:rsidR="0027716C" w:rsidRPr="0021087C" w:rsidRDefault="0027716C" w:rsidP="00CD0BF5">
            <w:pPr>
              <w:rPr>
                <w:rFonts w:asciiTheme="majorHAnsi" w:hAnsiTheme="majorHAnsi" w:cstheme="majorHAnsi"/>
              </w:rPr>
            </w:pPr>
            <w:r w:rsidRPr="0021087C">
              <w:rPr>
                <w:rFonts w:asciiTheme="majorHAnsi" w:hAnsiTheme="majorHAnsi" w:cstheme="majorHAnsi"/>
              </w:rPr>
              <w:t>Bidder </w:t>
            </w:r>
            <w:r w:rsidRPr="0021087C">
              <w:rPr>
                <w:rFonts w:asciiTheme="majorHAnsi" w:hAnsiTheme="majorHAnsi" w:cstheme="majorHAnsi"/>
                <w:b/>
                <w:bCs/>
              </w:rPr>
              <w:t>must accept </w:t>
            </w:r>
            <w:r w:rsidRPr="0021087C">
              <w:rPr>
                <w:rFonts w:asciiTheme="majorHAnsi" w:hAnsiTheme="majorHAnsi" w:cstheme="majorHAnsi"/>
                <w:b/>
                <w:bCs/>
                <w:u w:val="single"/>
              </w:rPr>
              <w:t>ALL</w:t>
            </w:r>
            <w:r w:rsidRPr="0021087C">
              <w:rPr>
                <w:rFonts w:asciiTheme="majorHAnsi" w:hAnsiTheme="majorHAnsi" w:cstheme="majorHAnsi"/>
                <w:b/>
                <w:bCs/>
              </w:rPr>
              <w:t> </w:t>
            </w:r>
            <w:r w:rsidRPr="0021087C">
              <w:rPr>
                <w:rFonts w:asciiTheme="majorHAnsi" w:hAnsiTheme="majorHAnsi" w:cstheme="majorHAnsi"/>
              </w:rPr>
              <w:t>the Special Conditions of contract.</w:t>
            </w:r>
          </w:p>
        </w:tc>
        <w:tc>
          <w:tcPr>
            <w:tcW w:w="32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9A0A7C7" w14:textId="77777777" w:rsidR="0027716C" w:rsidRPr="0021087C" w:rsidRDefault="0027716C" w:rsidP="00CD0BF5">
            <w:pPr>
              <w:rPr>
                <w:rFonts w:asciiTheme="majorHAnsi" w:hAnsiTheme="majorHAnsi" w:cstheme="majorHAnsi"/>
              </w:rPr>
            </w:pPr>
            <w:bookmarkStart w:id="34" w:name="_Hlk212791468"/>
            <w:bookmarkStart w:id="35" w:name="_Hlk203634339"/>
            <w:r w:rsidRPr="0021087C">
              <w:rPr>
                <w:rFonts w:asciiTheme="majorHAnsi" w:hAnsiTheme="majorHAnsi" w:cstheme="majorHAnsi"/>
              </w:rPr>
              <w:t>The Bidder </w:t>
            </w:r>
            <w:r w:rsidRPr="0021087C">
              <w:rPr>
                <w:rFonts w:asciiTheme="majorHAnsi" w:hAnsiTheme="majorHAnsi" w:cstheme="majorHAnsi"/>
                <w:b/>
                <w:bCs/>
              </w:rPr>
              <w:t>must accept </w:t>
            </w:r>
            <w:r w:rsidRPr="0021087C">
              <w:rPr>
                <w:rFonts w:asciiTheme="majorHAnsi" w:hAnsiTheme="majorHAnsi" w:cstheme="majorHAnsi"/>
                <w:b/>
                <w:bCs/>
                <w:u w:val="single"/>
              </w:rPr>
              <w:t>ALL</w:t>
            </w:r>
            <w:r w:rsidRPr="0021087C">
              <w:rPr>
                <w:rFonts w:asciiTheme="majorHAnsi" w:hAnsiTheme="majorHAnsi" w:cstheme="majorHAnsi"/>
                <w:b/>
                <w:bCs/>
              </w:rPr>
              <w:t> </w:t>
            </w:r>
            <w:r w:rsidRPr="0021087C">
              <w:rPr>
                <w:rFonts w:asciiTheme="majorHAnsi" w:hAnsiTheme="majorHAnsi" w:cstheme="majorHAnsi"/>
              </w:rPr>
              <w:t>the Special Conditions of Contract by completing and signing the declaration of Acceptance in Declaration of compliance and acceptance under the Special Conditions </w:t>
            </w:r>
            <w:r w:rsidRPr="0021087C">
              <w:rPr>
                <w:rFonts w:asciiTheme="majorHAnsi" w:hAnsiTheme="majorHAnsi" w:cstheme="majorHAnsi"/>
                <w:b/>
                <w:bCs/>
              </w:rPr>
              <w:t>(Section 4.3.2)</w:t>
            </w:r>
            <w:r w:rsidRPr="0021087C">
              <w:rPr>
                <w:rFonts w:asciiTheme="majorHAnsi" w:hAnsiTheme="majorHAnsi" w:cstheme="majorHAnsi"/>
              </w:rPr>
              <w:t>.</w:t>
            </w:r>
          </w:p>
          <w:bookmarkEnd w:id="34"/>
          <w:p w14:paraId="43514899" w14:textId="77777777" w:rsidR="0027716C" w:rsidRDefault="0027716C" w:rsidP="00CD0BF5">
            <w:pPr>
              <w:rPr>
                <w:rFonts w:asciiTheme="majorHAnsi" w:hAnsiTheme="majorHAnsi" w:cstheme="majorHAnsi"/>
                <w:b/>
                <w:bCs/>
              </w:rPr>
            </w:pPr>
          </w:p>
          <w:p w14:paraId="205ADE1D" w14:textId="77777777" w:rsidR="0027716C" w:rsidRPr="001334D9" w:rsidRDefault="0027716C" w:rsidP="00CD0BF5">
            <w:pPr>
              <w:rPr>
                <w:rFonts w:asciiTheme="majorHAnsi" w:hAnsiTheme="majorHAnsi" w:cstheme="majorHAnsi"/>
              </w:rPr>
            </w:pPr>
            <w:r w:rsidRPr="001334D9">
              <w:rPr>
                <w:rFonts w:asciiTheme="majorHAnsi" w:hAnsiTheme="majorHAnsi" w:cstheme="majorHAnsi"/>
                <w:b/>
                <w:bCs/>
              </w:rPr>
              <w:t>N</w:t>
            </w:r>
            <w:r>
              <w:rPr>
                <w:rFonts w:asciiTheme="majorHAnsi" w:hAnsiTheme="majorHAnsi" w:cstheme="majorHAnsi"/>
                <w:b/>
                <w:bCs/>
              </w:rPr>
              <w:t>OTE</w:t>
            </w:r>
            <w:r w:rsidRPr="001334D9">
              <w:rPr>
                <w:rFonts w:asciiTheme="majorHAnsi" w:hAnsiTheme="majorHAnsi" w:cstheme="majorHAnsi"/>
                <w:b/>
                <w:bCs/>
              </w:rPr>
              <w:t xml:space="preserve"> (1):</w:t>
            </w:r>
          </w:p>
          <w:p w14:paraId="5907D1C7" w14:textId="77777777" w:rsidR="0027716C" w:rsidRPr="0021087C" w:rsidRDefault="0027716C" w:rsidP="00CD0BF5">
            <w:pPr>
              <w:rPr>
                <w:rFonts w:asciiTheme="majorHAnsi" w:hAnsiTheme="majorHAnsi" w:cstheme="majorHAnsi"/>
              </w:rPr>
            </w:pPr>
            <w:r w:rsidRPr="001334D9">
              <w:rPr>
                <w:rFonts w:asciiTheme="majorHAnsi" w:hAnsiTheme="majorHAnsi" w:cstheme="majorHAnsi"/>
              </w:rPr>
              <w:lastRenderedPageBreak/>
              <w:t>Failure to </w:t>
            </w:r>
            <w:r w:rsidRPr="001334D9">
              <w:rPr>
                <w:rFonts w:asciiTheme="majorHAnsi" w:hAnsiTheme="majorHAnsi" w:cstheme="majorHAnsi"/>
                <w:b/>
                <w:bCs/>
              </w:rPr>
              <w:t>accept </w:t>
            </w:r>
            <w:r w:rsidRPr="001334D9">
              <w:rPr>
                <w:rFonts w:asciiTheme="majorHAnsi" w:hAnsiTheme="majorHAnsi" w:cstheme="majorHAnsi"/>
                <w:b/>
                <w:bCs/>
                <w:u w:val="single"/>
              </w:rPr>
              <w:t>ALL</w:t>
            </w:r>
            <w:r w:rsidRPr="001334D9">
              <w:rPr>
                <w:rFonts w:asciiTheme="majorHAnsi" w:hAnsiTheme="majorHAnsi" w:cstheme="majorHAnsi"/>
                <w:b/>
                <w:bCs/>
              </w:rPr>
              <w:t> </w:t>
            </w:r>
            <w:r w:rsidRPr="001334D9">
              <w:rPr>
                <w:rFonts w:asciiTheme="majorHAnsi" w:hAnsiTheme="majorHAnsi" w:cstheme="majorHAnsi"/>
              </w:rPr>
              <w:t>the Special Conditions of Contract will result in disqualification.</w:t>
            </w:r>
            <w:bookmarkEnd w:id="35"/>
          </w:p>
        </w:tc>
        <w:tc>
          <w:tcPr>
            <w:tcW w:w="326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C07B7EE" w14:textId="1C065FDE" w:rsidR="0027716C" w:rsidRPr="0021087C" w:rsidRDefault="0027716C" w:rsidP="00CD0BF5">
            <w:pPr>
              <w:rPr>
                <w:rFonts w:asciiTheme="majorHAnsi" w:hAnsiTheme="majorHAnsi" w:cstheme="majorHAnsi"/>
              </w:rPr>
            </w:pPr>
            <w:r w:rsidRPr="0021087C">
              <w:rPr>
                <w:rFonts w:asciiTheme="majorHAnsi" w:hAnsiTheme="majorHAnsi" w:cstheme="majorHAnsi"/>
                <w:color w:val="FF0000"/>
              </w:rPr>
              <w:lastRenderedPageBreak/>
              <w:t>&lt;Provide unique reference to locate substantiating evidence in the bid response – see </w:t>
            </w:r>
            <w:r w:rsidRPr="0021087C">
              <w:rPr>
                <w:rFonts w:asciiTheme="majorHAnsi" w:hAnsiTheme="majorHAnsi" w:cstheme="majorHAnsi"/>
                <w:b/>
                <w:bCs/>
                <w:color w:val="FF0000"/>
              </w:rPr>
              <w:t>Annex A, section 5.</w:t>
            </w:r>
            <w:r w:rsidR="0017574E">
              <w:rPr>
                <w:rFonts w:asciiTheme="majorHAnsi" w:hAnsiTheme="majorHAnsi" w:cstheme="majorHAnsi"/>
                <w:b/>
                <w:bCs/>
                <w:color w:val="FF0000"/>
              </w:rPr>
              <w:t>3</w:t>
            </w:r>
            <w:r w:rsidRPr="0021087C">
              <w:rPr>
                <w:rFonts w:asciiTheme="majorHAnsi" w:hAnsiTheme="majorHAnsi" w:cstheme="majorHAnsi"/>
                <w:color w:val="FF0000"/>
              </w:rPr>
              <w:t> &gt;</w:t>
            </w:r>
          </w:p>
        </w:tc>
      </w:tr>
    </w:tbl>
    <w:p w14:paraId="610824FA" w14:textId="18DA8A56" w:rsidR="00AE3179" w:rsidRPr="00727416" w:rsidRDefault="00AE3179" w:rsidP="00961FAE"/>
    <w:p w14:paraId="068CA7CC" w14:textId="2E5A5C9C" w:rsidR="00942B4A" w:rsidRPr="00F459B5" w:rsidRDefault="00B402FF" w:rsidP="00D0325C">
      <w:pPr>
        <w:pStyle w:val="Heading2"/>
        <w:ind w:left="567"/>
        <w:rPr>
          <w:sz w:val="24"/>
          <w:szCs w:val="24"/>
        </w:rPr>
      </w:pPr>
      <w:bookmarkStart w:id="36" w:name="_Toc212792004"/>
      <w:r w:rsidRPr="00F459B5">
        <w:rPr>
          <w:sz w:val="24"/>
          <w:szCs w:val="24"/>
        </w:rPr>
        <w:t xml:space="preserve">Special Conditions of Contract Verification (Stage </w:t>
      </w:r>
      <w:r w:rsidR="00C91A31" w:rsidRPr="00F459B5">
        <w:rPr>
          <w:sz w:val="24"/>
          <w:szCs w:val="24"/>
        </w:rPr>
        <w:t>2</w:t>
      </w:r>
      <w:r w:rsidRPr="00F459B5">
        <w:rPr>
          <w:sz w:val="24"/>
          <w:szCs w:val="24"/>
        </w:rPr>
        <w:t>)</w:t>
      </w:r>
      <w:bookmarkEnd w:id="36"/>
    </w:p>
    <w:p w14:paraId="5D0DF2E8" w14:textId="77777777" w:rsidR="00B402FF" w:rsidRPr="00B402FF" w:rsidRDefault="00B402FF" w:rsidP="002C3609">
      <w:pPr>
        <w:pStyle w:val="ListParagraph"/>
        <w:numPr>
          <w:ilvl w:val="0"/>
          <w:numId w:val="30"/>
        </w:numPr>
        <w:ind w:left="993" w:hanging="426"/>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B2C9827" w14:textId="77777777" w:rsidR="00B402FF" w:rsidRDefault="00B402FF" w:rsidP="002C3609">
      <w:pPr>
        <w:pStyle w:val="ListParagraph"/>
        <w:numPr>
          <w:ilvl w:val="0"/>
          <w:numId w:val="30"/>
        </w:numPr>
        <w:ind w:left="993" w:hanging="426"/>
        <w:rPr>
          <w:lang w:val="en-GB"/>
        </w:rPr>
      </w:pPr>
      <w:r w:rsidRPr="00B402FF">
        <w:rPr>
          <w:lang w:val="en-GB"/>
        </w:rPr>
        <w:t>SITA reserves the right to</w:t>
      </w:r>
      <w:r>
        <w:rPr>
          <w:lang w:val="en-GB"/>
        </w:rPr>
        <w:t>:</w:t>
      </w:r>
    </w:p>
    <w:p w14:paraId="78D60341" w14:textId="77777777" w:rsidR="00B402FF" w:rsidRPr="00B402FF" w:rsidRDefault="00B402FF" w:rsidP="002C3609">
      <w:pPr>
        <w:pStyle w:val="ListParagraph"/>
        <w:numPr>
          <w:ilvl w:val="1"/>
          <w:numId w:val="30"/>
        </w:numPr>
        <w:ind w:left="1418" w:hanging="425"/>
        <w:rPr>
          <w:lang w:val="en-GB"/>
        </w:rPr>
      </w:pPr>
      <w:r w:rsidRPr="00B402FF">
        <w:rPr>
          <w:lang w:val="en-GB"/>
        </w:rPr>
        <w:t>Negotiate the conditions</w:t>
      </w:r>
      <w:r>
        <w:rPr>
          <w:lang w:val="en-GB"/>
        </w:rPr>
        <w:t>;</w:t>
      </w:r>
      <w:r w:rsidRPr="00B402FF">
        <w:rPr>
          <w:lang w:val="en-GB"/>
        </w:rPr>
        <w:t xml:space="preserve"> or</w:t>
      </w:r>
    </w:p>
    <w:p w14:paraId="4547D4D1" w14:textId="77777777" w:rsidR="00B402FF" w:rsidRDefault="00B402FF" w:rsidP="002C3609">
      <w:pPr>
        <w:pStyle w:val="ListParagraph"/>
        <w:numPr>
          <w:ilvl w:val="1"/>
          <w:numId w:val="30"/>
        </w:numPr>
        <w:ind w:left="1418" w:hanging="425"/>
        <w:rPr>
          <w:lang w:val="en-GB"/>
        </w:rPr>
      </w:pPr>
      <w:r w:rsidRPr="00B402FF">
        <w:rPr>
          <w:lang w:val="en-GB"/>
        </w:rPr>
        <w:t>Automatically disqualify a bidder for not accepting these conditions</w:t>
      </w:r>
      <w:r w:rsidR="00B222ED">
        <w:rPr>
          <w:lang w:val="en-GB"/>
        </w:rPr>
        <w:t>; or</w:t>
      </w:r>
    </w:p>
    <w:p w14:paraId="204AD1D8" w14:textId="77777777" w:rsidR="00B402FF" w:rsidRDefault="00B222ED" w:rsidP="002C3609">
      <w:pPr>
        <w:pStyle w:val="ListParagraph"/>
        <w:numPr>
          <w:ilvl w:val="0"/>
          <w:numId w:val="30"/>
        </w:numPr>
        <w:ind w:left="993" w:hanging="426"/>
        <w:rPr>
          <w:lang w:val="en-GB"/>
        </w:rPr>
      </w:pPr>
      <w:proofErr w:type="gramStart"/>
      <w:r w:rsidRPr="00B222ED">
        <w:rPr>
          <w:lang w:val="en-GB"/>
        </w:rPr>
        <w:t>In the event that</w:t>
      </w:r>
      <w:proofErr w:type="gramEnd"/>
      <w:r w:rsidRPr="00B222ED">
        <w:rPr>
          <w:lang w:val="en-GB"/>
        </w:rPr>
        <w:t xml:space="preserve">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716115B8" w14:textId="77777777" w:rsidR="00B402FF" w:rsidRDefault="00B402FF" w:rsidP="00AF05FE"/>
    <w:p w14:paraId="348B3446" w14:textId="77777777" w:rsidR="00B222ED" w:rsidRPr="00727416" w:rsidRDefault="00B222ED" w:rsidP="00D0325C">
      <w:pPr>
        <w:pStyle w:val="Heading3"/>
        <w:ind w:hanging="747"/>
      </w:pPr>
      <w:bookmarkStart w:id="37" w:name="_Toc212792005"/>
      <w:r w:rsidRPr="00727416">
        <w:t>Special Conditions of Contract</w:t>
      </w:r>
      <w:bookmarkEnd w:id="37"/>
    </w:p>
    <w:p w14:paraId="5B6121CB" w14:textId="77777777" w:rsidR="00B222ED" w:rsidRPr="00727416" w:rsidRDefault="00B222ED" w:rsidP="00D0325C">
      <w:pPr>
        <w:pStyle w:val="Heading4"/>
        <w:ind w:hanging="1135"/>
      </w:pPr>
      <w:r w:rsidRPr="00727416">
        <w:t>Contracting Conditions</w:t>
      </w:r>
    </w:p>
    <w:p w14:paraId="385A43B6" w14:textId="77777777" w:rsidR="00B222ED" w:rsidRPr="00727416" w:rsidRDefault="00B222ED" w:rsidP="002C3609">
      <w:pPr>
        <w:pStyle w:val="ListParagraph"/>
        <w:numPr>
          <w:ilvl w:val="0"/>
          <w:numId w:val="4"/>
        </w:numPr>
        <w:ind w:hanging="425"/>
        <w:rPr>
          <w:lang w:val="en-GB"/>
        </w:rPr>
      </w:pPr>
      <w:r w:rsidRPr="00727416">
        <w:rPr>
          <w:b/>
          <w:bCs/>
          <w:lang w:val="en-GB"/>
        </w:rPr>
        <w:t>Formal Contract</w:t>
      </w:r>
      <w:r w:rsidRPr="00727416">
        <w:rPr>
          <w:lang w:val="en-GB"/>
        </w:rPr>
        <w:t xml:space="preserve"> - The supplier must </w:t>
      </w:r>
      <w:proofErr w:type="gramStart"/>
      <w:r w:rsidRPr="00727416">
        <w:rPr>
          <w:lang w:val="en-GB"/>
        </w:rPr>
        <w:t>enter into</w:t>
      </w:r>
      <w:proofErr w:type="gramEnd"/>
      <w:r w:rsidRPr="00727416">
        <w:rPr>
          <w:lang w:val="en-GB"/>
        </w:rPr>
        <w:t xml:space="preserve"> a formal written contract (agreement) with SITA.</w:t>
      </w:r>
    </w:p>
    <w:p w14:paraId="79E46439" w14:textId="77777777" w:rsidR="00B222ED" w:rsidRPr="00727416" w:rsidRDefault="00B222ED" w:rsidP="002C3609">
      <w:pPr>
        <w:pStyle w:val="ListParagraph"/>
        <w:numPr>
          <w:ilvl w:val="0"/>
          <w:numId w:val="4"/>
        </w:numPr>
        <w:ind w:hanging="425"/>
        <w:rPr>
          <w:lang w:val="en-GB"/>
        </w:rPr>
      </w:pPr>
      <w:r w:rsidRPr="00727416">
        <w:rPr>
          <w:b/>
          <w:bCs/>
          <w:lang w:val="en-GB"/>
        </w:rPr>
        <w:t>Right to Audit</w:t>
      </w:r>
      <w:r w:rsidRPr="00727416">
        <w:rPr>
          <w:lang w:val="en-GB"/>
        </w:rPr>
        <w:t xml:space="preserve"> - SITA reserves the right, before </w:t>
      </w:r>
      <w:proofErr w:type="gramStart"/>
      <w:r w:rsidRPr="00727416">
        <w:rPr>
          <w:lang w:val="en-GB"/>
        </w:rPr>
        <w:t>entering into</w:t>
      </w:r>
      <w:proofErr w:type="gramEnd"/>
      <w:r w:rsidRPr="00727416">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9E5C702" w14:textId="77777777" w:rsidR="00B222ED" w:rsidRPr="00293093" w:rsidRDefault="00B222ED" w:rsidP="002C3609">
      <w:pPr>
        <w:pStyle w:val="Heading4"/>
        <w:ind w:hanging="1135"/>
        <w:rPr>
          <w:color w:val="1F497D" w:themeColor="text2"/>
        </w:rPr>
      </w:pPr>
      <w:r w:rsidRPr="00293093">
        <w:rPr>
          <w:color w:val="1F497D" w:themeColor="text2"/>
        </w:rPr>
        <w:t>Delivery Address</w:t>
      </w:r>
    </w:p>
    <w:p w14:paraId="0F106B93" w14:textId="77777777" w:rsidR="00B222ED" w:rsidRPr="007F2354" w:rsidRDefault="00B222ED" w:rsidP="002C3609">
      <w:pPr>
        <w:pStyle w:val="ListParagraph"/>
        <w:ind w:left="709"/>
      </w:pPr>
      <w:r w:rsidRPr="007F2354">
        <w:t>The supplier must deliver the required products or services at as indicated in Section 2.2, Delivery Address</w:t>
      </w:r>
    </w:p>
    <w:p w14:paraId="03FBA3B3" w14:textId="77777777" w:rsidR="00B222ED" w:rsidRPr="00727416" w:rsidRDefault="00B222ED" w:rsidP="002C3609">
      <w:pPr>
        <w:pStyle w:val="Heading4"/>
        <w:ind w:hanging="1135"/>
      </w:pPr>
      <w:r w:rsidRPr="00727416">
        <w:t>Services and Performance Metrics</w:t>
      </w:r>
    </w:p>
    <w:p w14:paraId="44EF6311" w14:textId="28A5699A" w:rsidR="00A64140" w:rsidRDefault="00A64140" w:rsidP="002C3609">
      <w:pPr>
        <w:pStyle w:val="ListParagraph"/>
        <w:numPr>
          <w:ilvl w:val="0"/>
          <w:numId w:val="6"/>
        </w:numPr>
        <w:ind w:hanging="425"/>
      </w:pPr>
      <w:r w:rsidRPr="00A64140">
        <w:t xml:space="preserve">The bidder is responsible to provide the following services as specified in the Service </w:t>
      </w:r>
      <w:r w:rsidRPr="00A64140">
        <w:tab/>
      </w:r>
      <w:r w:rsidRPr="00A64140">
        <w:tab/>
        <w:t>Breakdown Structure (SBS):</w:t>
      </w:r>
    </w:p>
    <w:p w14:paraId="2BBDB690" w14:textId="77777777" w:rsidR="0017574E" w:rsidRPr="00A64140" w:rsidRDefault="0017574E" w:rsidP="0017574E">
      <w:pPr>
        <w:pStyle w:val="ListParagraph"/>
        <w:ind w:left="1134"/>
      </w:pPr>
    </w:p>
    <w:tbl>
      <w:tblPr>
        <w:tblW w:w="4196"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3"/>
        <w:gridCol w:w="3690"/>
        <w:gridCol w:w="1422"/>
        <w:gridCol w:w="2124"/>
      </w:tblGrid>
      <w:tr w:rsidR="00A64140" w:rsidRPr="005B70BE" w14:paraId="386286BB" w14:textId="77777777" w:rsidTr="0017574E">
        <w:trPr>
          <w:tblHeader/>
        </w:trPr>
        <w:tc>
          <w:tcPr>
            <w:tcW w:w="527" w:type="pct"/>
            <w:shd w:val="clear" w:color="auto" w:fill="DBE5F1"/>
          </w:tcPr>
          <w:p w14:paraId="2EB86ACE" w14:textId="77777777" w:rsidR="00A64140" w:rsidRPr="005B70BE" w:rsidRDefault="00A64140" w:rsidP="00A15286">
            <w:pPr>
              <w:rPr>
                <w:b/>
                <w:szCs w:val="24"/>
              </w:rPr>
            </w:pPr>
            <w:r>
              <w:rPr>
                <w:rFonts w:asciiTheme="minorHAnsi" w:hAnsiTheme="minorHAnsi"/>
              </w:rPr>
              <w:t xml:space="preserve">                                             </w:t>
            </w:r>
            <w:r w:rsidRPr="005B70BE">
              <w:rPr>
                <w:b/>
                <w:szCs w:val="24"/>
              </w:rPr>
              <w:t>SBS</w:t>
            </w:r>
          </w:p>
        </w:tc>
        <w:tc>
          <w:tcPr>
            <w:tcW w:w="2281" w:type="pct"/>
            <w:shd w:val="clear" w:color="auto" w:fill="DBE5F1"/>
          </w:tcPr>
          <w:p w14:paraId="73E61C53" w14:textId="77777777" w:rsidR="00A64140" w:rsidRPr="005B70BE" w:rsidRDefault="00A64140" w:rsidP="00A15286">
            <w:pPr>
              <w:rPr>
                <w:b/>
                <w:szCs w:val="24"/>
              </w:rPr>
            </w:pPr>
            <w:r w:rsidRPr="005B70BE">
              <w:rPr>
                <w:b/>
                <w:szCs w:val="24"/>
              </w:rPr>
              <w:t>Service Element</w:t>
            </w:r>
          </w:p>
        </w:tc>
        <w:tc>
          <w:tcPr>
            <w:tcW w:w="879" w:type="pct"/>
            <w:shd w:val="clear" w:color="auto" w:fill="DBE5F1"/>
          </w:tcPr>
          <w:p w14:paraId="5DD9A4E5" w14:textId="77777777" w:rsidR="00A64140" w:rsidRPr="005B70BE" w:rsidRDefault="00A64140" w:rsidP="00A15286">
            <w:pPr>
              <w:rPr>
                <w:b/>
                <w:szCs w:val="24"/>
              </w:rPr>
            </w:pPr>
            <w:r w:rsidRPr="005B70BE">
              <w:rPr>
                <w:b/>
                <w:szCs w:val="24"/>
              </w:rPr>
              <w:t>Service Grade</w:t>
            </w:r>
          </w:p>
        </w:tc>
        <w:tc>
          <w:tcPr>
            <w:tcW w:w="1314" w:type="pct"/>
            <w:shd w:val="clear" w:color="auto" w:fill="DBE5F1"/>
          </w:tcPr>
          <w:p w14:paraId="0197D211" w14:textId="77777777" w:rsidR="00A64140" w:rsidRPr="005B70BE" w:rsidRDefault="00A64140" w:rsidP="00A15286">
            <w:pPr>
              <w:rPr>
                <w:b/>
                <w:szCs w:val="24"/>
              </w:rPr>
            </w:pPr>
            <w:r w:rsidRPr="005B70BE">
              <w:rPr>
                <w:b/>
                <w:szCs w:val="24"/>
              </w:rPr>
              <w:t>Service Level</w:t>
            </w:r>
          </w:p>
        </w:tc>
      </w:tr>
      <w:tr w:rsidR="00A64140" w:rsidRPr="005B70BE" w14:paraId="5535C648" w14:textId="77777777" w:rsidTr="0017574E">
        <w:tc>
          <w:tcPr>
            <w:tcW w:w="527" w:type="pct"/>
          </w:tcPr>
          <w:p w14:paraId="36D78263" w14:textId="77777777" w:rsidR="00A64140" w:rsidRPr="005B70BE" w:rsidRDefault="00A64140" w:rsidP="00401FF9">
            <w:pPr>
              <w:numPr>
                <w:ilvl w:val="0"/>
                <w:numId w:val="33"/>
              </w:numPr>
              <w:spacing w:line="240" w:lineRule="auto"/>
              <w:jc w:val="left"/>
            </w:pPr>
          </w:p>
        </w:tc>
        <w:tc>
          <w:tcPr>
            <w:tcW w:w="2281" w:type="pct"/>
          </w:tcPr>
          <w:p w14:paraId="04B1D5BA" w14:textId="77777777" w:rsidR="00A64140" w:rsidRPr="005B70BE" w:rsidRDefault="00A64140" w:rsidP="00A15286">
            <w:pPr>
              <w:jc w:val="left"/>
              <w:rPr>
                <w:szCs w:val="24"/>
              </w:rPr>
            </w:pPr>
            <w:r w:rsidRPr="005B70BE">
              <w:rPr>
                <w:szCs w:val="24"/>
              </w:rPr>
              <w:t>Software maintenance and support</w:t>
            </w:r>
          </w:p>
        </w:tc>
        <w:tc>
          <w:tcPr>
            <w:tcW w:w="879" w:type="pct"/>
          </w:tcPr>
          <w:p w14:paraId="3560F82B" w14:textId="77777777" w:rsidR="00A64140" w:rsidRPr="005B70BE" w:rsidRDefault="00A64140" w:rsidP="00A15286">
            <w:pPr>
              <w:rPr>
                <w:szCs w:val="24"/>
              </w:rPr>
            </w:pPr>
            <w:r w:rsidRPr="005B70BE">
              <w:rPr>
                <w:szCs w:val="24"/>
              </w:rPr>
              <w:t>Normal</w:t>
            </w:r>
          </w:p>
        </w:tc>
        <w:tc>
          <w:tcPr>
            <w:tcW w:w="1314" w:type="pct"/>
          </w:tcPr>
          <w:p w14:paraId="641D5AEB" w14:textId="23BDBCC9" w:rsidR="00A64140" w:rsidRPr="005B70BE" w:rsidRDefault="00A64140" w:rsidP="00A15286">
            <w:pPr>
              <w:rPr>
                <w:szCs w:val="24"/>
              </w:rPr>
            </w:pPr>
            <w:r>
              <w:rPr>
                <w:szCs w:val="24"/>
              </w:rPr>
              <w:t>7h15-16h00</w:t>
            </w:r>
          </w:p>
        </w:tc>
      </w:tr>
      <w:tr w:rsidR="00A64140" w:rsidRPr="005B70BE" w14:paraId="38920D29" w14:textId="77777777" w:rsidTr="0017574E">
        <w:tc>
          <w:tcPr>
            <w:tcW w:w="527" w:type="pct"/>
          </w:tcPr>
          <w:p w14:paraId="0B049AFD" w14:textId="77777777" w:rsidR="00A64140" w:rsidRPr="005B70BE" w:rsidRDefault="00A64140" w:rsidP="00401FF9">
            <w:pPr>
              <w:numPr>
                <w:ilvl w:val="0"/>
                <w:numId w:val="33"/>
              </w:numPr>
              <w:spacing w:line="240" w:lineRule="auto"/>
              <w:ind w:left="284" w:hanging="284"/>
              <w:jc w:val="left"/>
            </w:pPr>
          </w:p>
        </w:tc>
        <w:tc>
          <w:tcPr>
            <w:tcW w:w="2281" w:type="pct"/>
          </w:tcPr>
          <w:p w14:paraId="4ABAA5CA" w14:textId="77777777" w:rsidR="00A64140" w:rsidRPr="005B70BE" w:rsidRDefault="00A64140" w:rsidP="00A15286">
            <w:pPr>
              <w:rPr>
                <w:szCs w:val="24"/>
              </w:rPr>
            </w:pPr>
            <w:r w:rsidRPr="005B70BE">
              <w:rPr>
                <w:szCs w:val="24"/>
              </w:rPr>
              <w:t>Incident Response</w:t>
            </w:r>
          </w:p>
        </w:tc>
        <w:tc>
          <w:tcPr>
            <w:tcW w:w="879" w:type="pct"/>
          </w:tcPr>
          <w:p w14:paraId="757713F7" w14:textId="77777777" w:rsidR="00A64140" w:rsidRPr="005B70BE" w:rsidRDefault="00A64140" w:rsidP="00A15286">
            <w:pPr>
              <w:rPr>
                <w:szCs w:val="24"/>
              </w:rPr>
            </w:pPr>
            <w:r w:rsidRPr="005B70BE">
              <w:rPr>
                <w:szCs w:val="24"/>
              </w:rPr>
              <w:t>Normal</w:t>
            </w:r>
          </w:p>
        </w:tc>
        <w:tc>
          <w:tcPr>
            <w:tcW w:w="1314" w:type="pct"/>
          </w:tcPr>
          <w:p w14:paraId="7445E5E9" w14:textId="10988D9B" w:rsidR="00A64140" w:rsidRPr="00B05E7F" w:rsidRDefault="00A64140" w:rsidP="00A15286">
            <w:pPr>
              <w:rPr>
                <w:color w:val="EE0000"/>
                <w:szCs w:val="24"/>
              </w:rPr>
            </w:pPr>
            <w:r w:rsidRPr="00B05E7F">
              <w:rPr>
                <w:color w:val="EE0000"/>
                <w:szCs w:val="24"/>
              </w:rPr>
              <w:t xml:space="preserve">Maximum </w:t>
            </w:r>
            <w:r w:rsidR="00B05E7F" w:rsidRPr="00B05E7F">
              <w:rPr>
                <w:color w:val="EE0000"/>
                <w:szCs w:val="24"/>
              </w:rPr>
              <w:t>8</w:t>
            </w:r>
            <w:r w:rsidRPr="00B05E7F">
              <w:rPr>
                <w:color w:val="EE0000"/>
                <w:szCs w:val="24"/>
              </w:rPr>
              <w:t xml:space="preserve"> hours </w:t>
            </w:r>
          </w:p>
        </w:tc>
      </w:tr>
      <w:tr w:rsidR="00A64140" w:rsidRPr="005B70BE" w14:paraId="27E6B69C" w14:textId="77777777" w:rsidTr="0017574E">
        <w:tc>
          <w:tcPr>
            <w:tcW w:w="527" w:type="pct"/>
          </w:tcPr>
          <w:p w14:paraId="560FBEED" w14:textId="77777777" w:rsidR="00A64140" w:rsidRPr="005B70BE" w:rsidRDefault="00A64140" w:rsidP="00401FF9">
            <w:pPr>
              <w:numPr>
                <w:ilvl w:val="0"/>
                <w:numId w:val="33"/>
              </w:numPr>
              <w:spacing w:line="240" w:lineRule="auto"/>
              <w:ind w:left="284" w:hanging="284"/>
              <w:jc w:val="left"/>
            </w:pPr>
          </w:p>
        </w:tc>
        <w:tc>
          <w:tcPr>
            <w:tcW w:w="2281" w:type="pct"/>
          </w:tcPr>
          <w:p w14:paraId="351C6C8E" w14:textId="77777777" w:rsidR="00A64140" w:rsidRPr="005B70BE" w:rsidRDefault="00A64140" w:rsidP="00A15286">
            <w:pPr>
              <w:rPr>
                <w:szCs w:val="24"/>
              </w:rPr>
            </w:pPr>
            <w:r w:rsidRPr="005B70BE">
              <w:rPr>
                <w:szCs w:val="24"/>
              </w:rPr>
              <w:t>Incident Restore</w:t>
            </w:r>
          </w:p>
        </w:tc>
        <w:tc>
          <w:tcPr>
            <w:tcW w:w="879" w:type="pct"/>
          </w:tcPr>
          <w:p w14:paraId="1E7D50FD" w14:textId="77777777" w:rsidR="00A64140" w:rsidRPr="005B70BE" w:rsidRDefault="00A64140" w:rsidP="00A15286">
            <w:pPr>
              <w:rPr>
                <w:szCs w:val="24"/>
              </w:rPr>
            </w:pPr>
            <w:r w:rsidRPr="005B70BE">
              <w:rPr>
                <w:szCs w:val="24"/>
              </w:rPr>
              <w:t>Normal</w:t>
            </w:r>
          </w:p>
        </w:tc>
        <w:tc>
          <w:tcPr>
            <w:tcW w:w="1314" w:type="pct"/>
          </w:tcPr>
          <w:p w14:paraId="4898C5BD" w14:textId="074DFF12" w:rsidR="00A64140" w:rsidRPr="00B05E7F" w:rsidRDefault="00A64140" w:rsidP="00A15286">
            <w:pPr>
              <w:rPr>
                <w:color w:val="EE0000"/>
                <w:szCs w:val="24"/>
              </w:rPr>
            </w:pPr>
            <w:r w:rsidRPr="00B05E7F">
              <w:rPr>
                <w:color w:val="EE0000"/>
                <w:szCs w:val="24"/>
              </w:rPr>
              <w:t xml:space="preserve">Maximum </w:t>
            </w:r>
            <w:r w:rsidR="00B05E7F" w:rsidRPr="00B05E7F">
              <w:rPr>
                <w:color w:val="EE0000"/>
                <w:szCs w:val="24"/>
              </w:rPr>
              <w:t>48</w:t>
            </w:r>
            <w:r w:rsidRPr="00B05E7F">
              <w:rPr>
                <w:color w:val="EE0000"/>
                <w:szCs w:val="24"/>
              </w:rPr>
              <w:t xml:space="preserve"> hours</w:t>
            </w:r>
          </w:p>
        </w:tc>
      </w:tr>
    </w:tbl>
    <w:p w14:paraId="2D714B18" w14:textId="4F3F2807" w:rsidR="00A64140" w:rsidRPr="00727416" w:rsidRDefault="00A64140" w:rsidP="00A64140"/>
    <w:p w14:paraId="4494ABBA" w14:textId="77777777" w:rsidR="00E60BE0" w:rsidRPr="00727416" w:rsidRDefault="00E60BE0" w:rsidP="002C3609">
      <w:pPr>
        <w:pStyle w:val="Heading4"/>
        <w:ind w:hanging="1135"/>
      </w:pPr>
      <w:r w:rsidRPr="00727416">
        <w:t>Supplier Performance Reporting</w:t>
      </w:r>
    </w:p>
    <w:p w14:paraId="36A0AC53" w14:textId="206DE1BA" w:rsidR="00DE7F97" w:rsidRDefault="00DE7F97" w:rsidP="002C3609">
      <w:pPr>
        <w:pStyle w:val="ListParagraph"/>
        <w:numPr>
          <w:ilvl w:val="0"/>
          <w:numId w:val="7"/>
        </w:numPr>
        <w:ind w:hanging="425"/>
      </w:pPr>
      <w:r>
        <w:t>Quarterly meetings to be scheduled between DCS and service provider and ADHOC meetings from both sided.</w:t>
      </w:r>
    </w:p>
    <w:p w14:paraId="168CE30D" w14:textId="6569C2E9" w:rsidR="00E60BE0" w:rsidRPr="00727416" w:rsidRDefault="00DE7F97" w:rsidP="002C3609">
      <w:pPr>
        <w:pStyle w:val="ListParagraph"/>
        <w:numPr>
          <w:ilvl w:val="0"/>
          <w:numId w:val="7"/>
        </w:numPr>
        <w:ind w:hanging="425"/>
      </w:pPr>
      <w:r>
        <w:lastRenderedPageBreak/>
        <w:t>The S</w:t>
      </w:r>
      <w:r w:rsidR="002D709D">
        <w:t xml:space="preserve">ervice provider </w:t>
      </w:r>
      <w:r>
        <w:t>is required to</w:t>
      </w:r>
      <w:r w:rsidR="002D709D">
        <w:t xml:space="preserve"> provide SLA performance report on monthly and quarterly basis, highlighting stats of calls logged and response times</w:t>
      </w:r>
    </w:p>
    <w:p w14:paraId="35EF3374" w14:textId="276A89E6" w:rsidR="00E60BE0" w:rsidRPr="00727416" w:rsidRDefault="00DE7F97" w:rsidP="002C3609">
      <w:pPr>
        <w:pStyle w:val="ListParagraph"/>
        <w:numPr>
          <w:ilvl w:val="0"/>
          <w:numId w:val="7"/>
        </w:numPr>
        <w:ind w:hanging="425"/>
      </w:pPr>
      <w:r>
        <w:t xml:space="preserve">The Service provider is required to provide monthly reports </w:t>
      </w:r>
      <w:r w:rsidRPr="0097573A">
        <w:rPr>
          <w:rFonts w:cstheme="minorHAnsi"/>
        </w:rPr>
        <w:t>for licenses used and unused</w:t>
      </w:r>
    </w:p>
    <w:p w14:paraId="3495B8CA" w14:textId="77777777" w:rsidR="00E60BE0" w:rsidRPr="00727416" w:rsidRDefault="00E60BE0" w:rsidP="002C3609">
      <w:pPr>
        <w:pStyle w:val="Heading4"/>
        <w:ind w:hanging="1135"/>
      </w:pPr>
      <w:r w:rsidRPr="00727416">
        <w:t>Certification, Expertise and Qualification</w:t>
      </w:r>
    </w:p>
    <w:p w14:paraId="6EDEFA71" w14:textId="77777777" w:rsidR="00E60BE0" w:rsidRPr="00723222" w:rsidRDefault="00E60BE0" w:rsidP="002C3609">
      <w:pPr>
        <w:pStyle w:val="ListParagraph"/>
        <w:numPr>
          <w:ilvl w:val="0"/>
          <w:numId w:val="8"/>
        </w:numPr>
        <w:ind w:hanging="425"/>
      </w:pPr>
      <w:r w:rsidRPr="00723222">
        <w:t>The bidder certifies that:</w:t>
      </w:r>
    </w:p>
    <w:p w14:paraId="7B3AB1D1" w14:textId="77777777" w:rsidR="00E60BE0" w:rsidRPr="00723222" w:rsidRDefault="00CA731E" w:rsidP="002C3609">
      <w:pPr>
        <w:pStyle w:val="ListParagraph"/>
        <w:numPr>
          <w:ilvl w:val="1"/>
          <w:numId w:val="8"/>
        </w:numPr>
        <w:ind w:left="1560" w:hanging="426"/>
      </w:pPr>
      <w:r w:rsidRPr="00723222">
        <w:t>it has the necessary expertise, skill, qualifications and ability to undertake the work required in terms of the Statement of Work or Service Definition</w:t>
      </w:r>
    </w:p>
    <w:p w14:paraId="15C48701" w14:textId="77777777" w:rsidR="00CA731E" w:rsidRPr="00723222" w:rsidRDefault="00CA731E" w:rsidP="002C3609">
      <w:pPr>
        <w:pStyle w:val="ListParagraph"/>
        <w:numPr>
          <w:ilvl w:val="1"/>
          <w:numId w:val="8"/>
        </w:numPr>
        <w:ind w:left="1560" w:hanging="426"/>
      </w:pPr>
      <w:r w:rsidRPr="00723222">
        <w:t>it is committed to provide the Products or Services; and</w:t>
      </w:r>
    </w:p>
    <w:p w14:paraId="2F7BF061" w14:textId="77777777" w:rsidR="00CA731E" w:rsidRPr="00723222" w:rsidRDefault="00CA731E" w:rsidP="002C3609">
      <w:pPr>
        <w:pStyle w:val="ListParagraph"/>
        <w:numPr>
          <w:ilvl w:val="1"/>
          <w:numId w:val="8"/>
        </w:numPr>
        <w:ind w:left="1560" w:hanging="426"/>
      </w:pPr>
      <w:r w:rsidRPr="00723222">
        <w:t>perform all obligations detailed herein without any interruption to the Customer</w:t>
      </w:r>
    </w:p>
    <w:p w14:paraId="40C189DD" w14:textId="77777777" w:rsidR="00CA731E" w:rsidRPr="00723222" w:rsidRDefault="00CA731E" w:rsidP="002C3609">
      <w:pPr>
        <w:pStyle w:val="ListParagraph"/>
        <w:numPr>
          <w:ilvl w:val="1"/>
          <w:numId w:val="8"/>
        </w:numPr>
        <w:ind w:left="1560" w:hanging="426"/>
      </w:pPr>
      <w:r w:rsidRPr="00723222">
        <w:t>it has been certified for the Products and Services required</w:t>
      </w:r>
    </w:p>
    <w:p w14:paraId="34554F16" w14:textId="77777777" w:rsidR="00DE7F97" w:rsidRPr="00DB28B2" w:rsidRDefault="00E60BE0" w:rsidP="002C3609">
      <w:pPr>
        <w:pStyle w:val="ListParagraph"/>
        <w:numPr>
          <w:ilvl w:val="0"/>
          <w:numId w:val="8"/>
        </w:numPr>
        <w:ind w:hanging="425"/>
      </w:pPr>
      <w:r w:rsidRPr="001418A1">
        <w:rPr>
          <w:color w:val="EE0000"/>
          <w:highlight w:val="yellow"/>
        </w:rPr>
        <w:tab/>
      </w:r>
      <w:r w:rsidR="00DE7F97" w:rsidRPr="004668AB">
        <w:t>The Supplier must provide the service</w:t>
      </w:r>
      <w:r w:rsidR="00DE7F97" w:rsidRPr="00DB28B2">
        <w:t xml:space="preserve"> in a good and workmanlike manner and in accordance with the practices and high professional standards used in well-managed operations.</w:t>
      </w:r>
    </w:p>
    <w:p w14:paraId="1C282CD0" w14:textId="77777777" w:rsidR="00DE7F97" w:rsidRDefault="00DE7F97" w:rsidP="002C3609">
      <w:pPr>
        <w:pStyle w:val="ListParagraph"/>
        <w:numPr>
          <w:ilvl w:val="0"/>
          <w:numId w:val="8"/>
        </w:numPr>
        <w:ind w:hanging="425"/>
      </w:pPr>
      <w:r w:rsidRPr="00DB28B2">
        <w:t xml:space="preserve">The Supplier must perform the Services in the most cost-effective manner consistent with the level of quality and performance as defined in Statement of Work or Service </w:t>
      </w:r>
      <w:proofErr w:type="gramStart"/>
      <w:r w:rsidRPr="00DB28B2">
        <w:t>Definition;</w:t>
      </w:r>
      <w:proofErr w:type="gramEnd"/>
    </w:p>
    <w:p w14:paraId="5BD2A7D8" w14:textId="43D5E736" w:rsidR="00E60BE0" w:rsidRPr="00DE7F97" w:rsidRDefault="00DE7F97" w:rsidP="002C3609">
      <w:pPr>
        <w:pStyle w:val="ListParagraph"/>
        <w:numPr>
          <w:ilvl w:val="0"/>
          <w:numId w:val="8"/>
        </w:numPr>
        <w:ind w:hanging="425"/>
      </w:pPr>
      <w:r w:rsidRPr="00DB28B2">
        <w:t>Original Software Manufacturer (OSM) work. The Supplier must ensure that work or service is performed by a person who is certified by Original Software Manufacturer</w:t>
      </w:r>
    </w:p>
    <w:p w14:paraId="296B38D3" w14:textId="31EE97C2" w:rsidR="009A33B7" w:rsidRPr="00727416" w:rsidRDefault="00CA731E" w:rsidP="002C3609">
      <w:pPr>
        <w:pStyle w:val="Heading4"/>
        <w:ind w:hanging="1135"/>
      </w:pPr>
      <w:r w:rsidRPr="00727416">
        <w:t>Logistical Conditions</w:t>
      </w:r>
    </w:p>
    <w:p w14:paraId="68AE320C" w14:textId="77777777" w:rsidR="00CA731E" w:rsidRPr="00727416" w:rsidRDefault="00CA731E" w:rsidP="002C3609">
      <w:pPr>
        <w:pStyle w:val="ListParagraph"/>
        <w:numPr>
          <w:ilvl w:val="0"/>
          <w:numId w:val="9"/>
        </w:numPr>
        <w:ind w:hanging="425"/>
      </w:pPr>
      <w:r w:rsidRPr="00727416">
        <w:rPr>
          <w:b/>
          <w:bCs/>
        </w:rPr>
        <w:t>Hours of Work</w:t>
      </w:r>
      <w:r w:rsidRPr="00727416">
        <w:t xml:space="preserve">  </w:t>
      </w:r>
    </w:p>
    <w:p w14:paraId="7DC2F3A3" w14:textId="1B52D77F" w:rsidR="00B12F3C" w:rsidRPr="00727416" w:rsidRDefault="00CA731E" w:rsidP="00401FF9">
      <w:pPr>
        <w:pStyle w:val="ListParagraph"/>
        <w:numPr>
          <w:ilvl w:val="1"/>
          <w:numId w:val="9"/>
        </w:numPr>
      </w:pPr>
      <w:r w:rsidRPr="00727416">
        <w:t>Office hours are defined as business working hours of the customer and is Mondays to Fridays between 07:</w:t>
      </w:r>
      <w:r w:rsidR="001418A1" w:rsidRPr="00727416">
        <w:t>15</w:t>
      </w:r>
      <w:r w:rsidRPr="00727416">
        <w:t xml:space="preserve"> and 16:00</w:t>
      </w:r>
    </w:p>
    <w:p w14:paraId="3B09A907" w14:textId="5C08773D" w:rsidR="00CA731E" w:rsidRPr="00727416" w:rsidRDefault="00CA731E" w:rsidP="00401FF9">
      <w:pPr>
        <w:pStyle w:val="ListParagraph"/>
        <w:numPr>
          <w:ilvl w:val="1"/>
          <w:numId w:val="9"/>
        </w:numPr>
      </w:pPr>
      <w:r w:rsidRPr="00727416">
        <w:t xml:space="preserve">After hours of the customer during </w:t>
      </w:r>
      <w:proofErr w:type="gramStart"/>
      <w:r w:rsidRPr="00727416">
        <w:t>week days</w:t>
      </w:r>
      <w:proofErr w:type="gramEnd"/>
      <w:r w:rsidRPr="00727416">
        <w:t xml:space="preserve"> are from16:00 to 07:</w:t>
      </w:r>
      <w:r w:rsidR="00DE7F97">
        <w:t>15</w:t>
      </w:r>
    </w:p>
    <w:p w14:paraId="7CA65246" w14:textId="77777777" w:rsidR="00CA731E" w:rsidRPr="00727416" w:rsidRDefault="00CA731E" w:rsidP="00401FF9">
      <w:pPr>
        <w:pStyle w:val="ListParagraph"/>
        <w:numPr>
          <w:ilvl w:val="1"/>
          <w:numId w:val="9"/>
        </w:numPr>
      </w:pPr>
      <w:r w:rsidRPr="00727416">
        <w:t xml:space="preserve">All mission critical sites will be managed on a 24 x 7 x 365 basis </w:t>
      </w:r>
    </w:p>
    <w:p w14:paraId="13AF3461" w14:textId="77777777" w:rsidR="00CA731E" w:rsidRPr="00727416" w:rsidRDefault="00CA731E" w:rsidP="002C3609">
      <w:pPr>
        <w:pStyle w:val="ListParagraph"/>
        <w:numPr>
          <w:ilvl w:val="0"/>
          <w:numId w:val="9"/>
        </w:numPr>
        <w:ind w:hanging="425"/>
        <w:rPr>
          <w:b/>
          <w:bCs/>
        </w:rPr>
      </w:pPr>
      <w:r w:rsidRPr="00727416">
        <w:rPr>
          <w:b/>
          <w:bCs/>
        </w:rPr>
        <w:t>Client environment</w:t>
      </w:r>
    </w:p>
    <w:p w14:paraId="437924E9" w14:textId="18C802E3" w:rsidR="00CA731E" w:rsidRPr="00723222" w:rsidRDefault="00F13DE7" w:rsidP="00401FF9">
      <w:pPr>
        <w:pStyle w:val="ListParagraph"/>
        <w:numPr>
          <w:ilvl w:val="1"/>
          <w:numId w:val="9"/>
        </w:numPr>
        <w:rPr>
          <w:color w:val="EE0000"/>
        </w:rPr>
      </w:pPr>
      <w:r w:rsidRPr="00F13DE7">
        <w:t>I</w:t>
      </w:r>
      <w:r w:rsidRPr="00DB28B2">
        <w:t xml:space="preserve">n the event that </w:t>
      </w:r>
      <w:r w:rsidR="007F2354">
        <w:t>DCS</w:t>
      </w:r>
      <w:r w:rsidRPr="00DB28B2">
        <w:t xml:space="preserve"> grants the Supplier permission to access </w:t>
      </w:r>
      <w:r>
        <w:t>DCS’s</w:t>
      </w:r>
      <w:r w:rsidRPr="00DB28B2">
        <w:t xml:space="preserve"> Environment including hardware, software, internet facilities, data, telecommunication facilities and/or network facilities remotely, the Supplier must adhere to </w:t>
      </w:r>
      <w:r>
        <w:t>DCS</w:t>
      </w:r>
      <w:r w:rsidRPr="00DB28B2">
        <w:t>'s relevant policies and procedures (which policy and procedures are available to the Supplier on request) or in the absence of such policy and procedures, in terms of, best industry practice</w:t>
      </w:r>
    </w:p>
    <w:p w14:paraId="1989D6EA" w14:textId="77777777" w:rsidR="00CA731E" w:rsidRPr="00723222" w:rsidRDefault="00CA731E" w:rsidP="002C3609">
      <w:pPr>
        <w:pStyle w:val="ListParagraph"/>
        <w:numPr>
          <w:ilvl w:val="0"/>
          <w:numId w:val="9"/>
        </w:numPr>
        <w:ind w:hanging="425"/>
        <w:rPr>
          <w:b/>
          <w:bCs/>
        </w:rPr>
      </w:pPr>
      <w:r w:rsidRPr="00723222">
        <w:rPr>
          <w:b/>
          <w:bCs/>
        </w:rPr>
        <w:t>Tools of Trade</w:t>
      </w:r>
    </w:p>
    <w:p w14:paraId="5806816F" w14:textId="30766FD9" w:rsidR="00F2583E" w:rsidRPr="00727416" w:rsidRDefault="00CA731E" w:rsidP="00401FF9">
      <w:pPr>
        <w:pStyle w:val="ListParagraph"/>
        <w:numPr>
          <w:ilvl w:val="1"/>
          <w:numId w:val="9"/>
        </w:numPr>
      </w:pPr>
      <w:r w:rsidRPr="00727416">
        <w:t xml:space="preserve">The bidder is expected to use its own </w:t>
      </w:r>
      <w:r w:rsidR="00F2583E" w:rsidRPr="00727416">
        <w:t xml:space="preserve">resources (cell phone, laptops etc) to communicate with its own offices or outside of the </w:t>
      </w:r>
      <w:r w:rsidR="009A33B7" w:rsidRPr="00727416">
        <w:t>DCS</w:t>
      </w:r>
      <w:r w:rsidR="00F2583E" w:rsidRPr="00727416">
        <w:t xml:space="preserve"> buildings, including all tools and equipment to render the services effectively</w:t>
      </w:r>
      <w:r w:rsidR="004176AA" w:rsidRPr="00727416">
        <w:t>.</w:t>
      </w:r>
    </w:p>
    <w:p w14:paraId="0CA06288" w14:textId="77777777" w:rsidR="00F2583E" w:rsidRPr="00F13DE7" w:rsidRDefault="00F2583E" w:rsidP="002C3609">
      <w:pPr>
        <w:pStyle w:val="ListParagraph"/>
        <w:numPr>
          <w:ilvl w:val="0"/>
          <w:numId w:val="9"/>
        </w:numPr>
        <w:ind w:hanging="425"/>
        <w:rPr>
          <w:b/>
          <w:bCs/>
        </w:rPr>
      </w:pPr>
      <w:r w:rsidRPr="00F13DE7">
        <w:rPr>
          <w:b/>
          <w:bCs/>
        </w:rPr>
        <w:t>Remedy ARS Support</w:t>
      </w:r>
    </w:p>
    <w:p w14:paraId="72C585D5" w14:textId="77777777" w:rsidR="009A33B7" w:rsidRPr="00F13DE7" w:rsidRDefault="009A33B7" w:rsidP="00401FF9">
      <w:pPr>
        <w:pStyle w:val="Specification"/>
        <w:numPr>
          <w:ilvl w:val="1"/>
          <w:numId w:val="9"/>
        </w:numPr>
        <w:rPr>
          <w:rFonts w:asciiTheme="minorHAnsi" w:hAnsiTheme="minorHAnsi" w:cstheme="minorHAnsi"/>
        </w:rPr>
      </w:pPr>
      <w:r w:rsidRPr="00F13DE7">
        <w:rPr>
          <w:rFonts w:asciiTheme="minorHAnsi" w:hAnsiTheme="minorHAnsi" w:cstheme="minorHAnsi"/>
        </w:rPr>
        <w:t>Support and Help Desk. The Supplier must provide helpdesk contact number and email address</w:t>
      </w:r>
    </w:p>
    <w:p w14:paraId="7B264602" w14:textId="22A60FD3" w:rsidR="009A33B7" w:rsidRPr="00387138" w:rsidRDefault="009A33B7" w:rsidP="00401FF9">
      <w:pPr>
        <w:pStyle w:val="Specification"/>
        <w:numPr>
          <w:ilvl w:val="1"/>
          <w:numId w:val="9"/>
        </w:numPr>
        <w:rPr>
          <w:rFonts w:asciiTheme="minorHAnsi" w:hAnsiTheme="minorHAnsi" w:cstheme="minorHAnsi"/>
        </w:rPr>
      </w:pPr>
      <w:r w:rsidRPr="00F13DE7">
        <w:rPr>
          <w:rFonts w:asciiTheme="minorHAnsi" w:hAnsiTheme="minorHAnsi" w:cstheme="minorHAnsi"/>
        </w:rPr>
        <w:t xml:space="preserve">On-site and Remote Support. The Supplier must </w:t>
      </w:r>
      <w:r w:rsidR="00F13DE7" w:rsidRPr="00F13DE7">
        <w:rPr>
          <w:rFonts w:asciiTheme="minorHAnsi" w:hAnsiTheme="minorHAnsi" w:cstheme="minorHAnsi"/>
        </w:rPr>
        <w:t>be</w:t>
      </w:r>
      <w:r w:rsidRPr="00F13DE7">
        <w:rPr>
          <w:rFonts w:asciiTheme="minorHAnsi" w:hAnsiTheme="minorHAnsi" w:cstheme="minorHAnsi"/>
        </w:rPr>
        <w:t xml:space="preserve"> onsite support</w:t>
      </w:r>
      <w:r w:rsidR="00F13DE7" w:rsidRPr="00F13DE7">
        <w:rPr>
          <w:rFonts w:asciiTheme="minorHAnsi" w:hAnsiTheme="minorHAnsi" w:cstheme="minorHAnsi"/>
        </w:rPr>
        <w:t xml:space="preserve"> and be able to provide remote support</w:t>
      </w:r>
    </w:p>
    <w:p w14:paraId="6CD8F2EA" w14:textId="77777777" w:rsidR="00B12F3C" w:rsidRPr="0017574E" w:rsidRDefault="00F2583E" w:rsidP="0017574E">
      <w:pPr>
        <w:pStyle w:val="Heading4"/>
        <w:ind w:left="1135" w:hanging="1135"/>
      </w:pPr>
      <w:r w:rsidRPr="0017574E">
        <w:t>Regulatory, Quality and Standards</w:t>
      </w:r>
    </w:p>
    <w:p w14:paraId="003CC13C" w14:textId="77777777" w:rsidR="00387138" w:rsidRPr="00DB28B2" w:rsidRDefault="00F2583E" w:rsidP="002C3609">
      <w:pPr>
        <w:pStyle w:val="ListParagraph"/>
        <w:numPr>
          <w:ilvl w:val="0"/>
          <w:numId w:val="10"/>
        </w:numPr>
        <w:ind w:hanging="425"/>
      </w:pPr>
      <w:r w:rsidRPr="001418A1">
        <w:rPr>
          <w:color w:val="EE0000"/>
          <w:highlight w:val="yellow"/>
        </w:rPr>
        <w:tab/>
      </w:r>
      <w:r w:rsidR="00387138" w:rsidRPr="00DB28B2">
        <w:t>Products used to deliver the goods /services must comply with the Protection of Personal Information Act (POPIA) for the duration of the contract.</w:t>
      </w:r>
    </w:p>
    <w:p w14:paraId="35CDC761" w14:textId="77777777" w:rsidR="00387138" w:rsidRDefault="00387138" w:rsidP="002C3609">
      <w:pPr>
        <w:pStyle w:val="ListParagraph"/>
        <w:numPr>
          <w:ilvl w:val="0"/>
          <w:numId w:val="10"/>
        </w:numPr>
        <w:ind w:hanging="425"/>
      </w:pPr>
      <w:r w:rsidRPr="00DB28B2">
        <w:t>The Supplier must for the duration of the contract ensure compliance with General Quality Standards, ISO 9001.</w:t>
      </w:r>
    </w:p>
    <w:p w14:paraId="3D370B78" w14:textId="03C7337B" w:rsidR="002C3609" w:rsidRDefault="002C3609" w:rsidP="00916D98">
      <w:pPr>
        <w:pStyle w:val="ListParagraph"/>
        <w:numPr>
          <w:ilvl w:val="0"/>
          <w:numId w:val="10"/>
        </w:numPr>
      </w:pPr>
      <w:r>
        <w:lastRenderedPageBreak/>
        <w:t>In terms of the State Information Technology Agency Act (as amended), the Agency (SITA) must certify that all ICT goods and services comply with approved interoperability (MIOS 6) and related security standards. These standards are available on the SITA website (</w:t>
      </w:r>
      <w:hyperlink r:id="rId14" w:history="1">
        <w:r w:rsidR="004A6945" w:rsidRPr="005B7193">
          <w:rPr>
            <w:rStyle w:val="Hyperlink"/>
          </w:rPr>
          <w:t>http://www.sita.co.za</w:t>
        </w:r>
      </w:hyperlink>
      <w:r w:rsidR="004A6945">
        <w:t>)</w:t>
      </w:r>
    </w:p>
    <w:p w14:paraId="1A8010CE" w14:textId="77777777" w:rsidR="00F2583E" w:rsidRPr="00723222" w:rsidRDefault="00F2583E" w:rsidP="002C3609">
      <w:pPr>
        <w:pStyle w:val="Heading4"/>
        <w:ind w:hanging="1135"/>
      </w:pPr>
      <w:r w:rsidRPr="00723222">
        <w:t>Personnel Security Clearance</w:t>
      </w:r>
    </w:p>
    <w:p w14:paraId="3E1165C2" w14:textId="77777777" w:rsidR="00F2583E" w:rsidRPr="00727416" w:rsidRDefault="00F2583E" w:rsidP="004A6945">
      <w:pPr>
        <w:pStyle w:val="ListParagraph"/>
        <w:numPr>
          <w:ilvl w:val="0"/>
          <w:numId w:val="11"/>
        </w:numPr>
        <w:ind w:hanging="425"/>
      </w:pPr>
      <w:r w:rsidRPr="00727416">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11029869" w14:textId="32B04670" w:rsidR="009A33B7" w:rsidRPr="007141EE" w:rsidRDefault="009A33B7" w:rsidP="004A6945">
      <w:pPr>
        <w:pStyle w:val="ListParagraph"/>
        <w:numPr>
          <w:ilvl w:val="0"/>
          <w:numId w:val="11"/>
        </w:numPr>
        <w:ind w:hanging="425"/>
      </w:pPr>
      <w:r w:rsidRPr="007141EE">
        <w:t xml:space="preserve">In the event that DCS   grants the Supplier permission to access </w:t>
      </w:r>
      <w:r w:rsidR="00961FAE" w:rsidRPr="007141EE">
        <w:t xml:space="preserve">DCS </w:t>
      </w:r>
      <w:r w:rsidRPr="007141EE">
        <w:t xml:space="preserve">Environment including hardware, software, internet facilities, data, telecommunication facilities and/or network facilities remotely, the Supplier must adhere to </w:t>
      </w:r>
      <w:r w:rsidR="00961FAE" w:rsidRPr="007141EE">
        <w:t xml:space="preserve">DCS </w:t>
      </w:r>
      <w:r w:rsidRPr="007141EE">
        <w:t>relevant policies and procedures (which policy and procedures are available to the Supplier on request) or in the absence of such policy and procedures, in terms of, best industry practice</w:t>
      </w:r>
    </w:p>
    <w:p w14:paraId="75223CBA" w14:textId="274EF28F" w:rsidR="00A64140" w:rsidRPr="00BB63BE" w:rsidRDefault="00A64140" w:rsidP="004A6945">
      <w:pPr>
        <w:pStyle w:val="ListParagraph"/>
        <w:numPr>
          <w:ilvl w:val="0"/>
          <w:numId w:val="11"/>
        </w:numPr>
        <w:ind w:hanging="425"/>
      </w:pPr>
      <w:r w:rsidRPr="00391645">
        <w:rPr>
          <w:b/>
          <w:bCs/>
        </w:rPr>
        <w:t>Security suitability check for individuals</w:t>
      </w:r>
      <w:r w:rsidRPr="00BB63BE">
        <w:t xml:space="preserve">: </w:t>
      </w:r>
      <w:r w:rsidR="00961FAE">
        <w:t xml:space="preserve">DCS </w:t>
      </w:r>
      <w:r w:rsidRPr="00BB63BE">
        <w:t xml:space="preserve">may, at its own discretion and in line with its policies and procedures, require employees of the supplier to be subjected to a security suitability check before commencement of a project or delivering of a service. The security suitability check is conducted by </w:t>
      </w:r>
      <w:r w:rsidR="00961FAE">
        <w:t>DCS</w:t>
      </w:r>
      <w:r w:rsidRPr="00BB63BE">
        <w:t xml:space="preserve"> </w:t>
      </w:r>
      <w:proofErr w:type="gramStart"/>
      <w:r w:rsidRPr="00BB63BE">
        <w:t>in order to</w:t>
      </w:r>
      <w:proofErr w:type="gramEnd"/>
      <w:r w:rsidRPr="00BB63BE">
        <w:t xml:space="preserve"> ensure that individuals meet the minimum-security requirements </w:t>
      </w:r>
      <w:proofErr w:type="gramStart"/>
      <w:r w:rsidRPr="00BB63BE">
        <w:t>and also</w:t>
      </w:r>
      <w:proofErr w:type="gramEnd"/>
      <w:r w:rsidRPr="00BB63BE">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3D8093B9" w14:textId="77777777" w:rsidR="00A64140" w:rsidRPr="00BB63BE" w:rsidRDefault="00A64140" w:rsidP="00A64140">
      <w:pPr>
        <w:pStyle w:val="ListParagraph"/>
        <w:ind w:left="1134"/>
      </w:pPr>
      <w:r w:rsidRPr="00BB63BE">
        <w:t>(</w:t>
      </w:r>
      <w:proofErr w:type="spellStart"/>
      <w:r w:rsidRPr="00BB63BE">
        <w:t>i</w:t>
      </w:r>
      <w:proofErr w:type="spellEnd"/>
      <w:r w:rsidRPr="00BB63BE">
        <w:t>)</w:t>
      </w:r>
      <w:r w:rsidRPr="00BB63BE">
        <w:tab/>
        <w:t xml:space="preserve">Copy of identity </w:t>
      </w:r>
      <w:proofErr w:type="gramStart"/>
      <w:r w:rsidRPr="00BB63BE">
        <w:t>document;</w:t>
      </w:r>
      <w:proofErr w:type="gramEnd"/>
    </w:p>
    <w:p w14:paraId="08AFE645" w14:textId="1770A35D" w:rsidR="00A64140" w:rsidRPr="00BB63BE" w:rsidRDefault="00A64140" w:rsidP="00A64140">
      <w:pPr>
        <w:pStyle w:val="ListParagraph"/>
        <w:ind w:left="1134"/>
      </w:pPr>
      <w:r w:rsidRPr="00BB63BE">
        <w:t>(ii)</w:t>
      </w:r>
      <w:r w:rsidRPr="00BB63BE">
        <w:tab/>
        <w:t>Copy(</w:t>
      </w:r>
      <w:proofErr w:type="spellStart"/>
      <w:r w:rsidRPr="00BB63BE">
        <w:t>ies</w:t>
      </w:r>
      <w:proofErr w:type="spellEnd"/>
      <w:r w:rsidRPr="00BB63BE">
        <w:t xml:space="preserve">) of qualification(s) if </w:t>
      </w:r>
      <w:r w:rsidR="00C826BB">
        <w:t>DCS</w:t>
      </w:r>
      <w:r w:rsidRPr="00BB63BE">
        <w:t xml:space="preserve"> requires verification </w:t>
      </w:r>
      <w:proofErr w:type="gramStart"/>
      <w:r w:rsidRPr="00BB63BE">
        <w:t>thereof;</w:t>
      </w:r>
      <w:proofErr w:type="gramEnd"/>
    </w:p>
    <w:p w14:paraId="5F21922C" w14:textId="77777777" w:rsidR="00A64140" w:rsidRPr="00BB63BE" w:rsidRDefault="00A64140" w:rsidP="00A64140">
      <w:pPr>
        <w:pStyle w:val="ListParagraph"/>
        <w:ind w:left="1134"/>
      </w:pPr>
      <w:r w:rsidRPr="00BB63BE">
        <w:t>(iii)</w:t>
      </w:r>
      <w:r w:rsidRPr="00BB63BE">
        <w:tab/>
        <w:t xml:space="preserve">Fingerprints – will be taken </w:t>
      </w:r>
      <w:proofErr w:type="gramStart"/>
      <w:r w:rsidRPr="00BB63BE">
        <w:t>electronically;</w:t>
      </w:r>
      <w:proofErr w:type="gramEnd"/>
    </w:p>
    <w:p w14:paraId="25F1892A" w14:textId="77777777" w:rsidR="00A64140" w:rsidRPr="00BB63BE" w:rsidRDefault="00A64140" w:rsidP="00A64140">
      <w:pPr>
        <w:pStyle w:val="ListParagraph"/>
        <w:ind w:left="1134"/>
      </w:pPr>
      <w:r w:rsidRPr="00BB63BE">
        <w:t>(iv)</w:t>
      </w:r>
      <w:r w:rsidRPr="00BB63BE">
        <w:tab/>
        <w:t xml:space="preserve">Signed consent form for the conduct of background checks. </w:t>
      </w:r>
    </w:p>
    <w:p w14:paraId="3E27C84E" w14:textId="158F4AF4" w:rsidR="00A64140" w:rsidRPr="00BB63BE" w:rsidRDefault="00A64140" w:rsidP="004A6945">
      <w:pPr>
        <w:pStyle w:val="ListParagraph"/>
        <w:numPr>
          <w:ilvl w:val="0"/>
          <w:numId w:val="11"/>
        </w:numPr>
        <w:ind w:hanging="425"/>
      </w:pPr>
      <w:r w:rsidRPr="00BB63BE">
        <w:tab/>
      </w:r>
      <w:r w:rsidRPr="00391645">
        <w:rPr>
          <w:b/>
          <w:bCs/>
        </w:rPr>
        <w:t>Security clearance:</w:t>
      </w:r>
      <w:r w:rsidRPr="00BB63BE">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w:t>
      </w:r>
      <w:r w:rsidR="00C826BB">
        <w:t>DCS</w:t>
      </w:r>
      <w:r w:rsidRPr="00BB63BE">
        <w:t>. The supplier will have to replace any employee who do not qualify for a security clearance or is found not suitable by the SSA or DI. The following documentation will be required for the security clearance process:</w:t>
      </w:r>
    </w:p>
    <w:p w14:paraId="173C2D15" w14:textId="77777777" w:rsidR="00A64140" w:rsidRPr="00BB63BE" w:rsidRDefault="00A64140" w:rsidP="00A64140">
      <w:pPr>
        <w:pStyle w:val="ListParagraph"/>
        <w:ind w:left="1134"/>
      </w:pPr>
      <w:r w:rsidRPr="00BB63BE">
        <w:t>(</w:t>
      </w:r>
      <w:proofErr w:type="spellStart"/>
      <w:r w:rsidRPr="00BB63BE">
        <w:t>i</w:t>
      </w:r>
      <w:proofErr w:type="spellEnd"/>
      <w:r w:rsidRPr="00BB63BE">
        <w:t>)</w:t>
      </w:r>
      <w:r w:rsidRPr="00BB63BE">
        <w:tab/>
        <w:t xml:space="preserve">Completed Z204 or DD1057 security clearance application </w:t>
      </w:r>
      <w:proofErr w:type="gramStart"/>
      <w:r w:rsidRPr="00BB63BE">
        <w:t>form;</w:t>
      </w:r>
      <w:proofErr w:type="gramEnd"/>
    </w:p>
    <w:p w14:paraId="7A9A42CF" w14:textId="77777777" w:rsidR="00A64140" w:rsidRPr="00BB63BE" w:rsidRDefault="00A64140" w:rsidP="00A64140">
      <w:pPr>
        <w:pStyle w:val="ListParagraph"/>
        <w:ind w:left="1134"/>
      </w:pPr>
      <w:r w:rsidRPr="00BB63BE">
        <w:t>(ii)</w:t>
      </w:r>
      <w:r w:rsidRPr="00BB63BE">
        <w:tab/>
      </w:r>
      <w:proofErr w:type="gramStart"/>
      <w:r w:rsidRPr="00BB63BE">
        <w:t>Fingerprints;</w:t>
      </w:r>
      <w:proofErr w:type="gramEnd"/>
    </w:p>
    <w:p w14:paraId="0B020AA5" w14:textId="77777777" w:rsidR="00A64140" w:rsidRPr="005B70BE" w:rsidRDefault="00A64140" w:rsidP="00A64140">
      <w:pPr>
        <w:pStyle w:val="ListParagraph"/>
        <w:ind w:left="1134"/>
        <w:rPr>
          <w:lang w:val="en-GB"/>
        </w:rPr>
      </w:pPr>
      <w:r w:rsidRPr="00BB63BE">
        <w:t>(iii)</w:t>
      </w:r>
      <w:r w:rsidRPr="00BB63BE">
        <w:tab/>
        <w:t>Personal documentation of the applicant, including but not limited to, identity document, passport, marriage certificate (if applicable), divorce order (if applicable), qualifications, salary advice and bank statements.</w:t>
      </w:r>
    </w:p>
    <w:p w14:paraId="2166D4A9" w14:textId="647EF24C" w:rsidR="004176AA" w:rsidRPr="00727416" w:rsidRDefault="004176AA" w:rsidP="00A64140">
      <w:pPr>
        <w:pStyle w:val="ListParagraph"/>
        <w:ind w:left="1134"/>
      </w:pPr>
    </w:p>
    <w:p w14:paraId="00F9107E" w14:textId="77777777" w:rsidR="00F2583E" w:rsidRPr="00727416" w:rsidRDefault="004176AA" w:rsidP="004176AA">
      <w:pPr>
        <w:pStyle w:val="Heading4"/>
        <w:ind w:left="567"/>
      </w:pPr>
      <w:r w:rsidRPr="00727416">
        <w:t>Confidentiality and non -disclosure conditions</w:t>
      </w:r>
    </w:p>
    <w:p w14:paraId="6DFA74FB" w14:textId="77777777" w:rsidR="00942B4A" w:rsidRPr="00727416" w:rsidRDefault="004176AA" w:rsidP="004A6945">
      <w:pPr>
        <w:pStyle w:val="ListParagraph"/>
        <w:numPr>
          <w:ilvl w:val="0"/>
          <w:numId w:val="12"/>
        </w:numPr>
        <w:ind w:hanging="425"/>
      </w:pPr>
      <w:r w:rsidRPr="00727416">
        <w:t>The Supplier, including its management and staff, must before commencement of the Contract, sign a non-disclosure agreement regarding Confidential Information</w:t>
      </w:r>
    </w:p>
    <w:p w14:paraId="3C66BEC4" w14:textId="77777777" w:rsidR="00785040" w:rsidRPr="00727416" w:rsidRDefault="00785040" w:rsidP="004A6945">
      <w:pPr>
        <w:pStyle w:val="ListParagraph"/>
        <w:numPr>
          <w:ilvl w:val="0"/>
          <w:numId w:val="12"/>
        </w:numPr>
        <w:ind w:hanging="425"/>
      </w:pPr>
      <w:r w:rsidRPr="00727416">
        <w:t xml:space="preserve">Confidential Information means any information or data, irrespective of the form or medium in which it may be stored, which is not in the public </w:t>
      </w:r>
      <w:proofErr w:type="gramStart"/>
      <w:r w:rsidRPr="00727416">
        <w:t>domain</w:t>
      </w:r>
      <w:proofErr w:type="gramEnd"/>
      <w:r w:rsidRPr="00727416">
        <w:t xml:space="preserve"> and which becomes available or accessible to a Party </w:t>
      </w:r>
      <w:proofErr w:type="gramStart"/>
      <w:r w:rsidRPr="00727416">
        <w:t>as a consequence of</w:t>
      </w:r>
      <w:proofErr w:type="gramEnd"/>
      <w:r w:rsidRPr="00727416">
        <w:t xml:space="preserve"> this Contract, including information or data which is prohibited from disclosure by virtue of:</w:t>
      </w:r>
    </w:p>
    <w:p w14:paraId="4CB134B4" w14:textId="77777777" w:rsidR="00785040" w:rsidRPr="00727416" w:rsidRDefault="00785040" w:rsidP="00401FF9">
      <w:pPr>
        <w:pStyle w:val="ListParagraph"/>
        <w:numPr>
          <w:ilvl w:val="1"/>
          <w:numId w:val="12"/>
        </w:numPr>
      </w:pPr>
      <w:r w:rsidRPr="00727416">
        <w:lastRenderedPageBreak/>
        <w:t>the Promotion of Access to Information Act, 2000 (Act no. 2 of 2000</w:t>
      </w:r>
      <w:proofErr w:type="gramStart"/>
      <w:r w:rsidRPr="00727416">
        <w:t>);</w:t>
      </w:r>
      <w:proofErr w:type="gramEnd"/>
    </w:p>
    <w:p w14:paraId="453FAC84" w14:textId="77777777" w:rsidR="00785040" w:rsidRPr="00727416" w:rsidRDefault="00785040" w:rsidP="00401FF9">
      <w:pPr>
        <w:pStyle w:val="ListParagraph"/>
        <w:numPr>
          <w:ilvl w:val="1"/>
          <w:numId w:val="12"/>
        </w:numPr>
      </w:pPr>
      <w:r w:rsidRPr="00727416">
        <w:t xml:space="preserve">being clearly marked "Confidential" and which is provided by one Party to another Party in terms of this </w:t>
      </w:r>
      <w:proofErr w:type="gramStart"/>
      <w:r w:rsidRPr="00727416">
        <w:t>Contract;</w:t>
      </w:r>
      <w:proofErr w:type="gramEnd"/>
    </w:p>
    <w:p w14:paraId="36CA169A" w14:textId="77777777" w:rsidR="00785040" w:rsidRPr="00727416" w:rsidRDefault="00785040" w:rsidP="00401FF9">
      <w:pPr>
        <w:pStyle w:val="ListParagraph"/>
        <w:numPr>
          <w:ilvl w:val="1"/>
          <w:numId w:val="12"/>
        </w:numPr>
      </w:pPr>
      <w:r w:rsidRPr="00727416">
        <w:t xml:space="preserve">being information or data, which one Party provides to another Party or to which a Party has access because of Services provided in terms of this Contract and in which a Party would have a reasonable expectation of </w:t>
      </w:r>
      <w:proofErr w:type="gramStart"/>
      <w:r w:rsidRPr="00727416">
        <w:t>confidentiality;</w:t>
      </w:r>
      <w:proofErr w:type="gramEnd"/>
    </w:p>
    <w:p w14:paraId="01D1D2D6" w14:textId="77777777" w:rsidR="00785040" w:rsidRPr="00727416" w:rsidRDefault="00785040" w:rsidP="00401FF9">
      <w:pPr>
        <w:pStyle w:val="ListParagraph"/>
        <w:numPr>
          <w:ilvl w:val="1"/>
          <w:numId w:val="12"/>
        </w:numPr>
      </w:pPr>
      <w:r w:rsidRPr="00727416">
        <w:t xml:space="preserve">being information provided by one Party to another Party </w:t>
      </w:r>
      <w:proofErr w:type="gramStart"/>
      <w:r w:rsidRPr="00727416">
        <w:t>in the course of</w:t>
      </w:r>
      <w:proofErr w:type="gramEnd"/>
      <w:r w:rsidRPr="00727416">
        <w:t xml:space="preserve"> contractual or other negotiations, which could reasonably be expected to prejudice the right of the non-disclosing </w:t>
      </w:r>
      <w:proofErr w:type="gramStart"/>
      <w:r w:rsidRPr="00727416">
        <w:t>Party;</w:t>
      </w:r>
      <w:proofErr w:type="gramEnd"/>
    </w:p>
    <w:p w14:paraId="69921AC1" w14:textId="77777777" w:rsidR="00785040" w:rsidRPr="00727416" w:rsidRDefault="00785040" w:rsidP="00401FF9">
      <w:pPr>
        <w:pStyle w:val="ListParagraph"/>
        <w:numPr>
          <w:ilvl w:val="1"/>
          <w:numId w:val="12"/>
        </w:numPr>
      </w:pPr>
      <w:r w:rsidRPr="00727416">
        <w:t xml:space="preserve">being information, the disclosure of which could reasonably be expected to endanger a life or physical security of a </w:t>
      </w:r>
      <w:proofErr w:type="gramStart"/>
      <w:r w:rsidRPr="00727416">
        <w:t>person;</w:t>
      </w:r>
      <w:proofErr w:type="gramEnd"/>
    </w:p>
    <w:p w14:paraId="2519551B" w14:textId="77777777" w:rsidR="00785040" w:rsidRPr="00727416" w:rsidRDefault="00785040" w:rsidP="00401FF9">
      <w:pPr>
        <w:pStyle w:val="ListParagraph"/>
        <w:numPr>
          <w:ilvl w:val="1"/>
          <w:numId w:val="12"/>
        </w:numPr>
      </w:pPr>
      <w:r w:rsidRPr="00727416">
        <w:t xml:space="preserve">being technical, scientific, commercial, financial and market-related information, know-how and trade secrets of a </w:t>
      </w:r>
      <w:proofErr w:type="gramStart"/>
      <w:r w:rsidRPr="00727416">
        <w:t>Party;</w:t>
      </w:r>
      <w:proofErr w:type="gramEnd"/>
    </w:p>
    <w:p w14:paraId="57E2A202" w14:textId="77777777" w:rsidR="00785040" w:rsidRPr="00727416" w:rsidRDefault="00785040" w:rsidP="00401FF9">
      <w:pPr>
        <w:pStyle w:val="ListParagraph"/>
        <w:numPr>
          <w:ilvl w:val="1"/>
          <w:numId w:val="12"/>
        </w:numPr>
      </w:pPr>
      <w:r w:rsidRPr="00727416">
        <w:t>being financial, commercial, scientific or technical information, other than trade secrets, of a Party, the disclosure of which would be likely to cause harm to the commercial or financial interests of a non-disclosing Party; and</w:t>
      </w:r>
    </w:p>
    <w:p w14:paraId="2C6DFF38" w14:textId="77777777" w:rsidR="00785040" w:rsidRPr="00727416" w:rsidRDefault="00785040" w:rsidP="00401FF9">
      <w:pPr>
        <w:pStyle w:val="ListParagraph"/>
        <w:numPr>
          <w:ilvl w:val="1"/>
          <w:numId w:val="12"/>
        </w:numPr>
      </w:pPr>
      <w:r w:rsidRPr="00727416">
        <w:t>being information supplied by a Party in confidence, the disclosure of which could reasonably be expected either to put the Party at a disadvantage in contractual or other negotiations or to prejudice the Party in commercial competition; or</w:t>
      </w:r>
    </w:p>
    <w:p w14:paraId="12E4CEAE" w14:textId="77777777" w:rsidR="00785040" w:rsidRPr="00727416" w:rsidRDefault="00785040" w:rsidP="00401FF9">
      <w:pPr>
        <w:pStyle w:val="ListParagraph"/>
        <w:numPr>
          <w:ilvl w:val="1"/>
          <w:numId w:val="12"/>
        </w:numPr>
      </w:pPr>
      <w:r w:rsidRPr="0072741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ED999B0" w14:textId="750F482E" w:rsidR="00785040" w:rsidRPr="00727416" w:rsidRDefault="00785040" w:rsidP="004A6945">
      <w:pPr>
        <w:pStyle w:val="ListParagraph"/>
        <w:numPr>
          <w:ilvl w:val="0"/>
          <w:numId w:val="12"/>
        </w:numPr>
        <w:ind w:hanging="425"/>
      </w:pPr>
      <w:r w:rsidRPr="00727416">
        <w:t xml:space="preserve">Notwithstanding the provisions of this Contract, no Party is entitled to disclose Confidential Information, except where required to do so in terms of a law, without the prior written consent of any other Party having an interest in the </w:t>
      </w:r>
      <w:r w:rsidR="004A6945" w:rsidRPr="00727416">
        <w:t>disclosure.</w:t>
      </w:r>
    </w:p>
    <w:p w14:paraId="2CE9E2C9" w14:textId="77777777" w:rsidR="00785040" w:rsidRPr="00727416" w:rsidRDefault="00785040" w:rsidP="004A6945">
      <w:pPr>
        <w:pStyle w:val="ListParagraph"/>
        <w:numPr>
          <w:ilvl w:val="0"/>
          <w:numId w:val="12"/>
        </w:numPr>
        <w:ind w:hanging="425"/>
      </w:pPr>
      <w:r w:rsidRPr="00727416">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727416">
        <w:t>dispute;</w:t>
      </w:r>
      <w:proofErr w:type="gramEnd"/>
    </w:p>
    <w:p w14:paraId="23ADF796" w14:textId="77777777" w:rsidR="00785040" w:rsidRPr="00727416" w:rsidRDefault="00785040" w:rsidP="004A6945">
      <w:pPr>
        <w:pStyle w:val="ListParagraph"/>
        <w:numPr>
          <w:ilvl w:val="0"/>
          <w:numId w:val="12"/>
        </w:numPr>
        <w:ind w:hanging="425"/>
      </w:pPr>
      <w:r w:rsidRPr="0072741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40002AB" w14:textId="77777777" w:rsidR="004176AA" w:rsidRPr="00727416" w:rsidRDefault="00785040" w:rsidP="00785040">
      <w:pPr>
        <w:pStyle w:val="Heading4"/>
        <w:ind w:left="567"/>
      </w:pPr>
      <w:r w:rsidRPr="00727416">
        <w:t>Guarantee and warranties</w:t>
      </w:r>
    </w:p>
    <w:p w14:paraId="6F733767" w14:textId="77777777" w:rsidR="00785040" w:rsidRPr="00727416" w:rsidRDefault="00785040" w:rsidP="004A6945">
      <w:pPr>
        <w:pStyle w:val="ListParagraph"/>
        <w:numPr>
          <w:ilvl w:val="0"/>
          <w:numId w:val="13"/>
        </w:numPr>
        <w:ind w:hanging="283"/>
      </w:pPr>
      <w:r w:rsidRPr="00727416">
        <w:t>The supplier confirms that:</w:t>
      </w:r>
    </w:p>
    <w:p w14:paraId="32217017" w14:textId="77777777" w:rsidR="00785040" w:rsidRPr="00727416" w:rsidRDefault="00785040" w:rsidP="00401FF9">
      <w:pPr>
        <w:pStyle w:val="ListParagraph"/>
        <w:numPr>
          <w:ilvl w:val="1"/>
          <w:numId w:val="13"/>
        </w:numPr>
      </w:pPr>
      <w:r w:rsidRPr="00727416">
        <w:lastRenderedPageBreak/>
        <w:t>The warranty of goods supplied under this contract remains valid for the duration of the contract after the goods were delivered, installed and commissioned with a sign off, including the clients signature</w:t>
      </w:r>
    </w:p>
    <w:p w14:paraId="47D5FDFE" w14:textId="77777777" w:rsidR="00785040" w:rsidRPr="00727416" w:rsidRDefault="00785040" w:rsidP="00401FF9">
      <w:pPr>
        <w:pStyle w:val="ListParagraph"/>
        <w:numPr>
          <w:ilvl w:val="1"/>
          <w:numId w:val="13"/>
        </w:numPr>
      </w:pPr>
      <w:r w:rsidRPr="00727416">
        <w:t xml:space="preserve">as at Commencement Date, it has the rights, title and interest in and to the Product or Services to deliver such Product or Services in terms of the Contract and that such rights are free from any encumbrances </w:t>
      </w:r>
      <w:proofErr w:type="gramStart"/>
      <w:r w:rsidRPr="00727416">
        <w:t>whatsoever;</w:t>
      </w:r>
      <w:proofErr w:type="gramEnd"/>
    </w:p>
    <w:p w14:paraId="777DD8BB" w14:textId="77777777" w:rsidR="00785040" w:rsidRPr="00727416" w:rsidRDefault="00785040" w:rsidP="00401FF9">
      <w:pPr>
        <w:pStyle w:val="ListParagraph"/>
        <w:numPr>
          <w:ilvl w:val="1"/>
          <w:numId w:val="13"/>
        </w:numPr>
      </w:pPr>
      <w:r w:rsidRPr="00727416">
        <w:t xml:space="preserve">the Product is in good working order, free from Defects in material and workmanship, and substantially conforms to the Specifications, for the duration of the Warranty </w:t>
      </w:r>
      <w:proofErr w:type="gramStart"/>
      <w:r w:rsidRPr="00727416">
        <w:t>period;</w:t>
      </w:r>
      <w:proofErr w:type="gramEnd"/>
    </w:p>
    <w:p w14:paraId="31F06782" w14:textId="77777777" w:rsidR="004176AA" w:rsidRPr="00727416" w:rsidRDefault="00785040" w:rsidP="00785040">
      <w:pPr>
        <w:pStyle w:val="Heading4"/>
        <w:ind w:left="567"/>
      </w:pPr>
      <w:r w:rsidRPr="00727416">
        <w:t>Intellectual Property Rights</w:t>
      </w:r>
    </w:p>
    <w:p w14:paraId="6EBFBD84" w14:textId="688379A7" w:rsidR="004176AA" w:rsidRPr="00727416" w:rsidRDefault="007F2354" w:rsidP="004A6945">
      <w:pPr>
        <w:pStyle w:val="ListParagraph"/>
        <w:numPr>
          <w:ilvl w:val="0"/>
          <w:numId w:val="14"/>
        </w:numPr>
        <w:ind w:hanging="283"/>
      </w:pPr>
      <w:r w:rsidRPr="007F2354">
        <w:t>DCS</w:t>
      </w:r>
      <w:r w:rsidR="00785040" w:rsidRPr="007F2354">
        <w:t xml:space="preserve"> </w:t>
      </w:r>
      <w:r w:rsidR="00785040" w:rsidRPr="00727416">
        <w:t xml:space="preserve">retains all Intellectual Property Rights in and to </w:t>
      </w:r>
      <w:r>
        <w:t>DCS</w:t>
      </w:r>
      <w:r w:rsidR="00785040" w:rsidRPr="00727416">
        <w:t xml:space="preserve"> Intellectual Property. As of the Effective Date, the Supplier is granted a non-exclusive license, for the continued duration of this Contract, to perform any lawful act including the right to use, copy, maintain, modify, enhance and create derivative works of </w:t>
      </w:r>
      <w:r>
        <w:t xml:space="preserve">DCS </w:t>
      </w:r>
      <w:r w:rsidR="00785040" w:rsidRPr="00727416">
        <w:t xml:space="preserve">Intellectual Property for the sole purpose of providing the Products or Services to </w:t>
      </w:r>
      <w:r>
        <w:t>DCS</w:t>
      </w:r>
      <w:r w:rsidR="00785040" w:rsidRPr="00727416">
        <w:t xml:space="preserve"> pursuant to this Contract; provided that the Supplier must not be permitted to use </w:t>
      </w:r>
      <w:r>
        <w:t>DCS</w:t>
      </w:r>
      <w:r w:rsidR="00785040" w:rsidRPr="00727416">
        <w:t xml:space="preserve">' Intellectual Property for the benefit of any entities other than </w:t>
      </w:r>
      <w:r>
        <w:t>DCS</w:t>
      </w:r>
      <w:r w:rsidR="00785040" w:rsidRPr="00727416">
        <w:t xml:space="preserve"> without the written consent of </w:t>
      </w:r>
      <w:r>
        <w:t>DCS</w:t>
      </w:r>
      <w:r w:rsidR="00785040" w:rsidRPr="00727416">
        <w:t xml:space="preserve">, which consent may be withheld in </w:t>
      </w:r>
      <w:r>
        <w:t>DCS</w:t>
      </w:r>
      <w:r w:rsidR="00785040" w:rsidRPr="00727416">
        <w:t xml:space="preserve">' sole and absolute discretion. Except as otherwise requested or approved by </w:t>
      </w:r>
      <w:r>
        <w:t>DCS</w:t>
      </w:r>
      <w:r w:rsidR="00785040" w:rsidRPr="00727416">
        <w:t xml:space="preserve">, which approval is in </w:t>
      </w:r>
      <w:r>
        <w:t>DCS</w:t>
      </w:r>
      <w:r w:rsidR="00785040" w:rsidRPr="00727416">
        <w:t xml:space="preserve">' sole and absolute discretion, the Supplier must cease all use of </w:t>
      </w:r>
      <w:r>
        <w:t>DCS</w:t>
      </w:r>
      <w:r w:rsidR="00785040" w:rsidRPr="00727416">
        <w:t>' Intellectual Property, at of the earliest of:</w:t>
      </w:r>
    </w:p>
    <w:p w14:paraId="4CD6623F" w14:textId="77777777" w:rsidR="00FB0A01" w:rsidRPr="00727416" w:rsidRDefault="00FB0A01" w:rsidP="00401FF9">
      <w:pPr>
        <w:pStyle w:val="ListParagraph"/>
        <w:numPr>
          <w:ilvl w:val="1"/>
          <w:numId w:val="14"/>
        </w:numPr>
      </w:pPr>
      <w:r w:rsidRPr="00727416">
        <w:t xml:space="preserve">termination or expiration date of this </w:t>
      </w:r>
      <w:proofErr w:type="gramStart"/>
      <w:r w:rsidRPr="00727416">
        <w:t>Contract;</w:t>
      </w:r>
      <w:proofErr w:type="gramEnd"/>
      <w:r w:rsidRPr="00727416">
        <w:t xml:space="preserve"> </w:t>
      </w:r>
    </w:p>
    <w:p w14:paraId="5783D6F0" w14:textId="77777777" w:rsidR="00FB0A01" w:rsidRPr="00727416" w:rsidRDefault="00FB0A01" w:rsidP="00401FF9">
      <w:pPr>
        <w:pStyle w:val="ListParagraph"/>
        <w:numPr>
          <w:ilvl w:val="1"/>
          <w:numId w:val="14"/>
        </w:numPr>
      </w:pPr>
      <w:r w:rsidRPr="00727416">
        <w:t xml:space="preserve">the date of completion of the Services; and </w:t>
      </w:r>
    </w:p>
    <w:p w14:paraId="77D99D09" w14:textId="77777777" w:rsidR="00FB0A01" w:rsidRPr="00727416" w:rsidRDefault="00FB0A01" w:rsidP="00401FF9">
      <w:pPr>
        <w:pStyle w:val="ListParagraph"/>
        <w:numPr>
          <w:ilvl w:val="1"/>
          <w:numId w:val="14"/>
        </w:numPr>
      </w:pPr>
      <w:r w:rsidRPr="00727416">
        <w:t>the date of rendering of the last of the Deliverables</w:t>
      </w:r>
    </w:p>
    <w:p w14:paraId="726A5907" w14:textId="539F022F" w:rsidR="00FB0A01" w:rsidRPr="00727416" w:rsidRDefault="00FB0A01" w:rsidP="004A6945">
      <w:pPr>
        <w:pStyle w:val="ListParagraph"/>
        <w:numPr>
          <w:ilvl w:val="0"/>
          <w:numId w:val="14"/>
        </w:numPr>
        <w:ind w:hanging="283"/>
      </w:pPr>
      <w:r w:rsidRPr="00727416">
        <w:rPr>
          <w:rFonts w:cs="Calibri"/>
        </w:rPr>
        <w:t xml:space="preserve">If </w:t>
      </w:r>
      <w:proofErr w:type="gramStart"/>
      <w:r w:rsidRPr="00727416">
        <w:rPr>
          <w:rFonts w:cs="Calibri"/>
        </w:rPr>
        <w:t>so</w:t>
      </w:r>
      <w:proofErr w:type="gramEnd"/>
      <w:r w:rsidRPr="00727416">
        <w:rPr>
          <w:rFonts w:cs="Calibri"/>
        </w:rPr>
        <w:t xml:space="preserve"> required by </w:t>
      </w:r>
      <w:r w:rsidR="006E6774">
        <w:rPr>
          <w:rFonts w:cs="Calibri"/>
        </w:rPr>
        <w:t>DCS</w:t>
      </w:r>
      <w:r w:rsidRPr="00727416">
        <w:rPr>
          <w:rFonts w:cs="Calibri"/>
        </w:rPr>
        <w:t xml:space="preserve">, the Supplier must certify in writing to </w:t>
      </w:r>
      <w:r w:rsidR="006E6774">
        <w:rPr>
          <w:rFonts w:cs="Calibri"/>
        </w:rPr>
        <w:t>DCS</w:t>
      </w:r>
      <w:r w:rsidRPr="00727416">
        <w:rPr>
          <w:rFonts w:cs="Calibri"/>
        </w:rPr>
        <w:t xml:space="preserve"> that it has either returned all </w:t>
      </w:r>
      <w:r w:rsidR="006E6774">
        <w:rPr>
          <w:rFonts w:cs="Calibri"/>
        </w:rPr>
        <w:t>DCS</w:t>
      </w:r>
      <w:r w:rsidRPr="00727416">
        <w:rPr>
          <w:rFonts w:cs="Calibri"/>
        </w:rPr>
        <w:t xml:space="preserve"> Intellectual Property to </w:t>
      </w:r>
      <w:r w:rsidR="006E6774">
        <w:rPr>
          <w:rFonts w:cs="Calibri"/>
        </w:rPr>
        <w:t>DCS</w:t>
      </w:r>
      <w:r w:rsidRPr="00727416">
        <w:rPr>
          <w:rFonts w:cs="Calibri"/>
        </w:rPr>
        <w:t xml:space="preserve"> or destroyed or deleted all other </w:t>
      </w:r>
      <w:r w:rsidR="006E6774">
        <w:rPr>
          <w:rFonts w:cs="Calibri"/>
        </w:rPr>
        <w:t>DCS</w:t>
      </w:r>
      <w:r w:rsidRPr="00727416">
        <w:rPr>
          <w:rFonts w:cs="Calibri"/>
        </w:rPr>
        <w:t xml:space="preserve"> Intellectual Property in its possession or under its control</w:t>
      </w:r>
    </w:p>
    <w:p w14:paraId="74E65DFF" w14:textId="03255399" w:rsidR="00FB0A01" w:rsidRPr="00727416" w:rsidRDefault="006E6774" w:rsidP="004A6945">
      <w:pPr>
        <w:pStyle w:val="ListParagraph"/>
        <w:numPr>
          <w:ilvl w:val="0"/>
          <w:numId w:val="14"/>
        </w:numPr>
        <w:ind w:hanging="283"/>
      </w:pPr>
      <w:r>
        <w:t>DCS</w:t>
      </w:r>
      <w:r w:rsidR="00FB0A01" w:rsidRPr="00727416">
        <w:t xml:space="preserve">, </w:t>
      </w:r>
      <w:proofErr w:type="gramStart"/>
      <w:r w:rsidR="00FB0A01" w:rsidRPr="00727416">
        <w:t>at all times</w:t>
      </w:r>
      <w:proofErr w:type="gramEnd"/>
      <w:r w:rsidR="00FB0A01" w:rsidRPr="00727416">
        <w:t xml:space="preserve">, owns all Intellectual Property Rights in and to all Bespoke Intellectual Property. </w:t>
      </w:r>
    </w:p>
    <w:p w14:paraId="44B0F49A" w14:textId="77777777" w:rsidR="00FB0A01" w:rsidRPr="00727416" w:rsidRDefault="00FB0A01" w:rsidP="004A6945">
      <w:pPr>
        <w:pStyle w:val="ListParagraph"/>
        <w:numPr>
          <w:ilvl w:val="0"/>
          <w:numId w:val="14"/>
        </w:numPr>
        <w:ind w:hanging="283"/>
      </w:pPr>
      <w:r w:rsidRPr="00727416">
        <w:t>Save for the license granted in terms of this Contract, the Supplier retains all Intellectual Property Rights in and to the Supplier’s pre-existing Intellectual Property that is used or supplied in connection with the Products or Services</w:t>
      </w:r>
    </w:p>
    <w:p w14:paraId="53A48040" w14:textId="1E8C63DA" w:rsidR="00FB0A01" w:rsidRPr="00727416" w:rsidRDefault="00FB0A01" w:rsidP="004A6945">
      <w:pPr>
        <w:pStyle w:val="ListParagraph"/>
        <w:numPr>
          <w:ilvl w:val="0"/>
          <w:numId w:val="14"/>
        </w:numPr>
        <w:ind w:hanging="283"/>
      </w:pPr>
      <w:r w:rsidRPr="00727416">
        <w:t xml:space="preserve">Provide </w:t>
      </w:r>
      <w:r w:rsidR="006E6774">
        <w:t>DCS</w:t>
      </w:r>
      <w:r w:rsidRPr="00727416">
        <w:t xml:space="preserve"> with the compliant Occupational Health and Safety File (required on site for period of installation and proof of compliance).</w:t>
      </w:r>
    </w:p>
    <w:p w14:paraId="68D8FBF4" w14:textId="77777777" w:rsidR="00AF6423" w:rsidRPr="00727416" w:rsidRDefault="00AF6423" w:rsidP="00AF6423">
      <w:pPr>
        <w:pStyle w:val="Heading4"/>
        <w:ind w:left="567"/>
      </w:pPr>
      <w:r w:rsidRPr="00727416">
        <w:t>General</w:t>
      </w:r>
    </w:p>
    <w:p w14:paraId="67469E46" w14:textId="77777777" w:rsidR="00785040" w:rsidRPr="00727416" w:rsidRDefault="00AF6423" w:rsidP="004A6945">
      <w:pPr>
        <w:pStyle w:val="ListParagraph"/>
        <w:numPr>
          <w:ilvl w:val="0"/>
          <w:numId w:val="15"/>
        </w:numPr>
        <w:ind w:left="1276" w:hanging="425"/>
      </w:pPr>
      <w:r w:rsidRPr="00727416">
        <w:t>The supplier will be bound by Government Procurement: General Conditions of Contract.</w:t>
      </w:r>
    </w:p>
    <w:p w14:paraId="1B32CD15" w14:textId="196905F4" w:rsidR="00AF6423" w:rsidRPr="00727416" w:rsidRDefault="00AF6423" w:rsidP="004A6945">
      <w:pPr>
        <w:pStyle w:val="ListParagraph"/>
        <w:numPr>
          <w:ilvl w:val="0"/>
          <w:numId w:val="15"/>
        </w:numPr>
        <w:ind w:left="1276" w:hanging="425"/>
      </w:pPr>
      <w:r w:rsidRPr="00727416">
        <w:t xml:space="preserve">(GCC) as well as this Special Conditions of Contract (SCC), which will form part of the signed contract with the Supplier. However, </w:t>
      </w:r>
      <w:r w:rsidR="006E6774">
        <w:t xml:space="preserve">DCS </w:t>
      </w:r>
      <w:r w:rsidRPr="00727416">
        <w:t>reserves the right to include or waive the condition in the signed contract.</w:t>
      </w:r>
    </w:p>
    <w:p w14:paraId="06F25674" w14:textId="3D338152" w:rsidR="00AF6423" w:rsidRPr="00727416" w:rsidRDefault="006E6774" w:rsidP="004A6945">
      <w:pPr>
        <w:pStyle w:val="ListParagraph"/>
        <w:numPr>
          <w:ilvl w:val="0"/>
          <w:numId w:val="15"/>
        </w:numPr>
        <w:ind w:left="1276" w:hanging="425"/>
      </w:pPr>
      <w:r>
        <w:t>DCS</w:t>
      </w:r>
      <w:r w:rsidR="00AF6423" w:rsidRPr="00727416">
        <w:t xml:space="preserve"> reserves the right to:</w:t>
      </w:r>
    </w:p>
    <w:p w14:paraId="19EB5FFB" w14:textId="77777777" w:rsidR="00AF6423" w:rsidRPr="00727416" w:rsidRDefault="00AF6423" w:rsidP="004A6945">
      <w:pPr>
        <w:pStyle w:val="ListParagraph"/>
        <w:numPr>
          <w:ilvl w:val="1"/>
          <w:numId w:val="15"/>
        </w:numPr>
        <w:ind w:hanging="425"/>
      </w:pPr>
      <w:r w:rsidRPr="00727416">
        <w:t>Negotiate the conditions, or</w:t>
      </w:r>
    </w:p>
    <w:p w14:paraId="75CDF0BB" w14:textId="77777777" w:rsidR="00AF6423" w:rsidRPr="00727416" w:rsidRDefault="00AF6423" w:rsidP="004A6945">
      <w:pPr>
        <w:pStyle w:val="ListParagraph"/>
        <w:numPr>
          <w:ilvl w:val="1"/>
          <w:numId w:val="15"/>
        </w:numPr>
        <w:ind w:hanging="425"/>
      </w:pPr>
      <w:r w:rsidRPr="00727416">
        <w:t>Automatically disqualify a bidder for not accepting these conditions, or</w:t>
      </w:r>
    </w:p>
    <w:p w14:paraId="789919E3" w14:textId="77777777" w:rsidR="00AF6423" w:rsidRPr="00727416" w:rsidRDefault="00AF6423" w:rsidP="004A6945">
      <w:pPr>
        <w:pStyle w:val="ListParagraph"/>
        <w:numPr>
          <w:ilvl w:val="1"/>
          <w:numId w:val="15"/>
        </w:numPr>
        <w:ind w:hanging="425"/>
      </w:pPr>
      <w:r w:rsidRPr="00727416">
        <w:t xml:space="preserve">Before </w:t>
      </w:r>
      <w:proofErr w:type="gramStart"/>
      <w:r w:rsidRPr="00727416">
        <w:t>entering into</w:t>
      </w:r>
      <w:proofErr w:type="gramEnd"/>
      <w:r w:rsidRPr="00727416">
        <w:t xml:space="preserve"> a contract, conduct or commission an external service provider to audit or conduct probity to ascertain whether a qualifying bidder has the technical capability to provide the goods and services as required by this tender.</w:t>
      </w:r>
    </w:p>
    <w:p w14:paraId="5088B464" w14:textId="77777777" w:rsidR="00AF6423" w:rsidRPr="00723222" w:rsidRDefault="00AF6423" w:rsidP="00AF6423">
      <w:pPr>
        <w:pStyle w:val="Heading4"/>
        <w:ind w:left="567"/>
      </w:pPr>
      <w:r w:rsidRPr="00723222">
        <w:t>Counter Conditions</w:t>
      </w:r>
    </w:p>
    <w:p w14:paraId="277D397F" w14:textId="77777777" w:rsidR="00AF6423" w:rsidRPr="00727416" w:rsidRDefault="00AF6423" w:rsidP="004A6945">
      <w:pPr>
        <w:pStyle w:val="ListParagraph"/>
        <w:ind w:left="851"/>
      </w:pPr>
      <w:r w:rsidRPr="00727416">
        <w:t>Bidders’ attention is drawn to the fact that amendments to any of the Bid Conditions or setting of counter conditions by bidders may result in the invalidation of such bids.</w:t>
      </w:r>
    </w:p>
    <w:p w14:paraId="0A137676" w14:textId="77777777" w:rsidR="00AF6423" w:rsidRPr="00727416" w:rsidRDefault="00AF6423" w:rsidP="00AF6423">
      <w:pPr>
        <w:pStyle w:val="Heading4"/>
        <w:ind w:left="567"/>
      </w:pPr>
      <w:r w:rsidRPr="00727416">
        <w:lastRenderedPageBreak/>
        <w:t>Fronting</w:t>
      </w:r>
    </w:p>
    <w:p w14:paraId="27B43E9F" w14:textId="18BF013E" w:rsidR="00AF6423" w:rsidRPr="00727416" w:rsidRDefault="00AF6423" w:rsidP="004A6945">
      <w:pPr>
        <w:pStyle w:val="ListParagraph"/>
        <w:numPr>
          <w:ilvl w:val="0"/>
          <w:numId w:val="17"/>
        </w:numPr>
        <w:ind w:left="1276" w:hanging="425"/>
      </w:pPr>
      <w:r w:rsidRPr="00727416">
        <w:t xml:space="preserve">The </w:t>
      </w:r>
      <w:r w:rsidR="006E6774" w:rsidRPr="006E6774">
        <w:t xml:space="preserve">DCS </w:t>
      </w:r>
      <w:r w:rsidRPr="00727416">
        <w:t xml:space="preserve">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6E6774">
        <w:t xml:space="preserve">DCS </w:t>
      </w:r>
      <w:r w:rsidRPr="00727416">
        <w:t>will not condone any form of fronting.</w:t>
      </w:r>
    </w:p>
    <w:p w14:paraId="48D3249D" w14:textId="7A118F7A" w:rsidR="00AF6423" w:rsidRPr="00727416" w:rsidRDefault="00AF6423" w:rsidP="004A6945">
      <w:pPr>
        <w:pStyle w:val="ListParagraph"/>
        <w:numPr>
          <w:ilvl w:val="0"/>
          <w:numId w:val="17"/>
        </w:numPr>
        <w:ind w:left="1276" w:hanging="425"/>
      </w:pPr>
      <w:r w:rsidRPr="00727416">
        <w:t xml:space="preserve">The </w:t>
      </w:r>
      <w:r w:rsidR="006E6774">
        <w:t>DCS</w:t>
      </w:r>
      <w:r w:rsidRPr="00727416">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006E6774">
        <w:t>DCS</w:t>
      </w:r>
      <w:r w:rsidRPr="00727416">
        <w:t xml:space="preserve"> may have against the bidder/contractor concerned.</w:t>
      </w:r>
    </w:p>
    <w:p w14:paraId="6730867B" w14:textId="77777777" w:rsidR="005F2530" w:rsidRPr="00727416" w:rsidRDefault="005F2530" w:rsidP="00D16157">
      <w:pPr>
        <w:pStyle w:val="Heading4"/>
        <w:ind w:left="630" w:hanging="630"/>
      </w:pPr>
      <w:r w:rsidRPr="00727416">
        <w:t>Business Continuity and Disaster Recovery Plans</w:t>
      </w:r>
    </w:p>
    <w:p w14:paraId="4BA408A8" w14:textId="77777777" w:rsidR="004176AA" w:rsidRPr="00727416" w:rsidRDefault="005F2530" w:rsidP="004A6945">
      <w:pPr>
        <w:pStyle w:val="ListParagraph"/>
        <w:ind w:left="851"/>
      </w:pPr>
      <w:r w:rsidRPr="00727416">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EECE50D" w14:textId="77777777" w:rsidR="005F2530" w:rsidRPr="00727416" w:rsidRDefault="005F2530" w:rsidP="005F2530">
      <w:pPr>
        <w:pStyle w:val="Heading4"/>
        <w:ind w:left="567"/>
      </w:pPr>
      <w:r w:rsidRPr="00727416">
        <w:t>Supplier Due Diligence</w:t>
      </w:r>
    </w:p>
    <w:p w14:paraId="111C23A1" w14:textId="435C8F1D" w:rsidR="0072760B" w:rsidRPr="00727416" w:rsidRDefault="006E6774" w:rsidP="004A6945">
      <w:pPr>
        <w:pStyle w:val="ListParagraph"/>
        <w:ind w:left="851"/>
      </w:pPr>
      <w:r>
        <w:t xml:space="preserve">DCS </w:t>
      </w:r>
      <w:r w:rsidR="005F2530" w:rsidRPr="00727416">
        <w:t>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F8F8D5C" w14:textId="77777777" w:rsidR="0072760B" w:rsidRPr="00727416" w:rsidRDefault="0072760B" w:rsidP="0072760B">
      <w:pPr>
        <w:pStyle w:val="Heading4"/>
        <w:ind w:left="567"/>
      </w:pPr>
      <w:r w:rsidRPr="00727416">
        <w:t>Preference Goal Requirements conditions</w:t>
      </w:r>
    </w:p>
    <w:p w14:paraId="412EF344" w14:textId="06EE11E9" w:rsidR="0072760B" w:rsidRPr="00727416" w:rsidRDefault="0072760B" w:rsidP="004A6945">
      <w:pPr>
        <w:pStyle w:val="ListParagraph"/>
        <w:numPr>
          <w:ilvl w:val="0"/>
          <w:numId w:val="28"/>
        </w:numPr>
        <w:ind w:left="1276" w:hanging="425"/>
      </w:pPr>
      <w:r w:rsidRPr="00727416">
        <w:t xml:space="preserve">The Bidder’s commitment for the Preference Goal Requirements in this tender will be legally </w:t>
      </w:r>
      <w:r w:rsidR="004A6945" w:rsidRPr="00727416">
        <w:t>binding,</w:t>
      </w:r>
      <w:r w:rsidRPr="00727416">
        <w:t xml:space="preserve"> and the Bidder needs to perform against their commitment for the duration of the contract which will form part of the Contractual Agreement.</w:t>
      </w:r>
    </w:p>
    <w:p w14:paraId="41374075" w14:textId="77777777" w:rsidR="0072760B" w:rsidRPr="00727416" w:rsidRDefault="0072760B" w:rsidP="004A6945">
      <w:pPr>
        <w:pStyle w:val="ListParagraph"/>
        <w:numPr>
          <w:ilvl w:val="0"/>
          <w:numId w:val="28"/>
        </w:numPr>
        <w:ind w:left="1276" w:hanging="425"/>
      </w:pPr>
      <w:r w:rsidRPr="00727416">
        <w:t xml:space="preserve">The Bidder must </w:t>
      </w:r>
      <w:proofErr w:type="gramStart"/>
      <w:r w:rsidRPr="00727416">
        <w:t>sustain, or</w:t>
      </w:r>
      <w:proofErr w:type="gramEnd"/>
      <w:r w:rsidRPr="00727416">
        <w:t xml:space="preserve"> improve the company’s BBBEE Level for the duration of the contact which will form part of the Contractual Agreement.</w:t>
      </w:r>
    </w:p>
    <w:p w14:paraId="7FB0B0A7" w14:textId="77777777" w:rsidR="0072760B" w:rsidRPr="00727416" w:rsidRDefault="0072760B" w:rsidP="004A6945">
      <w:pPr>
        <w:pStyle w:val="ListParagraph"/>
        <w:numPr>
          <w:ilvl w:val="0"/>
          <w:numId w:val="28"/>
        </w:numPr>
        <w:ind w:left="1276" w:hanging="425"/>
      </w:pPr>
      <w:r w:rsidRPr="00727416">
        <w:t>Performance of Preference Goal Requirements will be determined annually. Bidders must submit their Preference status report indicating progress against the Bidder’s Preferential commitments within 30 days of the yearly anniversary of the contract.</w:t>
      </w:r>
    </w:p>
    <w:p w14:paraId="3875E2F1" w14:textId="77777777" w:rsidR="0072760B" w:rsidRPr="00727416" w:rsidRDefault="0072760B" w:rsidP="004A6945">
      <w:pPr>
        <w:pStyle w:val="ListParagraph"/>
        <w:numPr>
          <w:ilvl w:val="0"/>
          <w:numId w:val="28"/>
        </w:numPr>
        <w:ind w:left="1276" w:hanging="425"/>
      </w:pPr>
      <w:r w:rsidRPr="00727416">
        <w:t>Bidders need to keep auditable substantive records / evidence and upon request by SITA</w:t>
      </w:r>
      <w:r w:rsidR="000E14DD" w:rsidRPr="00727416">
        <w:t>/Department</w:t>
      </w:r>
      <w:r w:rsidRPr="00727416">
        <w:t xml:space="preserve"> must be made available for audit and, or due diligence purposes.</w:t>
      </w:r>
    </w:p>
    <w:p w14:paraId="1D8FFD29" w14:textId="77777777" w:rsidR="0072760B" w:rsidRPr="00727416" w:rsidRDefault="0072760B" w:rsidP="004A6945">
      <w:pPr>
        <w:pStyle w:val="ListParagraph"/>
        <w:numPr>
          <w:ilvl w:val="0"/>
          <w:numId w:val="28"/>
        </w:numPr>
        <w:ind w:left="1276" w:hanging="425"/>
      </w:pPr>
      <w:r w:rsidRPr="00727416">
        <w:t>SITA reserves the right to require from a Bidder, either before a bid is adjudicated or at any time subsequently, to substantiate any claim with regards to preferences, in any manner required by SITA.</w:t>
      </w:r>
    </w:p>
    <w:p w14:paraId="37EFDDEB" w14:textId="77777777" w:rsidR="0072760B" w:rsidRPr="00727416" w:rsidRDefault="0072760B" w:rsidP="004A6945">
      <w:pPr>
        <w:pStyle w:val="ListParagraph"/>
        <w:numPr>
          <w:ilvl w:val="0"/>
          <w:numId w:val="28"/>
        </w:numPr>
        <w:ind w:hanging="283"/>
      </w:pPr>
      <w:r w:rsidRPr="00727416">
        <w:t>SITA reserves the right to verify information / evidence provided by the Bidder.</w:t>
      </w:r>
    </w:p>
    <w:p w14:paraId="082159EA" w14:textId="77777777" w:rsidR="008049F9" w:rsidRPr="00727416" w:rsidRDefault="0072760B" w:rsidP="004A6945">
      <w:pPr>
        <w:pStyle w:val="ListParagraph"/>
        <w:numPr>
          <w:ilvl w:val="0"/>
          <w:numId w:val="28"/>
        </w:numPr>
        <w:ind w:hanging="283"/>
      </w:pPr>
      <w:r w:rsidRPr="00727416">
        <w:t>SITA</w:t>
      </w:r>
      <w:r w:rsidR="000E14DD" w:rsidRPr="00727416">
        <w:t>/Department</w:t>
      </w:r>
      <w:r w:rsidRPr="00727416">
        <w:t xml:space="preserve"> reserves the right to introduce a </w:t>
      </w:r>
      <w:r w:rsidRPr="00727416">
        <w:rPr>
          <w:b/>
          <w:bCs/>
        </w:rPr>
        <w:t>penalty of 1%</w:t>
      </w:r>
      <w:r w:rsidRPr="00727416">
        <w:t xml:space="preserve"> of the overall annual year spent by SITA</w:t>
      </w:r>
      <w:r w:rsidR="000E14DD" w:rsidRPr="00727416">
        <w:t>/Department</w:t>
      </w:r>
      <w:r w:rsidRPr="00727416">
        <w:t xml:space="preserve"> for the prior year if the Bidder fails to comply to </w:t>
      </w:r>
      <w:r w:rsidRPr="00727416">
        <w:rPr>
          <w:b/>
          <w:bCs/>
        </w:rPr>
        <w:t>paragraphs (a), (b) and (c) above</w:t>
      </w:r>
      <w:r w:rsidRPr="00727416">
        <w:t>.</w:t>
      </w:r>
    </w:p>
    <w:p w14:paraId="02831BCF" w14:textId="3037E6C1" w:rsidR="008049F9" w:rsidRPr="00727416" w:rsidRDefault="008049F9" w:rsidP="004A6945">
      <w:pPr>
        <w:pStyle w:val="Heading3"/>
        <w:ind w:left="630" w:hanging="630"/>
      </w:pPr>
      <w:bookmarkStart w:id="38" w:name="_Toc106894479"/>
      <w:bookmarkStart w:id="39" w:name="_Toc212792006"/>
      <w:r w:rsidRPr="00727416">
        <w:lastRenderedPageBreak/>
        <w:t xml:space="preserve">Declaration of compliance and acceptance </w:t>
      </w:r>
      <w:r w:rsidR="008A54D7">
        <w:t xml:space="preserve">of </w:t>
      </w:r>
      <w:r w:rsidRPr="00727416">
        <w:t>SCC</w:t>
      </w:r>
      <w:bookmarkEnd w:id="38"/>
      <w:bookmarkEnd w:id="39"/>
    </w:p>
    <w:p w14:paraId="7ACE97B5" w14:textId="77777777" w:rsidR="008049F9" w:rsidRPr="00727416" w:rsidRDefault="008049F9" w:rsidP="008049F9">
      <w:pPr>
        <w:rPr>
          <w:lang w:val="en-GB"/>
        </w:rPr>
      </w:pPr>
      <w:r w:rsidRPr="00727416">
        <w:rPr>
          <w:lang w:val="en-GB"/>
        </w:rPr>
        <w:t>I (we), the bidder hereby declare that I (we) accept ALL the Special Conditions of Contract as specified in par 4.3.2 above and shall comply with all stated obligations:</w:t>
      </w:r>
    </w:p>
    <w:p w14:paraId="629EEDD8" w14:textId="77777777" w:rsidR="008049F9" w:rsidRPr="00727416" w:rsidRDefault="008049F9" w:rsidP="008049F9">
      <w:pPr>
        <w:rPr>
          <w:lang w:val="en-GB"/>
        </w:rPr>
      </w:pPr>
    </w:p>
    <w:p w14:paraId="06176864" w14:textId="72317542" w:rsidR="008049F9" w:rsidRPr="00727416" w:rsidRDefault="008049F9" w:rsidP="008049F9">
      <w:pPr>
        <w:rPr>
          <w:lang w:val="en-GB"/>
        </w:rPr>
      </w:pPr>
      <w:r w:rsidRPr="00727416">
        <w:rPr>
          <w:lang w:val="en-GB"/>
        </w:rPr>
        <w:t xml:space="preserve">Name of </w:t>
      </w:r>
      <w:r w:rsidR="00D16157" w:rsidRPr="00727416">
        <w:rPr>
          <w:lang w:val="en-GB"/>
        </w:rPr>
        <w:t>Bidder: _</w:t>
      </w:r>
      <w:r w:rsidRPr="00727416">
        <w:rPr>
          <w:lang w:val="en-GB"/>
        </w:rPr>
        <w:t>____________________________</w:t>
      </w:r>
      <w:r w:rsidRPr="00727416">
        <w:rPr>
          <w:lang w:val="en-GB"/>
        </w:rPr>
        <w:tab/>
        <w:t>Signature: _________________________</w:t>
      </w:r>
    </w:p>
    <w:p w14:paraId="4B0C6D8A" w14:textId="77777777" w:rsidR="008049F9" w:rsidRPr="00727416" w:rsidRDefault="008049F9" w:rsidP="008049F9"/>
    <w:p w14:paraId="36D31D3A" w14:textId="5D515897" w:rsidR="0026097F" w:rsidRDefault="00D16157" w:rsidP="0026097F">
      <w:r w:rsidRPr="00727416">
        <w:t>Date: _</w:t>
      </w:r>
      <w:r w:rsidR="008049F9" w:rsidRPr="00727416">
        <w:t>_____________</w:t>
      </w:r>
    </w:p>
    <w:p w14:paraId="5C150898" w14:textId="77777777" w:rsidR="008360E8" w:rsidRDefault="008360E8" w:rsidP="0026097F"/>
    <w:p w14:paraId="6A8CBC78" w14:textId="4AC4F780" w:rsidR="006E6774" w:rsidRPr="0017574E" w:rsidRDefault="006E6774" w:rsidP="004A6945">
      <w:pPr>
        <w:pStyle w:val="Heading2"/>
        <w:ind w:hanging="709"/>
        <w:rPr>
          <w:b w:val="0"/>
          <w:sz w:val="24"/>
          <w:szCs w:val="24"/>
        </w:rPr>
      </w:pPr>
      <w:bookmarkStart w:id="40" w:name="_Toc165635687"/>
      <w:bookmarkStart w:id="41" w:name="_Toc212792007"/>
      <w:r w:rsidRPr="0017574E">
        <w:rPr>
          <w:sz w:val="24"/>
          <w:szCs w:val="24"/>
        </w:rPr>
        <w:t xml:space="preserve">Price and Preference Points Evaluation (Stage </w:t>
      </w:r>
      <w:r w:rsidR="008A54D7">
        <w:rPr>
          <w:sz w:val="24"/>
          <w:szCs w:val="24"/>
        </w:rPr>
        <w:t>4</w:t>
      </w:r>
      <w:r w:rsidRPr="0017574E">
        <w:rPr>
          <w:sz w:val="24"/>
          <w:szCs w:val="24"/>
        </w:rPr>
        <w:t>)</w:t>
      </w:r>
      <w:bookmarkEnd w:id="40"/>
      <w:bookmarkEnd w:id="41"/>
      <w:r w:rsidRPr="0017574E">
        <w:rPr>
          <w:sz w:val="24"/>
          <w:szCs w:val="24"/>
        </w:rPr>
        <w:t xml:space="preserve"> </w:t>
      </w:r>
    </w:p>
    <w:p w14:paraId="342742DA" w14:textId="77777777" w:rsidR="006E6774" w:rsidRPr="00435565" w:rsidRDefault="006E6774" w:rsidP="004A6945">
      <w:pPr>
        <w:pStyle w:val="Heading3"/>
        <w:ind w:hanging="747"/>
        <w:rPr>
          <w:b w:val="0"/>
          <w:iCs w:val="0"/>
        </w:rPr>
      </w:pPr>
      <w:bookmarkStart w:id="42" w:name="_Toc132720221"/>
      <w:bookmarkStart w:id="43" w:name="_Toc212792008"/>
      <w:bookmarkStart w:id="44" w:name="_Toc139372678"/>
      <w:r w:rsidRPr="0017574E">
        <w:t xml:space="preserve">Costing </w:t>
      </w:r>
      <w:bookmarkEnd w:id="42"/>
      <w:r w:rsidRPr="0017574E">
        <w:t>and Preference Evaluation</w:t>
      </w:r>
      <w:bookmarkEnd w:id="43"/>
    </w:p>
    <w:p w14:paraId="613C7751" w14:textId="77777777" w:rsidR="006E6774" w:rsidRPr="00435565" w:rsidRDefault="006E6774" w:rsidP="00401FF9">
      <w:pPr>
        <w:numPr>
          <w:ilvl w:val="0"/>
          <w:numId w:val="37"/>
        </w:numPr>
      </w:pPr>
      <w:r w:rsidRPr="00435565">
        <w:rPr>
          <w:lang w:val="en-GB"/>
        </w:rPr>
        <w:t xml:space="preserve">In terms of </w:t>
      </w:r>
      <w:bookmarkStart w:id="45" w:name="_Hlk80033687"/>
      <w:r w:rsidRPr="00435565">
        <w:rPr>
          <w:lang w:val="en-GB"/>
        </w:rPr>
        <w:t>the SITA Preferential Procurement Policy</w:t>
      </w:r>
      <w:bookmarkEnd w:id="45"/>
      <w:r w:rsidRPr="00435565">
        <w:rPr>
          <w:lang w:val="en-GB"/>
        </w:rPr>
        <w:t xml:space="preserve"> (PPP), the following preference point system is applicable to all Bids:</w:t>
      </w:r>
    </w:p>
    <w:p w14:paraId="67BA3B43" w14:textId="77777777" w:rsidR="006E6774" w:rsidRPr="00435565" w:rsidRDefault="006E6774" w:rsidP="00401FF9">
      <w:pPr>
        <w:numPr>
          <w:ilvl w:val="1"/>
          <w:numId w:val="38"/>
        </w:numPr>
      </w:pPr>
      <w:r w:rsidRPr="00435565">
        <w:t xml:space="preserve">the 80/20 system (80 Price, 20 B-BBEE) for requirements with a Rand value of up to R50 000 000 (all applicable taxes included); or </w:t>
      </w:r>
    </w:p>
    <w:p w14:paraId="6E805533" w14:textId="77777777" w:rsidR="006E6774" w:rsidRPr="00435565" w:rsidRDefault="006E6774" w:rsidP="00401FF9">
      <w:pPr>
        <w:numPr>
          <w:ilvl w:val="0"/>
          <w:numId w:val="37"/>
        </w:numPr>
        <w:rPr>
          <w:lang w:val="en-GB"/>
        </w:rPr>
      </w:pPr>
      <w:r w:rsidRPr="00435565">
        <w:rPr>
          <w:lang w:val="en-GB"/>
        </w:rPr>
        <w:t xml:space="preserve">The Applicable Preference Point system for this tender is the </w:t>
      </w:r>
      <w:r w:rsidRPr="00435565">
        <w:rPr>
          <w:b/>
          <w:bCs/>
          <w:lang w:val="en-GB"/>
        </w:rPr>
        <w:t>80/20</w:t>
      </w:r>
      <w:r w:rsidRPr="00435565">
        <w:rPr>
          <w:lang w:val="en-GB"/>
        </w:rPr>
        <w:t xml:space="preserve"> preference point system. </w:t>
      </w:r>
    </w:p>
    <w:p w14:paraId="4C5179E4" w14:textId="77777777" w:rsidR="006E6774" w:rsidRPr="00435565" w:rsidRDefault="006E6774" w:rsidP="00401FF9">
      <w:pPr>
        <w:numPr>
          <w:ilvl w:val="0"/>
          <w:numId w:val="37"/>
        </w:numPr>
        <w:rPr>
          <w:lang w:val="en-GB"/>
        </w:rPr>
      </w:pPr>
      <w:r w:rsidRPr="00435565">
        <w:rPr>
          <w:lang w:val="en-GB"/>
        </w:rPr>
        <w:t xml:space="preserve">Points for this tender shall be awarded for: </w:t>
      </w:r>
    </w:p>
    <w:p w14:paraId="6CBDFD1D" w14:textId="77777777" w:rsidR="006E6774" w:rsidRPr="00435565" w:rsidRDefault="006E6774" w:rsidP="00401FF9">
      <w:pPr>
        <w:numPr>
          <w:ilvl w:val="1"/>
          <w:numId w:val="39"/>
        </w:numPr>
      </w:pPr>
      <w:r w:rsidRPr="00435565">
        <w:t>Price; and</w:t>
      </w:r>
    </w:p>
    <w:p w14:paraId="4FA420D8" w14:textId="77777777" w:rsidR="006E6774" w:rsidRPr="00435565" w:rsidRDefault="006E6774" w:rsidP="00401FF9">
      <w:pPr>
        <w:numPr>
          <w:ilvl w:val="1"/>
          <w:numId w:val="39"/>
        </w:numPr>
      </w:pPr>
      <w:r w:rsidRPr="00435565">
        <w:t>Preference points for specific goals.</w:t>
      </w:r>
    </w:p>
    <w:p w14:paraId="668CDA1B" w14:textId="77777777" w:rsidR="006E6774" w:rsidRPr="00435565" w:rsidRDefault="006E6774" w:rsidP="00401FF9">
      <w:pPr>
        <w:numPr>
          <w:ilvl w:val="0"/>
          <w:numId w:val="37"/>
        </w:numPr>
        <w:rPr>
          <w:lang w:val="en-GB"/>
        </w:rPr>
      </w:pPr>
      <w:r w:rsidRPr="00435565">
        <w:rPr>
          <w:lang w:val="en-GB"/>
        </w:rPr>
        <w:t>The maximum points for this tender will be allocated as follows, subject to par.2.</w:t>
      </w:r>
    </w:p>
    <w:p w14:paraId="44981D44" w14:textId="6A4914D1" w:rsidR="006E6774" w:rsidRPr="0017574E" w:rsidRDefault="0017574E" w:rsidP="0017574E">
      <w:pPr>
        <w:pStyle w:val="TableParagraph"/>
        <w:jc w:val="center"/>
        <w:rPr>
          <w:rFonts w:asciiTheme="majorHAnsi" w:hAnsiTheme="majorHAnsi" w:cstheme="majorHAnsi"/>
          <w:b/>
          <w:bCs/>
        </w:rPr>
      </w:pPr>
      <w:bookmarkStart w:id="46" w:name="_Toc107394442"/>
      <w:r w:rsidRPr="0017574E">
        <w:rPr>
          <w:rFonts w:asciiTheme="majorHAnsi" w:hAnsiTheme="majorHAnsi" w:cstheme="majorHAnsi"/>
          <w:b/>
          <w:bCs/>
        </w:rPr>
        <w:t xml:space="preserve">Table 3: </w:t>
      </w:r>
      <w:r w:rsidR="006E6774" w:rsidRPr="0017574E">
        <w:rPr>
          <w:rFonts w:asciiTheme="majorHAnsi" w:hAnsiTheme="majorHAnsi" w:cstheme="majorHAnsi"/>
          <w:b/>
          <w:bCs/>
        </w:rPr>
        <w:t>Points allocation</w:t>
      </w:r>
      <w:bookmarkEnd w:id="46"/>
    </w:p>
    <w:p w14:paraId="1AA7A348" w14:textId="77777777" w:rsidR="006E6774" w:rsidRPr="00E50055" w:rsidRDefault="006E6774" w:rsidP="006E6774">
      <w:pPr>
        <w:pStyle w:val="TableParagraph"/>
        <w:rPr>
          <w:b/>
          <w:bCs/>
        </w:rPr>
      </w:pPr>
    </w:p>
    <w:tbl>
      <w:tblPr>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6E6774" w:rsidRPr="00435565" w14:paraId="1AE27FE6" w14:textId="77777777" w:rsidTr="00A15286">
        <w:tc>
          <w:tcPr>
            <w:tcW w:w="7791" w:type="dxa"/>
            <w:shd w:val="solid" w:color="DBE5F1" w:fill="DBE5F1"/>
          </w:tcPr>
          <w:p w14:paraId="2C2FB203" w14:textId="6E3C5468" w:rsidR="006E6774" w:rsidRPr="00435565" w:rsidRDefault="006E6774" w:rsidP="0017574E">
            <w:pPr>
              <w:ind w:left="360"/>
              <w:rPr>
                <w:b/>
                <w:bCs/>
              </w:rPr>
            </w:pPr>
            <w:r w:rsidRPr="00435565">
              <w:rPr>
                <w:b/>
                <w:bCs/>
              </w:rPr>
              <w:t>Description</w:t>
            </w:r>
          </w:p>
        </w:tc>
        <w:tc>
          <w:tcPr>
            <w:tcW w:w="1275" w:type="dxa"/>
            <w:shd w:val="solid" w:color="DBE5F1" w:fill="DBE5F1"/>
          </w:tcPr>
          <w:p w14:paraId="3CCCE10D" w14:textId="77777777" w:rsidR="006E6774" w:rsidRPr="00435565" w:rsidRDefault="006E6774" w:rsidP="00A15286">
            <w:pPr>
              <w:rPr>
                <w:b/>
                <w:bCs/>
              </w:rPr>
            </w:pPr>
            <w:r w:rsidRPr="00435565">
              <w:rPr>
                <w:b/>
                <w:bCs/>
              </w:rPr>
              <w:t>Points</w:t>
            </w:r>
          </w:p>
        </w:tc>
      </w:tr>
      <w:tr w:rsidR="006E6774" w:rsidRPr="00435565" w14:paraId="504E0141" w14:textId="77777777" w:rsidTr="00A15286">
        <w:tc>
          <w:tcPr>
            <w:tcW w:w="7791" w:type="dxa"/>
          </w:tcPr>
          <w:p w14:paraId="7E515BAA" w14:textId="77777777" w:rsidR="006E6774" w:rsidRPr="00435565" w:rsidRDefault="006E6774" w:rsidP="00401FF9">
            <w:pPr>
              <w:numPr>
                <w:ilvl w:val="0"/>
                <w:numId w:val="35"/>
              </w:numPr>
              <w:rPr>
                <w:lang w:val="en-GB"/>
              </w:rPr>
            </w:pPr>
            <w:r w:rsidRPr="00435565">
              <w:rPr>
                <w:lang w:val="en-GB"/>
              </w:rPr>
              <w:t>Price</w:t>
            </w:r>
          </w:p>
        </w:tc>
        <w:tc>
          <w:tcPr>
            <w:tcW w:w="1275" w:type="dxa"/>
          </w:tcPr>
          <w:p w14:paraId="1236830B" w14:textId="77777777" w:rsidR="006E6774" w:rsidRPr="00435565" w:rsidRDefault="006E6774" w:rsidP="00A15286">
            <w:pPr>
              <w:rPr>
                <w:b/>
                <w:bCs/>
              </w:rPr>
            </w:pPr>
            <w:r w:rsidRPr="00435565">
              <w:rPr>
                <w:b/>
                <w:bCs/>
              </w:rPr>
              <w:t>80</w:t>
            </w:r>
          </w:p>
        </w:tc>
      </w:tr>
      <w:tr w:rsidR="006E6774" w:rsidRPr="00435565" w14:paraId="0E12A363" w14:textId="77777777" w:rsidTr="00A15286">
        <w:tc>
          <w:tcPr>
            <w:tcW w:w="7791" w:type="dxa"/>
          </w:tcPr>
          <w:p w14:paraId="5B9306A9" w14:textId="77777777" w:rsidR="006E6774" w:rsidRPr="00435565" w:rsidRDefault="006E6774" w:rsidP="00401FF9">
            <w:pPr>
              <w:numPr>
                <w:ilvl w:val="0"/>
                <w:numId w:val="35"/>
              </w:numPr>
              <w:rPr>
                <w:lang w:val="en-GB"/>
              </w:rPr>
            </w:pPr>
            <w:r w:rsidRPr="00435565">
              <w:rPr>
                <w:lang w:val="en-GB"/>
              </w:rPr>
              <w:t>Preference points for specific goals</w:t>
            </w:r>
          </w:p>
        </w:tc>
        <w:tc>
          <w:tcPr>
            <w:tcW w:w="1275" w:type="dxa"/>
          </w:tcPr>
          <w:p w14:paraId="32735863" w14:textId="77777777" w:rsidR="006E6774" w:rsidRPr="00435565" w:rsidRDefault="006E6774" w:rsidP="00A15286">
            <w:pPr>
              <w:rPr>
                <w:b/>
                <w:bCs/>
              </w:rPr>
            </w:pPr>
            <w:r w:rsidRPr="00435565">
              <w:rPr>
                <w:b/>
                <w:bCs/>
              </w:rPr>
              <w:t>20</w:t>
            </w:r>
          </w:p>
        </w:tc>
      </w:tr>
      <w:tr w:rsidR="006E6774" w:rsidRPr="00435565" w14:paraId="63D6F6CF" w14:textId="77777777" w:rsidTr="00A15286">
        <w:tc>
          <w:tcPr>
            <w:tcW w:w="7791" w:type="dxa"/>
          </w:tcPr>
          <w:p w14:paraId="7C12C322" w14:textId="77777777" w:rsidR="006E6774" w:rsidRPr="00435565" w:rsidRDefault="006E6774" w:rsidP="00401FF9">
            <w:pPr>
              <w:numPr>
                <w:ilvl w:val="0"/>
                <w:numId w:val="35"/>
              </w:numPr>
              <w:rPr>
                <w:lang w:val="en-GB"/>
              </w:rPr>
            </w:pPr>
            <w:r w:rsidRPr="00435565">
              <w:rPr>
                <w:lang w:val="en-GB"/>
              </w:rPr>
              <w:t>Total points for Price and preference points for specific goals</w:t>
            </w:r>
          </w:p>
        </w:tc>
        <w:tc>
          <w:tcPr>
            <w:tcW w:w="1275" w:type="dxa"/>
          </w:tcPr>
          <w:p w14:paraId="76D4FC10" w14:textId="77777777" w:rsidR="006E6774" w:rsidRPr="00435565" w:rsidRDefault="006E6774" w:rsidP="00A15286">
            <w:r w:rsidRPr="00435565">
              <w:t>100</w:t>
            </w:r>
          </w:p>
        </w:tc>
      </w:tr>
    </w:tbl>
    <w:p w14:paraId="48C74CEC" w14:textId="77777777" w:rsidR="006E6774" w:rsidRPr="00435565" w:rsidRDefault="006E6774" w:rsidP="004A6945">
      <w:pPr>
        <w:pStyle w:val="Heading3"/>
        <w:ind w:hanging="747"/>
        <w:rPr>
          <w:b w:val="0"/>
          <w:iCs w:val="0"/>
        </w:rPr>
      </w:pPr>
      <w:bookmarkStart w:id="47" w:name="_Toc141871390"/>
      <w:bookmarkStart w:id="48" w:name="_Toc212792009"/>
      <w:r w:rsidRPr="00435565">
        <w:t>Costing and Pricing Conditions</w:t>
      </w:r>
      <w:bookmarkEnd w:id="47"/>
      <w:bookmarkEnd w:id="48"/>
    </w:p>
    <w:p w14:paraId="7A0FFC53" w14:textId="77777777" w:rsidR="0017574E" w:rsidRDefault="006E6774" w:rsidP="0017574E">
      <w:pPr>
        <w:numPr>
          <w:ilvl w:val="6"/>
          <w:numId w:val="36"/>
        </w:numPr>
        <w:ind w:left="993" w:hanging="284"/>
      </w:pPr>
      <w:r w:rsidRPr="00435565">
        <w:rPr>
          <w:b/>
          <w:bCs/>
        </w:rPr>
        <w:t>South African Pricing</w:t>
      </w:r>
      <w:r w:rsidRPr="00435565">
        <w:t xml:space="preserve"> - The total price must be VAT inclusive and be quoted in South African Rand (ZAR).</w:t>
      </w:r>
    </w:p>
    <w:p w14:paraId="21198C8C" w14:textId="65D6BCA5" w:rsidR="006E6774" w:rsidRPr="0017574E" w:rsidRDefault="006E6774" w:rsidP="0017574E">
      <w:pPr>
        <w:numPr>
          <w:ilvl w:val="6"/>
          <w:numId w:val="36"/>
        </w:numPr>
        <w:ind w:left="993" w:hanging="284"/>
      </w:pPr>
      <w:r w:rsidRPr="0017574E">
        <w:rPr>
          <w:b/>
          <w:bCs/>
        </w:rPr>
        <w:t>Total Price</w:t>
      </w:r>
    </w:p>
    <w:p w14:paraId="6C31A7C8" w14:textId="77777777" w:rsidR="006E6774" w:rsidRPr="00435565" w:rsidRDefault="006E6774" w:rsidP="0017574E">
      <w:pPr>
        <w:numPr>
          <w:ilvl w:val="1"/>
          <w:numId w:val="20"/>
        </w:numPr>
        <w:ind w:left="1418" w:hanging="425"/>
      </w:pPr>
      <w:r w:rsidRPr="00435565">
        <w:t>All quoted prices are the total price for the entire scope of required services and deliverables to be provided by the bidder.</w:t>
      </w:r>
    </w:p>
    <w:p w14:paraId="47FE8417" w14:textId="77777777" w:rsidR="006E6774" w:rsidRPr="00435565" w:rsidRDefault="006E6774" w:rsidP="0017574E">
      <w:pPr>
        <w:numPr>
          <w:ilvl w:val="1"/>
          <w:numId w:val="20"/>
        </w:numPr>
        <w:ind w:left="1418" w:hanging="425"/>
      </w:pPr>
      <w:r w:rsidRPr="00435565">
        <w:t>All additional costs as well as cost of delivery, labour, S&amp;T, overtime, etc. must be included in this bid.</w:t>
      </w:r>
    </w:p>
    <w:p w14:paraId="0A1E3782" w14:textId="77777777" w:rsidR="006E6774" w:rsidRPr="00435565" w:rsidRDefault="006E6774" w:rsidP="0017574E">
      <w:pPr>
        <w:numPr>
          <w:ilvl w:val="1"/>
          <w:numId w:val="20"/>
        </w:numPr>
        <w:ind w:left="1418" w:hanging="425"/>
      </w:pPr>
      <w:r w:rsidRPr="00435565">
        <w:t>All services, accessories, upgrades and options required by the solution or specified by the client must be included in the quoted price. If not included, suppliers will be required to supply these accessories at no cost to the client.</w:t>
      </w:r>
    </w:p>
    <w:p w14:paraId="44441ED6" w14:textId="77777777" w:rsidR="006E6774" w:rsidRPr="00435565" w:rsidRDefault="006E6774" w:rsidP="004A6945">
      <w:pPr>
        <w:numPr>
          <w:ilvl w:val="1"/>
          <w:numId w:val="20"/>
        </w:numPr>
        <w:ind w:left="1843" w:hanging="425"/>
        <w:rPr>
          <w:u w:val="single"/>
        </w:rPr>
      </w:pPr>
      <w:r w:rsidRPr="00435565">
        <w:rPr>
          <w:u w:val="single"/>
        </w:rPr>
        <w:lastRenderedPageBreak/>
        <w:t>SITA reserves the right to negotiate pricing with the successful bidder prior to the award as well as envisaged quantities</w:t>
      </w:r>
    </w:p>
    <w:p w14:paraId="045FE2D2" w14:textId="77777777" w:rsidR="006E6774" w:rsidRPr="00435565" w:rsidRDefault="006E6774" w:rsidP="00401FF9">
      <w:pPr>
        <w:numPr>
          <w:ilvl w:val="6"/>
          <w:numId w:val="36"/>
        </w:numPr>
        <w:ind w:left="1134" w:hanging="425"/>
      </w:pPr>
      <w:r w:rsidRPr="00435565">
        <w:t>These conditions will form part of the Contract between SITA and the bidder. However, SITA reserves the right to include or waive the condition in the Contract.</w:t>
      </w:r>
    </w:p>
    <w:p w14:paraId="6D8D350E" w14:textId="77777777" w:rsidR="006E6774" w:rsidRPr="00435565" w:rsidRDefault="006E6774" w:rsidP="00401FF9">
      <w:pPr>
        <w:numPr>
          <w:ilvl w:val="6"/>
          <w:numId w:val="36"/>
        </w:numPr>
        <w:ind w:left="1134" w:hanging="425"/>
      </w:pPr>
      <w:r w:rsidRPr="00435565">
        <w:t xml:space="preserve">The bidder must complete the declaration of acceptance as per </w:t>
      </w:r>
      <w:r w:rsidRPr="00435565">
        <w:rPr>
          <w:b/>
          <w:bCs/>
        </w:rPr>
        <w:t xml:space="preserve">par 4.4.5 </w:t>
      </w:r>
      <w:r w:rsidRPr="00435565">
        <w:t xml:space="preserve">below by marking with an “X” either “ACCEPT ALL”, or “DO NOT ACCEPT ALL”, failing which the declaration will be regarded as “DO NOT ACCEPT ALL” and the bid will be disqualified. </w:t>
      </w:r>
    </w:p>
    <w:p w14:paraId="5D393EB7" w14:textId="77777777" w:rsidR="006E6774" w:rsidRPr="00435565" w:rsidRDefault="006E6774" w:rsidP="00401FF9">
      <w:pPr>
        <w:numPr>
          <w:ilvl w:val="6"/>
          <w:numId w:val="36"/>
        </w:numPr>
        <w:ind w:left="1134" w:hanging="425"/>
        <w:rPr>
          <w:b/>
          <w:bCs/>
        </w:rPr>
      </w:pPr>
      <w:bookmarkStart w:id="49" w:name="_Toc72441262"/>
      <w:bookmarkStart w:id="50" w:name="_Toc80563735"/>
      <w:bookmarkStart w:id="51" w:name="_Toc139372680"/>
      <w:bookmarkEnd w:id="44"/>
      <w:r w:rsidRPr="00435565">
        <w:rPr>
          <w:b/>
          <w:bCs/>
        </w:rPr>
        <w:t>Rate of Exchange Pricing Information</w:t>
      </w:r>
    </w:p>
    <w:p w14:paraId="7827CA38" w14:textId="77777777" w:rsidR="006E6774" w:rsidRPr="00435565" w:rsidRDefault="006E6774" w:rsidP="006E6774">
      <w:pPr>
        <w:ind w:left="1134"/>
      </w:pPr>
      <w:r w:rsidRPr="00435565">
        <w:t>Provide the TOTAL BID PRICE for the duration of Contract and clearly indicate the Local Price and Foreign Price, where –</w:t>
      </w:r>
    </w:p>
    <w:p w14:paraId="2985BB15" w14:textId="77777777" w:rsidR="006E6774" w:rsidRPr="00435565" w:rsidRDefault="006E6774" w:rsidP="00401FF9">
      <w:pPr>
        <w:numPr>
          <w:ilvl w:val="0"/>
          <w:numId w:val="40"/>
        </w:numPr>
      </w:pPr>
      <w:r w:rsidRPr="00435565">
        <w:rPr>
          <w:b/>
        </w:rPr>
        <w:t>Local Price</w:t>
      </w:r>
      <w:r w:rsidRPr="00435565">
        <w:t xml:space="preserve"> means the portion of the TOTAL price that is NOT dependent on the Foreign Rate of Exchange (ROE) and.</w:t>
      </w:r>
    </w:p>
    <w:p w14:paraId="0A66EE79" w14:textId="77777777" w:rsidR="006E6774" w:rsidRPr="00435565" w:rsidRDefault="006E6774" w:rsidP="00401FF9">
      <w:pPr>
        <w:numPr>
          <w:ilvl w:val="0"/>
          <w:numId w:val="40"/>
        </w:numPr>
      </w:pPr>
      <w:r w:rsidRPr="00435565">
        <w:rPr>
          <w:b/>
        </w:rPr>
        <w:t>Foreign Price</w:t>
      </w:r>
      <w:r w:rsidRPr="00435565">
        <w:t xml:space="preserve"> means the portion of the TOTAL price that is dependent on the Foreign Rate of Exchange (ROE).</w:t>
      </w:r>
    </w:p>
    <w:p w14:paraId="29D74344" w14:textId="77777777" w:rsidR="006E6774" w:rsidRPr="00435565" w:rsidRDefault="006E6774" w:rsidP="00401FF9">
      <w:pPr>
        <w:numPr>
          <w:ilvl w:val="0"/>
          <w:numId w:val="40"/>
        </w:numPr>
      </w:pPr>
      <w:r w:rsidRPr="00435565">
        <w:rPr>
          <w:b/>
        </w:rPr>
        <w:t>Exchange Rate</w:t>
      </w:r>
      <w:r w:rsidRPr="00435565">
        <w:t xml:space="preserve"> means the ROE (ZA Rand vs foreign currency) as determined at time of bid.</w:t>
      </w:r>
    </w:p>
    <w:p w14:paraId="423C6118" w14:textId="77777777" w:rsidR="006E6774" w:rsidRPr="003167B1" w:rsidRDefault="006E6774" w:rsidP="004A6945">
      <w:pPr>
        <w:pStyle w:val="Heading3"/>
        <w:ind w:hanging="747"/>
      </w:pPr>
      <w:bookmarkStart w:id="52" w:name="_Toc212792010"/>
      <w:r w:rsidRPr="003167B1">
        <w:t>Bid Exchange Rate Conditions</w:t>
      </w:r>
      <w:bookmarkEnd w:id="52"/>
    </w:p>
    <w:p w14:paraId="2165A3F2" w14:textId="77777777" w:rsidR="006E6774" w:rsidRPr="00435565" w:rsidRDefault="006E6774" w:rsidP="006E6774">
      <w:pPr>
        <w:ind w:left="720"/>
        <w:rPr>
          <w:b/>
        </w:rPr>
      </w:pPr>
      <w:r w:rsidRPr="00435565">
        <w:t>The bidders must use the exchange rate provided below to enable SITA to compare the prices provided by using the same exchange rate:</w:t>
      </w:r>
    </w:p>
    <w:tbl>
      <w:tblPr>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9"/>
        <w:gridCol w:w="4530"/>
      </w:tblGrid>
      <w:tr w:rsidR="006E6774" w:rsidRPr="00435565" w14:paraId="55F9D1F7" w14:textId="77777777" w:rsidTr="00A15286">
        <w:tc>
          <w:tcPr>
            <w:tcW w:w="3969" w:type="dxa"/>
            <w:shd w:val="clear" w:color="auto" w:fill="C6D9F1"/>
          </w:tcPr>
          <w:p w14:paraId="534F46AA" w14:textId="77777777" w:rsidR="006E6774" w:rsidRPr="00435565" w:rsidRDefault="006E6774" w:rsidP="00A15286">
            <w:pPr>
              <w:rPr>
                <w:b/>
              </w:rPr>
            </w:pPr>
            <w:r w:rsidRPr="00435565">
              <w:rPr>
                <w:b/>
              </w:rPr>
              <w:t>Foreign currency</w:t>
            </w:r>
          </w:p>
        </w:tc>
        <w:tc>
          <w:tcPr>
            <w:tcW w:w="4530" w:type="dxa"/>
            <w:shd w:val="clear" w:color="auto" w:fill="C6D9F1"/>
          </w:tcPr>
          <w:p w14:paraId="2356DA1A" w14:textId="77777777" w:rsidR="006E6774" w:rsidRPr="00435565" w:rsidRDefault="006E6774" w:rsidP="00A15286">
            <w:pPr>
              <w:rPr>
                <w:b/>
              </w:rPr>
            </w:pPr>
            <w:r w:rsidRPr="00435565">
              <w:rPr>
                <w:b/>
              </w:rPr>
              <w:t xml:space="preserve">South African Rand (ZAR) exchange rate </w:t>
            </w:r>
          </w:p>
        </w:tc>
      </w:tr>
      <w:tr w:rsidR="006E6774" w:rsidRPr="00435565" w14:paraId="31200559" w14:textId="77777777" w:rsidTr="00A15286">
        <w:tc>
          <w:tcPr>
            <w:tcW w:w="3969" w:type="dxa"/>
          </w:tcPr>
          <w:p w14:paraId="6BF8C53F" w14:textId="77777777" w:rsidR="006E6774" w:rsidRPr="00435565" w:rsidRDefault="006E6774" w:rsidP="00A15286">
            <w:r w:rsidRPr="00435565">
              <w:t>1 US Dollar</w:t>
            </w:r>
          </w:p>
        </w:tc>
        <w:tc>
          <w:tcPr>
            <w:tcW w:w="4530" w:type="dxa"/>
          </w:tcPr>
          <w:p w14:paraId="41B3FDE5" w14:textId="77777777" w:rsidR="006E6774" w:rsidRPr="004D1F53" w:rsidRDefault="006E6774" w:rsidP="00A15286">
            <w:pPr>
              <w:rPr>
                <w:b/>
                <w:bCs/>
              </w:rPr>
            </w:pPr>
            <w:r w:rsidRPr="004D1F53">
              <w:rPr>
                <w:b/>
                <w:bCs/>
              </w:rPr>
              <w:t>R</w:t>
            </w:r>
          </w:p>
        </w:tc>
      </w:tr>
      <w:tr w:rsidR="006E6774" w:rsidRPr="00435565" w14:paraId="379E7804" w14:textId="77777777" w:rsidTr="00A15286">
        <w:tc>
          <w:tcPr>
            <w:tcW w:w="3969" w:type="dxa"/>
          </w:tcPr>
          <w:p w14:paraId="3479E1ED" w14:textId="77777777" w:rsidR="006E6774" w:rsidRPr="00435565" w:rsidRDefault="006E6774" w:rsidP="00A15286">
            <w:r w:rsidRPr="00435565">
              <w:t>1 Euro</w:t>
            </w:r>
          </w:p>
        </w:tc>
        <w:tc>
          <w:tcPr>
            <w:tcW w:w="4530" w:type="dxa"/>
          </w:tcPr>
          <w:p w14:paraId="42DD1C96" w14:textId="77777777" w:rsidR="006E6774" w:rsidRPr="004D1F53" w:rsidRDefault="006E6774" w:rsidP="00A15286">
            <w:pPr>
              <w:rPr>
                <w:b/>
                <w:bCs/>
              </w:rPr>
            </w:pPr>
            <w:r w:rsidRPr="004D1F53">
              <w:rPr>
                <w:b/>
                <w:bCs/>
              </w:rPr>
              <w:t>R</w:t>
            </w:r>
          </w:p>
        </w:tc>
      </w:tr>
      <w:tr w:rsidR="006E6774" w:rsidRPr="00435565" w14:paraId="14805EC2" w14:textId="77777777" w:rsidTr="00A15286">
        <w:tc>
          <w:tcPr>
            <w:tcW w:w="3969" w:type="dxa"/>
          </w:tcPr>
          <w:p w14:paraId="556EFCE8" w14:textId="77777777" w:rsidR="006E6774" w:rsidRPr="00435565" w:rsidRDefault="006E6774" w:rsidP="00A15286">
            <w:r w:rsidRPr="00435565">
              <w:t>1 Pound</w:t>
            </w:r>
          </w:p>
        </w:tc>
        <w:tc>
          <w:tcPr>
            <w:tcW w:w="4530" w:type="dxa"/>
          </w:tcPr>
          <w:p w14:paraId="1DE926C0" w14:textId="77777777" w:rsidR="006E6774" w:rsidRPr="004D1F53" w:rsidRDefault="006E6774" w:rsidP="00A15286">
            <w:pPr>
              <w:rPr>
                <w:b/>
                <w:bCs/>
              </w:rPr>
            </w:pPr>
            <w:r w:rsidRPr="004D1F53">
              <w:rPr>
                <w:b/>
                <w:bCs/>
              </w:rPr>
              <w:t>R</w:t>
            </w:r>
          </w:p>
        </w:tc>
      </w:tr>
    </w:tbl>
    <w:p w14:paraId="1BBFE523" w14:textId="77777777" w:rsidR="006E6774" w:rsidRPr="00435565" w:rsidRDefault="006E6774" w:rsidP="004A6945">
      <w:pPr>
        <w:tabs>
          <w:tab w:val="left" w:pos="709"/>
          <w:tab w:val="left" w:pos="851"/>
          <w:tab w:val="left" w:pos="1134"/>
        </w:tabs>
        <w:ind w:left="851" w:hanging="142"/>
        <w:rPr>
          <w:b/>
          <w:bCs/>
        </w:rPr>
      </w:pPr>
      <w:r w:rsidRPr="00435565">
        <w:rPr>
          <w:b/>
          <w:bCs/>
        </w:rPr>
        <w:t>Note (1):</w:t>
      </w:r>
    </w:p>
    <w:p w14:paraId="2BC62D15" w14:textId="77777777" w:rsidR="006E6774" w:rsidRPr="00435565" w:rsidRDefault="006E6774" w:rsidP="004A6945">
      <w:pPr>
        <w:ind w:left="851" w:hanging="142"/>
      </w:pPr>
      <w:r w:rsidRPr="00435565">
        <w:t>The ROE indicated above is to ensure a competitive bidding process.</w:t>
      </w:r>
    </w:p>
    <w:p w14:paraId="6CBC4F66" w14:textId="77777777" w:rsidR="006E6774" w:rsidRPr="00435565" w:rsidRDefault="006E6774" w:rsidP="004A6945">
      <w:pPr>
        <w:ind w:left="851" w:hanging="142"/>
        <w:rPr>
          <w:b/>
          <w:bCs/>
        </w:rPr>
      </w:pPr>
      <w:r w:rsidRPr="00435565">
        <w:rPr>
          <w:b/>
          <w:bCs/>
        </w:rPr>
        <w:t>Note (2):</w:t>
      </w:r>
    </w:p>
    <w:p w14:paraId="0F3EF4EB" w14:textId="77777777" w:rsidR="006E6774" w:rsidRPr="004D1F53" w:rsidRDefault="006E6774" w:rsidP="004A6945">
      <w:pPr>
        <w:ind w:left="851" w:hanging="142"/>
        <w:rPr>
          <w:b/>
        </w:rPr>
      </w:pPr>
      <w:r w:rsidRPr="004D1F53">
        <w:t>This bid is subject to ROE.</w:t>
      </w:r>
    </w:p>
    <w:p w14:paraId="7D468E65" w14:textId="77777777" w:rsidR="006E6774" w:rsidRPr="00435565" w:rsidRDefault="006E6774" w:rsidP="0017574E">
      <w:pPr>
        <w:pStyle w:val="Heading3"/>
        <w:ind w:left="567"/>
        <w:rPr>
          <w:b w:val="0"/>
        </w:rPr>
      </w:pPr>
      <w:bookmarkStart w:id="53" w:name="_Toc212792011"/>
      <w:r w:rsidRPr="00435565">
        <w:t>Bid Pricing Schedule</w:t>
      </w:r>
      <w:bookmarkEnd w:id="53"/>
    </w:p>
    <w:p w14:paraId="16D1AD48" w14:textId="77777777" w:rsidR="006E6774" w:rsidRPr="00435565" w:rsidRDefault="006E6774" w:rsidP="006E6774">
      <w:pPr>
        <w:ind w:left="567"/>
      </w:pPr>
      <w:r w:rsidRPr="00435565">
        <w:rPr>
          <w:lang w:val="en-GB"/>
        </w:rPr>
        <w:t xml:space="preserve">Bidders </w:t>
      </w:r>
      <w:r w:rsidRPr="00435565">
        <w:rPr>
          <w:b/>
          <w:bCs/>
          <w:lang w:val="en-GB"/>
        </w:rPr>
        <w:t xml:space="preserve">must </w:t>
      </w:r>
      <w:r w:rsidRPr="00435565">
        <w:rPr>
          <w:lang w:val="en-GB"/>
        </w:rPr>
        <w:t>complete the bid pricing schedule in the Excel spreadsheet format provided and upload this as part of their submission.</w:t>
      </w:r>
    </w:p>
    <w:p w14:paraId="04F16EEA" w14:textId="77777777" w:rsidR="006E6774" w:rsidRPr="00435565" w:rsidRDefault="006E6774" w:rsidP="00F459B5">
      <w:pPr>
        <w:pStyle w:val="Heading3"/>
        <w:ind w:left="567"/>
        <w:rPr>
          <w:b w:val="0"/>
          <w:bCs/>
        </w:rPr>
      </w:pPr>
      <w:bookmarkStart w:id="54" w:name="_Toc435315930"/>
      <w:bookmarkStart w:id="55" w:name="_Ref455338328"/>
      <w:bookmarkStart w:id="56" w:name="_Ref455597629"/>
      <w:bookmarkStart w:id="57" w:name="_Toc127119463"/>
      <w:bookmarkStart w:id="58" w:name="_Toc212792012"/>
      <w:bookmarkEnd w:id="49"/>
      <w:bookmarkEnd w:id="50"/>
      <w:bookmarkEnd w:id="51"/>
      <w:r w:rsidRPr="00435565">
        <w:rPr>
          <w:bCs/>
        </w:rPr>
        <w:t>D</w:t>
      </w:r>
      <w:bookmarkEnd w:id="54"/>
      <w:bookmarkEnd w:id="55"/>
      <w:bookmarkEnd w:id="56"/>
      <w:bookmarkEnd w:id="57"/>
      <w:r w:rsidRPr="00435565">
        <w:rPr>
          <w:bCs/>
        </w:rPr>
        <w:t>eclaration of Acceptance</w:t>
      </w:r>
      <w:bookmarkEnd w:id="58"/>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61"/>
        <w:gridCol w:w="1387"/>
        <w:gridCol w:w="1628"/>
      </w:tblGrid>
      <w:tr w:rsidR="006E6774" w:rsidRPr="00435565" w14:paraId="7C07CA82" w14:textId="77777777" w:rsidTr="00A15286">
        <w:trPr>
          <w:tblHeader/>
        </w:trPr>
        <w:tc>
          <w:tcPr>
            <w:tcW w:w="3339" w:type="pct"/>
            <w:shd w:val="clear" w:color="auto" w:fill="C6D9F1"/>
          </w:tcPr>
          <w:p w14:paraId="3D38AC9F" w14:textId="77777777" w:rsidR="006E6774" w:rsidRPr="00435565" w:rsidRDefault="006E6774" w:rsidP="00A15286">
            <w:pPr>
              <w:rPr>
                <w:b/>
              </w:rPr>
            </w:pPr>
          </w:p>
        </w:tc>
        <w:tc>
          <w:tcPr>
            <w:tcW w:w="764" w:type="pct"/>
            <w:shd w:val="clear" w:color="auto" w:fill="C6D9F1"/>
          </w:tcPr>
          <w:p w14:paraId="424330A5" w14:textId="77777777" w:rsidR="006E6774" w:rsidRPr="00435565" w:rsidRDefault="006E6774" w:rsidP="00A15286">
            <w:pPr>
              <w:rPr>
                <w:b/>
              </w:rPr>
            </w:pPr>
            <w:r w:rsidRPr="00435565">
              <w:rPr>
                <w:b/>
              </w:rPr>
              <w:t>ACCEPT ALL</w:t>
            </w:r>
          </w:p>
        </w:tc>
        <w:tc>
          <w:tcPr>
            <w:tcW w:w="897" w:type="pct"/>
            <w:shd w:val="clear" w:color="auto" w:fill="C6D9F1"/>
          </w:tcPr>
          <w:p w14:paraId="26ADFE76" w14:textId="77777777" w:rsidR="006E6774" w:rsidRPr="00435565" w:rsidRDefault="006E6774" w:rsidP="00A15286">
            <w:pPr>
              <w:rPr>
                <w:b/>
              </w:rPr>
            </w:pPr>
            <w:r w:rsidRPr="00435565">
              <w:rPr>
                <w:b/>
              </w:rPr>
              <w:t>DO NOT ACCEPT ALL</w:t>
            </w:r>
          </w:p>
        </w:tc>
      </w:tr>
      <w:tr w:rsidR="006E6774" w:rsidRPr="00435565" w14:paraId="5A831943" w14:textId="77777777" w:rsidTr="00A15286">
        <w:tc>
          <w:tcPr>
            <w:tcW w:w="3339" w:type="pct"/>
          </w:tcPr>
          <w:p w14:paraId="51F0CEAB" w14:textId="77777777" w:rsidR="006E6774" w:rsidRPr="00435565" w:rsidRDefault="006E6774" w:rsidP="00401FF9">
            <w:pPr>
              <w:numPr>
                <w:ilvl w:val="0"/>
                <w:numId w:val="29"/>
              </w:numPr>
              <w:tabs>
                <w:tab w:val="clear" w:pos="567"/>
              </w:tabs>
            </w:pPr>
            <w:r w:rsidRPr="00435565">
              <w:t xml:space="preserve">The bidder declares to ACCEPT ALL the Costing and Pricing conditions as specified in </w:t>
            </w:r>
            <w:r w:rsidRPr="00435565">
              <w:rPr>
                <w:b/>
                <w:bCs/>
              </w:rPr>
              <w:t xml:space="preserve">par 4.4.2 </w:t>
            </w:r>
            <w:r w:rsidRPr="00435565">
              <w:t>above by indicating with an “X” in the “ACCEPT ALL” column, or</w:t>
            </w:r>
          </w:p>
          <w:p w14:paraId="1E355043" w14:textId="77777777" w:rsidR="006E6774" w:rsidRPr="00435565" w:rsidRDefault="006E6774" w:rsidP="00401FF9">
            <w:pPr>
              <w:numPr>
                <w:ilvl w:val="0"/>
                <w:numId w:val="29"/>
              </w:numPr>
              <w:tabs>
                <w:tab w:val="clear" w:pos="567"/>
              </w:tabs>
            </w:pPr>
            <w:r w:rsidRPr="00435565">
              <w:t xml:space="preserve">The bidder declares to NOT ACCEPT ALL the Costing and Pricing Conditions as specified in </w:t>
            </w:r>
            <w:r w:rsidRPr="00435565">
              <w:rPr>
                <w:b/>
                <w:bCs/>
              </w:rPr>
              <w:t xml:space="preserve">par 4.4.2 </w:t>
            </w:r>
            <w:r w:rsidRPr="00435565">
              <w:t xml:space="preserve">above by - </w:t>
            </w:r>
          </w:p>
          <w:p w14:paraId="7E54E185" w14:textId="77777777" w:rsidR="006E6774" w:rsidRPr="00435565" w:rsidRDefault="006E6774" w:rsidP="00401FF9">
            <w:pPr>
              <w:numPr>
                <w:ilvl w:val="1"/>
                <w:numId w:val="29"/>
              </w:numPr>
              <w:tabs>
                <w:tab w:val="num" w:pos="993"/>
              </w:tabs>
            </w:pPr>
            <w:r w:rsidRPr="00435565">
              <w:lastRenderedPageBreak/>
              <w:t>Indicating with an “X” in the “DO NOT ACCEPT ALL” column, and.</w:t>
            </w:r>
          </w:p>
          <w:p w14:paraId="195C9A96" w14:textId="77777777" w:rsidR="006E6774" w:rsidRPr="00435565" w:rsidRDefault="006E6774" w:rsidP="00401FF9">
            <w:pPr>
              <w:numPr>
                <w:ilvl w:val="1"/>
                <w:numId w:val="29"/>
              </w:numPr>
              <w:tabs>
                <w:tab w:val="num" w:pos="993"/>
              </w:tabs>
            </w:pPr>
            <w:r w:rsidRPr="00435565">
              <w:t xml:space="preserve">Provide reason and proposal for each of the condition not accepted. </w:t>
            </w:r>
          </w:p>
        </w:tc>
        <w:tc>
          <w:tcPr>
            <w:tcW w:w="764" w:type="pct"/>
          </w:tcPr>
          <w:p w14:paraId="10A33C4B" w14:textId="77777777" w:rsidR="006E6774" w:rsidRPr="00435565" w:rsidRDefault="006E6774" w:rsidP="00A15286"/>
        </w:tc>
        <w:tc>
          <w:tcPr>
            <w:tcW w:w="897" w:type="pct"/>
          </w:tcPr>
          <w:p w14:paraId="614CCDE1" w14:textId="77777777" w:rsidR="006E6774" w:rsidRPr="00435565" w:rsidRDefault="006E6774" w:rsidP="00A15286"/>
        </w:tc>
      </w:tr>
      <w:tr w:rsidR="006E6774" w:rsidRPr="00435565" w14:paraId="4E3941B8" w14:textId="77777777" w:rsidTr="00A15286">
        <w:tc>
          <w:tcPr>
            <w:tcW w:w="5000" w:type="pct"/>
            <w:gridSpan w:val="3"/>
          </w:tcPr>
          <w:p w14:paraId="726D0816" w14:textId="77777777" w:rsidR="006E6774" w:rsidRPr="00435565" w:rsidRDefault="006E6774" w:rsidP="00A15286">
            <w:pPr>
              <w:rPr>
                <w:b/>
              </w:rPr>
            </w:pPr>
            <w:r w:rsidRPr="00435565">
              <w:rPr>
                <w:b/>
              </w:rPr>
              <w:t>Comments by bidder:</w:t>
            </w:r>
          </w:p>
          <w:p w14:paraId="2969784F" w14:textId="1879F27A" w:rsidR="006E6774" w:rsidRPr="00435565" w:rsidRDefault="006E6774" w:rsidP="0017574E">
            <w:pPr>
              <w:rPr>
                <w:b/>
              </w:rPr>
            </w:pPr>
            <w:r w:rsidRPr="00435565">
              <w:t>Provide the condition reference, the reasons for not accepting the condition.</w:t>
            </w:r>
          </w:p>
        </w:tc>
      </w:tr>
    </w:tbl>
    <w:p w14:paraId="059B1394" w14:textId="77777777" w:rsidR="006E6774" w:rsidRPr="00435565" w:rsidRDefault="006E6774" w:rsidP="006E6774"/>
    <w:p w14:paraId="51DE0B1C" w14:textId="36854E7D" w:rsidR="00B04B90" w:rsidRPr="00F459B5" w:rsidRDefault="00B04B90" w:rsidP="0017574E">
      <w:pPr>
        <w:pStyle w:val="Heading2"/>
        <w:tabs>
          <w:tab w:val="left" w:pos="709"/>
        </w:tabs>
        <w:ind w:hanging="709"/>
        <w:rPr>
          <w:sz w:val="24"/>
          <w:szCs w:val="24"/>
        </w:rPr>
      </w:pPr>
      <w:bookmarkStart w:id="59" w:name="_Toc139372684"/>
      <w:bookmarkStart w:id="60" w:name="_Toc165635688"/>
      <w:bookmarkStart w:id="61" w:name="_Toc212792013"/>
      <w:r w:rsidRPr="00F459B5">
        <w:rPr>
          <w:sz w:val="24"/>
          <w:szCs w:val="24"/>
        </w:rPr>
        <w:t>Preference Requirements</w:t>
      </w:r>
      <w:bookmarkEnd w:id="59"/>
      <w:bookmarkEnd w:id="60"/>
      <w:bookmarkEnd w:id="61"/>
    </w:p>
    <w:p w14:paraId="4E5D1FB1" w14:textId="77777777" w:rsidR="00B04B90" w:rsidRPr="00435565" w:rsidRDefault="00B04B90" w:rsidP="0017574E">
      <w:pPr>
        <w:numPr>
          <w:ilvl w:val="0"/>
          <w:numId w:val="26"/>
        </w:numPr>
        <w:ind w:hanging="425"/>
      </w:pPr>
      <w:r w:rsidRPr="00435565">
        <w:t>The bidder must complete in full all the PREFERENCE requirements.</w:t>
      </w:r>
    </w:p>
    <w:p w14:paraId="6595A011" w14:textId="77777777" w:rsidR="00B04B90" w:rsidRPr="00435565" w:rsidRDefault="00B04B90" w:rsidP="0017574E">
      <w:pPr>
        <w:numPr>
          <w:ilvl w:val="0"/>
          <w:numId w:val="26"/>
        </w:numPr>
        <w:ind w:hanging="425"/>
      </w:pPr>
      <w:r w:rsidRPr="00435565">
        <w:t>Allocation of points per requirements:</w:t>
      </w:r>
      <w:r w:rsidRPr="00435565">
        <w:rPr>
          <w:b/>
          <w:bCs/>
        </w:rPr>
        <w:t xml:space="preserve"> </w:t>
      </w:r>
      <w:r w:rsidRPr="00435565">
        <w:t>The points allocation of bidders’ responses to the requirements will be determined by the completeness, relevance and accuracy of substantiating evidence.</w:t>
      </w:r>
    </w:p>
    <w:p w14:paraId="382A930E" w14:textId="77777777" w:rsidR="00B04B90" w:rsidRPr="00435565" w:rsidRDefault="00B04B90" w:rsidP="0017574E">
      <w:pPr>
        <w:numPr>
          <w:ilvl w:val="0"/>
          <w:numId w:val="26"/>
        </w:numPr>
        <w:ind w:hanging="425"/>
      </w:pPr>
      <w:r w:rsidRPr="00435565">
        <w:t xml:space="preserve">Points will be allocated for each </w:t>
      </w:r>
      <w:r w:rsidRPr="00435565">
        <w:rPr>
          <w:b/>
          <w:bCs/>
        </w:rPr>
        <w:t>PREFERENCE requirement</w:t>
      </w:r>
      <w:r w:rsidRPr="00435565">
        <w:t xml:space="preserve"> as per the criteria set in each section in the </w:t>
      </w:r>
      <w:r w:rsidRPr="00435565">
        <w:rPr>
          <w:b/>
          <w:bCs/>
        </w:rPr>
        <w:t>table</w:t>
      </w:r>
      <w:r w:rsidRPr="00435565">
        <w:t xml:space="preserve"> below.</w:t>
      </w:r>
    </w:p>
    <w:p w14:paraId="5458429F" w14:textId="77777777" w:rsidR="00B04B90" w:rsidRPr="00435565" w:rsidRDefault="00B04B90" w:rsidP="0017574E">
      <w:pPr>
        <w:numPr>
          <w:ilvl w:val="0"/>
          <w:numId w:val="26"/>
        </w:numPr>
        <w:ind w:hanging="425"/>
      </w:pPr>
      <w:r w:rsidRPr="00435565">
        <w:rPr>
          <w:b/>
          <w:bCs/>
        </w:rPr>
        <w:t>The bidder must provide a unique reference number</w:t>
      </w:r>
      <w:r w:rsidRPr="00435565">
        <w:t xml:space="preserve"> (e.g. binder/folio, chapter, section, page) to locate substantiating evidence in the bid response. During evaluation, SITA reserves the right to treat substantiation evidence that cannot </w:t>
      </w:r>
      <w:proofErr w:type="gramStart"/>
      <w:r w:rsidRPr="00435565">
        <w:t>be located in</w:t>
      </w:r>
      <w:proofErr w:type="gramEnd"/>
      <w:r w:rsidRPr="00435565">
        <w:t xml:space="preserve"> the bid response, as “NOT COMPLY”. The evidence needs to be attached to </w:t>
      </w:r>
      <w:r w:rsidRPr="00435565">
        <w:rPr>
          <w:b/>
          <w:bCs/>
        </w:rPr>
        <w:t>ANNEX A</w:t>
      </w:r>
      <w:r w:rsidRPr="00435565">
        <w:t>.</w:t>
      </w:r>
    </w:p>
    <w:p w14:paraId="5900B2FD" w14:textId="77777777" w:rsidR="00B04B90" w:rsidRPr="00435565" w:rsidRDefault="00B04B90" w:rsidP="0017574E">
      <w:pPr>
        <w:numPr>
          <w:ilvl w:val="0"/>
          <w:numId w:val="26"/>
        </w:numPr>
        <w:ind w:hanging="425"/>
      </w:pPr>
      <w:r w:rsidRPr="00435565">
        <w:rPr>
          <w:b/>
          <w:bCs/>
        </w:rPr>
        <w:t>Preference Goal Requirements</w:t>
      </w:r>
    </w:p>
    <w:p w14:paraId="0ADF7CF7" w14:textId="77777777" w:rsidR="00B04B90" w:rsidRPr="00435565" w:rsidRDefault="00B04B90" w:rsidP="0017574E">
      <w:pPr>
        <w:numPr>
          <w:ilvl w:val="1"/>
          <w:numId w:val="48"/>
        </w:numPr>
      </w:pPr>
      <w:r w:rsidRPr="00435565">
        <w:t xml:space="preserve">The applicable Preference Point system for this tender and points claimed is </w:t>
      </w:r>
      <w:r w:rsidRPr="00435565">
        <w:rPr>
          <w:b/>
          <w:bCs/>
        </w:rPr>
        <w:t>80/20.</w:t>
      </w:r>
    </w:p>
    <w:p w14:paraId="3AC9B62B" w14:textId="345C6A9A" w:rsidR="00B04B90" w:rsidRPr="00435565" w:rsidRDefault="00B04B90" w:rsidP="0017574E">
      <w:pPr>
        <w:numPr>
          <w:ilvl w:val="1"/>
          <w:numId w:val="48"/>
        </w:numPr>
      </w:pPr>
      <w:r w:rsidRPr="00435565">
        <w:t xml:space="preserve">The specific Preferential Goal Requirements for this tender is indicated in </w:t>
      </w:r>
      <w:r w:rsidRPr="00435565">
        <w:rPr>
          <w:b/>
          <w:bCs/>
        </w:rPr>
        <w:t xml:space="preserve">table </w:t>
      </w:r>
      <w:r w:rsidR="00835D74">
        <w:rPr>
          <w:b/>
          <w:bCs/>
        </w:rPr>
        <w:t>4</w:t>
      </w:r>
      <w:r w:rsidRPr="00435565">
        <w:t xml:space="preserve"> below.</w:t>
      </w:r>
    </w:p>
    <w:p w14:paraId="675E706D" w14:textId="77777777" w:rsidR="00B04B90" w:rsidRPr="00435565" w:rsidRDefault="00B04B90" w:rsidP="0017574E">
      <w:pPr>
        <w:numPr>
          <w:ilvl w:val="1"/>
          <w:numId w:val="48"/>
        </w:numPr>
      </w:pPr>
      <w:r w:rsidRPr="00435565">
        <w:t xml:space="preserve">The Bidder </w:t>
      </w:r>
      <w:r w:rsidRPr="00435565">
        <w:rPr>
          <w:b/>
          <w:bCs/>
          <w:u w:val="single"/>
        </w:rPr>
        <w:t xml:space="preserve">must </w:t>
      </w:r>
      <w:r w:rsidRPr="00435565">
        <w:t xml:space="preserve">complete 80/20 </w:t>
      </w:r>
      <w:r w:rsidRPr="00435565">
        <w:rPr>
          <w:b/>
          <w:bCs/>
        </w:rPr>
        <w:t>preference point system</w:t>
      </w:r>
      <w:r w:rsidRPr="00435565">
        <w:t xml:space="preserve"> and submit proof or documentation required in terms of this tender.</w:t>
      </w:r>
    </w:p>
    <w:p w14:paraId="2D0BF983" w14:textId="77777777" w:rsidR="00B04B90" w:rsidRPr="00435565" w:rsidRDefault="00B04B90" w:rsidP="0017574E">
      <w:pPr>
        <w:numPr>
          <w:ilvl w:val="1"/>
          <w:numId w:val="48"/>
        </w:numPr>
      </w:pPr>
      <w:r w:rsidRPr="00435565">
        <w:t xml:space="preserve">The Bidder </w:t>
      </w:r>
      <w:r w:rsidRPr="00435565">
        <w:rPr>
          <w:b/>
          <w:bCs/>
        </w:rPr>
        <w:t>must indicate their commitment</w:t>
      </w:r>
      <w:r w:rsidRPr="00435565">
        <w:t xml:space="preserve"> to claim points for each of the preference points by signing at par 4.5 in the Invitation to Bid document.</w:t>
      </w:r>
    </w:p>
    <w:p w14:paraId="3F6FF05B" w14:textId="77777777" w:rsidR="00B04B90" w:rsidRPr="00435565" w:rsidRDefault="00B04B90" w:rsidP="0017574E">
      <w:pPr>
        <w:numPr>
          <w:ilvl w:val="1"/>
          <w:numId w:val="48"/>
        </w:numPr>
      </w:pPr>
      <w:r w:rsidRPr="00435565">
        <w:t xml:space="preserve">Failure on the part of a bidder to submit proof or documentation required or to comply to paragraph (d) above in terms of this tender to claim preference points for the </w:t>
      </w:r>
      <w:r w:rsidRPr="00435565">
        <w:rPr>
          <w:b/>
          <w:bCs/>
        </w:rPr>
        <w:t>Preference Goal Requirements</w:t>
      </w:r>
      <w:r w:rsidRPr="00435565">
        <w:t xml:space="preserve"> for this tender, will be interpreted to mean that preference points are not claimed.</w:t>
      </w:r>
    </w:p>
    <w:p w14:paraId="44649DC3" w14:textId="77777777" w:rsidR="00B04B90" w:rsidRPr="00435565" w:rsidRDefault="00B04B90" w:rsidP="00401FF9">
      <w:pPr>
        <w:numPr>
          <w:ilvl w:val="1"/>
          <w:numId w:val="41"/>
        </w:numPr>
      </w:pPr>
      <w:r w:rsidRPr="00435565">
        <w:t xml:space="preserve">The Bidder’s </w:t>
      </w:r>
      <w:r w:rsidRPr="00435565">
        <w:rPr>
          <w:b/>
          <w:bCs/>
        </w:rPr>
        <w:t>commitment</w:t>
      </w:r>
      <w:r w:rsidRPr="00435565">
        <w:t xml:space="preserve"> for the </w:t>
      </w:r>
      <w:r w:rsidRPr="00435565">
        <w:rPr>
          <w:b/>
          <w:bCs/>
        </w:rPr>
        <w:t xml:space="preserve">Preference Goal Requirements </w:t>
      </w:r>
      <w:r w:rsidRPr="00435565">
        <w:t xml:space="preserve">in this tender will be </w:t>
      </w:r>
      <w:r w:rsidRPr="00435565">
        <w:rPr>
          <w:b/>
          <w:bCs/>
        </w:rPr>
        <w:t xml:space="preserve">legally </w:t>
      </w:r>
      <w:proofErr w:type="gramStart"/>
      <w:r w:rsidRPr="00435565">
        <w:rPr>
          <w:b/>
          <w:bCs/>
        </w:rPr>
        <w:t>binding</w:t>
      </w:r>
      <w:proofErr w:type="gramEnd"/>
      <w:r w:rsidRPr="00435565">
        <w:t xml:space="preserve"> and the Bidder needs to </w:t>
      </w:r>
      <w:r w:rsidRPr="00435565">
        <w:rPr>
          <w:b/>
          <w:bCs/>
        </w:rPr>
        <w:t>perform against their commitment</w:t>
      </w:r>
      <w:r w:rsidRPr="00435565">
        <w:t xml:space="preserve"> for the duration of the contract which will form part of the Contractual Agreement.</w:t>
      </w:r>
    </w:p>
    <w:p w14:paraId="63051F59" w14:textId="77777777" w:rsidR="00B04B90" w:rsidRPr="00435565" w:rsidRDefault="00B04B90" w:rsidP="00401FF9">
      <w:pPr>
        <w:numPr>
          <w:ilvl w:val="1"/>
          <w:numId w:val="41"/>
        </w:numPr>
      </w:pPr>
      <w:r w:rsidRPr="00435565">
        <w:t xml:space="preserve">The Bidder </w:t>
      </w:r>
      <w:r w:rsidRPr="00435565">
        <w:rPr>
          <w:b/>
          <w:bCs/>
        </w:rPr>
        <w:t>must sustain or improve</w:t>
      </w:r>
      <w:r w:rsidRPr="00435565">
        <w:t xml:space="preserve"> the company’s </w:t>
      </w:r>
      <w:r w:rsidRPr="00435565">
        <w:rPr>
          <w:b/>
          <w:bCs/>
        </w:rPr>
        <w:t>BBBEE Level</w:t>
      </w:r>
      <w:r w:rsidRPr="00435565">
        <w:t xml:space="preserve"> for the duration of the contact which will form part of the Contractual Agreement.</w:t>
      </w:r>
    </w:p>
    <w:p w14:paraId="56908D8B" w14:textId="77777777" w:rsidR="00B04B90" w:rsidRPr="00435565" w:rsidRDefault="00B04B90" w:rsidP="00401FF9">
      <w:pPr>
        <w:numPr>
          <w:ilvl w:val="1"/>
          <w:numId w:val="41"/>
        </w:numPr>
      </w:pPr>
      <w:r w:rsidRPr="00435565">
        <w:t xml:space="preserve">Performance of Preference Goal Requirements will be determined annually. Bidders must submit their Preference status report to SITA indicating progress against the Bidder’s </w:t>
      </w:r>
      <w:r w:rsidRPr="00435565">
        <w:lastRenderedPageBreak/>
        <w:t>Preferential commitments within 30 days after each quarter from the commencement date of the contract.</w:t>
      </w:r>
    </w:p>
    <w:p w14:paraId="02930323" w14:textId="77777777" w:rsidR="00B04B90" w:rsidRPr="00435565" w:rsidRDefault="00B04B90" w:rsidP="00401FF9">
      <w:pPr>
        <w:numPr>
          <w:ilvl w:val="1"/>
          <w:numId w:val="41"/>
        </w:numPr>
      </w:pPr>
      <w:r w:rsidRPr="00435565">
        <w:t xml:space="preserve">Bidders need to keep auditable substantive records / evidence and upon request by </w:t>
      </w:r>
      <w:r w:rsidRPr="00435565">
        <w:rPr>
          <w:b/>
          <w:bCs/>
        </w:rPr>
        <w:t xml:space="preserve">SITA </w:t>
      </w:r>
      <w:r w:rsidRPr="00435565">
        <w:t>must be made available for audit and, or due diligence purposes.</w:t>
      </w:r>
    </w:p>
    <w:p w14:paraId="5CEC0FEF" w14:textId="77777777" w:rsidR="00B04B90" w:rsidRPr="00435565" w:rsidRDefault="00B04B90" w:rsidP="00401FF9">
      <w:pPr>
        <w:numPr>
          <w:ilvl w:val="1"/>
          <w:numId w:val="41"/>
        </w:numPr>
      </w:pPr>
      <w:r w:rsidRPr="00435565">
        <w:rPr>
          <w:b/>
          <w:bCs/>
        </w:rPr>
        <w:t>SITA reserves the right</w:t>
      </w:r>
      <w:r w:rsidRPr="00435565">
        <w:t xml:space="preserve"> </w:t>
      </w:r>
      <w:r w:rsidRPr="00435565">
        <w:rPr>
          <w:b/>
          <w:bCs/>
        </w:rPr>
        <w:t>to</w:t>
      </w:r>
      <w:r w:rsidRPr="00435565">
        <w:t xml:space="preserve"> require from a Bidder, either before a bid is adjudicated or at any time subsequently, to substantiate any claim with regards to preferences, in any manner required by SITA.</w:t>
      </w:r>
    </w:p>
    <w:p w14:paraId="672C22D5" w14:textId="77777777" w:rsidR="00B04B90" w:rsidRPr="00435565" w:rsidRDefault="00B04B90" w:rsidP="00401FF9">
      <w:pPr>
        <w:numPr>
          <w:ilvl w:val="1"/>
          <w:numId w:val="41"/>
        </w:numPr>
      </w:pPr>
      <w:r w:rsidRPr="00435565">
        <w:rPr>
          <w:b/>
          <w:bCs/>
        </w:rPr>
        <w:t>SITA reserves the right to</w:t>
      </w:r>
      <w:r w:rsidRPr="00435565">
        <w:t xml:space="preserve"> verify information / evidence provided by the Bidder.</w:t>
      </w:r>
    </w:p>
    <w:p w14:paraId="23414283" w14:textId="77777777" w:rsidR="00B04B90" w:rsidRPr="00435565" w:rsidRDefault="00B04B90" w:rsidP="00401FF9">
      <w:pPr>
        <w:numPr>
          <w:ilvl w:val="1"/>
          <w:numId w:val="41"/>
        </w:numPr>
        <w:rPr>
          <w:b/>
          <w:bCs/>
        </w:rPr>
      </w:pPr>
      <w:r w:rsidRPr="00435565">
        <w:rPr>
          <w:b/>
          <w:bCs/>
        </w:rPr>
        <w:t>SITA reserves the right to</w:t>
      </w:r>
      <w:r w:rsidRPr="00435565">
        <w:t xml:space="preserve"> introduce a </w:t>
      </w:r>
      <w:r w:rsidRPr="00435565">
        <w:rPr>
          <w:b/>
          <w:bCs/>
        </w:rPr>
        <w:t>penalty of 1%</w:t>
      </w:r>
      <w:r w:rsidRPr="00435565">
        <w:t xml:space="preserve"> of the overall annual year spent by </w:t>
      </w:r>
      <w:r w:rsidRPr="00435565">
        <w:rPr>
          <w:b/>
          <w:bCs/>
        </w:rPr>
        <w:t>SITA</w:t>
      </w:r>
      <w:r w:rsidRPr="00435565">
        <w:t xml:space="preserve"> for the prior year if the Bidder fails to comply to </w:t>
      </w:r>
      <w:r w:rsidRPr="00435565">
        <w:rPr>
          <w:b/>
          <w:bCs/>
        </w:rPr>
        <w:t>paragraphs (f), (g) and (h) above.</w:t>
      </w:r>
    </w:p>
    <w:p w14:paraId="3705008A" w14:textId="77777777" w:rsidR="00F459B5" w:rsidRDefault="00F459B5" w:rsidP="00B04B90">
      <w:pPr>
        <w:rPr>
          <w:lang w:val="en-GB"/>
        </w:rPr>
        <w:sectPr w:rsidR="00F459B5" w:rsidSect="00ED75F6">
          <w:pgSz w:w="11906" w:h="16838"/>
          <w:pgMar w:top="1134" w:right="1134" w:bottom="1134" w:left="1123" w:header="680" w:footer="680" w:gutter="0"/>
          <w:cols w:space="720"/>
          <w:docGrid w:linePitch="326"/>
        </w:sectPr>
      </w:pPr>
    </w:p>
    <w:p w14:paraId="2C9B4966" w14:textId="13F59BDB" w:rsidR="00835D74" w:rsidRPr="00F4065F" w:rsidRDefault="00A16AB0" w:rsidP="008257DD">
      <w:pPr>
        <w:pStyle w:val="Caption"/>
        <w:ind w:firstLine="567"/>
        <w:jc w:val="both"/>
        <w:rPr>
          <w:rFonts w:cs="Calibri Light"/>
          <w:szCs w:val="22"/>
        </w:rPr>
      </w:pPr>
      <w:r>
        <w:rPr>
          <w:bCs/>
        </w:rPr>
        <w:lastRenderedPageBreak/>
        <w:t xml:space="preserve">Table </w:t>
      </w:r>
      <w:r w:rsidR="00F459B5">
        <w:rPr>
          <w:bCs/>
        </w:rPr>
        <w:t>4</w:t>
      </w:r>
      <w:r>
        <w:rPr>
          <w:bCs/>
        </w:rPr>
        <w:t xml:space="preserve">: </w:t>
      </w:r>
      <w:r w:rsidR="00B04B90" w:rsidRPr="00435565">
        <w:rPr>
          <w:bCs/>
        </w:rPr>
        <w:t>Preference Goal Requirements</w:t>
      </w:r>
    </w:p>
    <w:tbl>
      <w:tblPr>
        <w:tblW w:w="15016" w:type="dxa"/>
        <w:tblLayout w:type="fixed"/>
        <w:tblLook w:val="04A0" w:firstRow="1" w:lastRow="0" w:firstColumn="1" w:lastColumn="0" w:noHBand="0" w:noVBand="1"/>
      </w:tblPr>
      <w:tblGrid>
        <w:gridCol w:w="1691"/>
        <w:gridCol w:w="2410"/>
        <w:gridCol w:w="7938"/>
        <w:gridCol w:w="2977"/>
      </w:tblGrid>
      <w:tr w:rsidR="00835D74" w:rsidRPr="009E239A" w14:paraId="3D7D2A30" w14:textId="77777777" w:rsidTr="00CD0BF5">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C5B8FEA" w14:textId="77777777" w:rsidR="00835D74" w:rsidRPr="009E239A" w:rsidRDefault="00835D74" w:rsidP="00CD0BF5">
            <w:pPr>
              <w:jc w:val="left"/>
              <w:rPr>
                <w:rFonts w:cs="Calibri"/>
                <w:b/>
                <w:bCs/>
                <w:color w:val="0E1B8D"/>
                <w:szCs w:val="24"/>
                <w:lang w:eastAsia="en-GB"/>
              </w:rPr>
            </w:pPr>
            <w:r w:rsidRPr="009E239A">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3FACF73F" w14:textId="77777777" w:rsidR="00835D74" w:rsidRPr="009E239A" w:rsidRDefault="00835D74" w:rsidP="00CD0BF5">
            <w:pPr>
              <w:jc w:val="left"/>
              <w:rPr>
                <w:rFonts w:cs="Calibri"/>
                <w:b/>
                <w:bCs/>
                <w:color w:val="0E1B8D"/>
                <w:szCs w:val="24"/>
                <w:lang w:eastAsia="en-GB"/>
              </w:rPr>
            </w:pPr>
            <w:r w:rsidRPr="009E239A">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699613A9" w14:textId="77777777" w:rsidR="00835D74" w:rsidRPr="009E239A" w:rsidRDefault="00835D74" w:rsidP="00CD0BF5">
            <w:pPr>
              <w:jc w:val="left"/>
              <w:rPr>
                <w:rFonts w:cs="Calibri"/>
                <w:b/>
                <w:bCs/>
                <w:color w:val="0E1B8D"/>
                <w:szCs w:val="24"/>
                <w:lang w:eastAsia="en-GB"/>
              </w:rPr>
            </w:pPr>
            <w:r w:rsidRPr="009E239A">
              <w:rPr>
                <w:rFonts w:cs="Calibri"/>
                <w:b/>
                <w:bCs/>
                <w:color w:val="0E1B8D"/>
                <w:szCs w:val="24"/>
                <w:lang w:eastAsia="en-GB"/>
              </w:rPr>
              <w:t xml:space="preserve">Preferential Goal Requirements </w:t>
            </w:r>
          </w:p>
        </w:tc>
      </w:tr>
      <w:tr w:rsidR="00835D74" w:rsidRPr="009E239A" w14:paraId="7ED93401" w14:textId="77777777" w:rsidTr="008257DD">
        <w:trPr>
          <w:trHeight w:val="1097"/>
          <w:tblHeader/>
        </w:trPr>
        <w:tc>
          <w:tcPr>
            <w:tcW w:w="1691" w:type="dxa"/>
            <w:tcBorders>
              <w:top w:val="nil"/>
              <w:left w:val="single" w:sz="8" w:space="0" w:color="4F81BD"/>
              <w:bottom w:val="single" w:sz="8" w:space="0" w:color="4F81BD"/>
              <w:right w:val="single" w:sz="8" w:space="0" w:color="4F81BD"/>
            </w:tcBorders>
            <w:shd w:val="clear" w:color="000000" w:fill="DBE5F1"/>
          </w:tcPr>
          <w:p w14:paraId="05C84D95" w14:textId="77777777" w:rsidR="00835D74" w:rsidRPr="009E239A" w:rsidRDefault="00835D74" w:rsidP="00CD0BF5">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054EDF2" w14:textId="77777777" w:rsidR="00835D74" w:rsidRPr="009E239A" w:rsidRDefault="00835D74" w:rsidP="00CD0BF5">
            <w:pPr>
              <w:jc w:val="left"/>
              <w:rPr>
                <w:rFonts w:cs="Calibri"/>
                <w:b/>
                <w:bCs/>
                <w:color w:val="0E1B8D"/>
                <w:szCs w:val="24"/>
                <w:lang w:eastAsia="en-GB"/>
              </w:rPr>
            </w:pPr>
            <w:r w:rsidRPr="009E239A">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05394C30" w14:textId="77777777" w:rsidR="00835D74" w:rsidRPr="009E239A" w:rsidRDefault="00835D74" w:rsidP="00CD0BF5">
            <w:pPr>
              <w:jc w:val="left"/>
              <w:rPr>
                <w:rFonts w:cs="Calibri"/>
                <w:b/>
                <w:bCs/>
                <w:color w:val="0E1B8D"/>
                <w:szCs w:val="24"/>
                <w:lang w:eastAsia="en-GB"/>
              </w:rPr>
            </w:pPr>
            <w:r w:rsidRPr="009E239A">
              <w:rPr>
                <w:rFonts w:cs="Calibri"/>
                <w:b/>
                <w:bCs/>
                <w:color w:val="0E1B8D"/>
                <w:szCs w:val="24"/>
                <w:lang w:eastAsia="en-GB"/>
              </w:rPr>
              <w:t xml:space="preserve">Substantiating evidence and evidence reference to be completed by bidder. </w:t>
            </w:r>
            <w:r w:rsidRPr="009E239A">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022C76E0" w14:textId="77777777" w:rsidR="00835D74" w:rsidRPr="009E239A" w:rsidRDefault="00835D74" w:rsidP="00CD0BF5">
            <w:pPr>
              <w:jc w:val="left"/>
              <w:rPr>
                <w:rFonts w:cs="Calibri"/>
                <w:b/>
                <w:bCs/>
                <w:color w:val="0E1B8D"/>
                <w:szCs w:val="24"/>
                <w:lang w:eastAsia="en-GB"/>
              </w:rPr>
            </w:pPr>
            <w:r w:rsidRPr="009E239A">
              <w:rPr>
                <w:rFonts w:cs="Calibri"/>
                <w:b/>
                <w:bCs/>
                <w:color w:val="0E1B8D"/>
                <w:szCs w:val="24"/>
                <w:lang w:eastAsia="en-GB"/>
              </w:rPr>
              <w:t>Evidence Reference</w:t>
            </w:r>
          </w:p>
        </w:tc>
      </w:tr>
      <w:tr w:rsidR="00835D74" w:rsidRPr="009E239A" w14:paraId="7133FC7A" w14:textId="77777777" w:rsidTr="00CD0BF5">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6DAD1940" w14:textId="77777777" w:rsidR="00835D74" w:rsidRPr="009E239A" w:rsidRDefault="00835D74" w:rsidP="00CD0BF5">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4AEAC01" w14:textId="77777777" w:rsidR="00835D74" w:rsidRPr="009E239A" w:rsidRDefault="00835D74" w:rsidP="00CD0BF5">
            <w:pPr>
              <w:rPr>
                <w:rFonts w:cs="Calibri"/>
                <w:b/>
                <w:bCs/>
                <w:color w:val="305496"/>
                <w:szCs w:val="24"/>
                <w:lang w:eastAsia="en-GB"/>
              </w:rPr>
            </w:pPr>
            <w:r w:rsidRPr="009E239A">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5C0970A9" w14:textId="77777777" w:rsidR="00835D74" w:rsidRPr="009E239A" w:rsidRDefault="00835D74" w:rsidP="00CD0BF5">
            <w:pPr>
              <w:rPr>
                <w:rFonts w:cs="Calibri"/>
                <w:b/>
                <w:bCs/>
                <w:color w:val="0E1B8D"/>
                <w:lang w:eastAsia="en-GB"/>
              </w:rPr>
            </w:pPr>
            <w:r w:rsidRPr="009E239A">
              <w:rPr>
                <w:rFonts w:cs="Calibri"/>
                <w:b/>
                <w:bCs/>
                <w:color w:val="0E1B8D"/>
                <w:lang w:eastAsia="en-GB"/>
              </w:rPr>
              <w:t> </w:t>
            </w:r>
          </w:p>
        </w:tc>
      </w:tr>
      <w:tr w:rsidR="00835D74" w:rsidRPr="009E239A" w14:paraId="565BC458" w14:textId="77777777" w:rsidTr="00CD0BF5">
        <w:trPr>
          <w:trHeight w:val="2144"/>
        </w:trPr>
        <w:tc>
          <w:tcPr>
            <w:tcW w:w="1691" w:type="dxa"/>
            <w:tcBorders>
              <w:top w:val="nil"/>
              <w:left w:val="single" w:sz="8" w:space="0" w:color="4F81BD"/>
              <w:bottom w:val="single" w:sz="8" w:space="0" w:color="4F81BD"/>
              <w:right w:val="single" w:sz="8" w:space="0" w:color="4F81BD"/>
            </w:tcBorders>
          </w:tcPr>
          <w:p w14:paraId="7269C289" w14:textId="77777777" w:rsidR="00835D74" w:rsidRPr="009E239A" w:rsidRDefault="00835D74" w:rsidP="00CD0BF5">
            <w:pPr>
              <w:jc w:val="left"/>
              <w:rPr>
                <w:rFonts w:cs="Calibri"/>
                <w:szCs w:val="24"/>
                <w:lang w:eastAsia="en-GB"/>
              </w:rPr>
            </w:pPr>
            <w:r w:rsidRPr="009E239A">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5E590977" w14:textId="77777777" w:rsidR="00835D74" w:rsidRPr="009E239A" w:rsidRDefault="00835D74" w:rsidP="00CD0BF5">
            <w:pPr>
              <w:jc w:val="left"/>
              <w:rPr>
                <w:rFonts w:cs="Calibri"/>
                <w:szCs w:val="24"/>
                <w:lang w:eastAsia="en-GB"/>
              </w:rPr>
            </w:pPr>
            <w:r w:rsidRPr="009E239A">
              <w:rPr>
                <w:rFonts w:cs="Calibri"/>
                <w:b/>
                <w:bCs/>
                <w:szCs w:val="24"/>
                <w:lang w:eastAsia="en-GB"/>
              </w:rPr>
              <w:t>B-BBEE Requirements</w:t>
            </w:r>
          </w:p>
          <w:p w14:paraId="18CCF246" w14:textId="77777777" w:rsidR="00835D74" w:rsidRPr="009E239A" w:rsidRDefault="00835D74" w:rsidP="00CD0BF5">
            <w:pPr>
              <w:jc w:val="left"/>
              <w:rPr>
                <w:rFonts w:cs="Calibri"/>
                <w:szCs w:val="24"/>
                <w:lang w:eastAsia="en-GB"/>
              </w:rPr>
            </w:pPr>
            <w:r w:rsidRPr="009E239A">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09772B52" w14:textId="77777777" w:rsidR="00835D74" w:rsidRPr="009E239A" w:rsidRDefault="00835D74" w:rsidP="00CD0BF5">
            <w:pPr>
              <w:rPr>
                <w:rFonts w:cs="Calibri"/>
                <w:szCs w:val="24"/>
                <w:lang w:eastAsia="en-GB"/>
              </w:rPr>
            </w:pPr>
            <w:r w:rsidRPr="009E239A">
              <w:rPr>
                <w:rFonts w:cs="Calibri"/>
                <w:b/>
                <w:bCs/>
              </w:rPr>
              <w:t>Evidence:</w:t>
            </w:r>
            <w:r w:rsidRPr="009E239A">
              <w:rPr>
                <w:rFonts w:cs="Calibri"/>
              </w:rPr>
              <w:br/>
            </w:r>
            <w:r w:rsidRPr="009E239A">
              <w:rPr>
                <w:rFonts w:cs="Calibri"/>
                <w:szCs w:val="24"/>
                <w:lang w:eastAsia="en-GB"/>
              </w:rPr>
              <w:t>The Bidder must provide a copy of the following relevant evidence for the Preferential Goal points which the Bidder qualifies for:</w:t>
            </w:r>
          </w:p>
          <w:p w14:paraId="3BC58BA2" w14:textId="3E5A6EF5" w:rsidR="00835D74" w:rsidRPr="009E239A" w:rsidRDefault="00835D74" w:rsidP="00835D74">
            <w:pPr>
              <w:numPr>
                <w:ilvl w:val="0"/>
                <w:numId w:val="42"/>
              </w:numPr>
              <w:spacing w:after="0"/>
              <w:ind w:left="460" w:hanging="460"/>
              <w:jc w:val="left"/>
              <w:outlineLvl w:val="0"/>
              <w:rPr>
                <w:rFonts w:ascii="Calibri" w:hAnsi="Calibri" w:cs="Calibri"/>
                <w:szCs w:val="24"/>
              </w:rPr>
            </w:pPr>
            <w:r w:rsidRPr="009E239A">
              <w:rPr>
                <w:rFonts w:ascii="Calibri" w:hAnsi="Calibri" w:cs="Calibri"/>
                <w:b/>
                <w:bCs/>
                <w:szCs w:val="24"/>
              </w:rPr>
              <w:t>Columns A, B, C and D in table</w:t>
            </w:r>
            <w:r w:rsidR="00F459B5">
              <w:rPr>
                <w:rFonts w:ascii="Calibri" w:hAnsi="Calibri" w:cs="Calibri"/>
                <w:b/>
                <w:bCs/>
                <w:szCs w:val="24"/>
              </w:rPr>
              <w:t xml:space="preserve"> 5</w:t>
            </w:r>
          </w:p>
          <w:p w14:paraId="248A8B16" w14:textId="77777777" w:rsidR="00835D74" w:rsidRPr="009E239A" w:rsidRDefault="00835D74" w:rsidP="00CD0BF5">
            <w:pPr>
              <w:spacing w:after="0"/>
              <w:ind w:left="460"/>
              <w:jc w:val="left"/>
              <w:outlineLvl w:val="0"/>
              <w:rPr>
                <w:rFonts w:ascii="Calibri" w:hAnsi="Calibri" w:cs="Calibri"/>
                <w:szCs w:val="24"/>
              </w:rPr>
            </w:pPr>
            <w:r w:rsidRPr="009E239A">
              <w:rPr>
                <w:rFonts w:ascii="Calibri" w:hAnsi="Calibri"/>
                <w:bCs/>
                <w:szCs w:val="24"/>
              </w:rPr>
              <w:t xml:space="preserve">Copy of relevant proof of the following to confirm the B-BBEE status of the contributor </w:t>
            </w:r>
            <w:r w:rsidRPr="009E239A">
              <w:rPr>
                <w:rFonts w:ascii="Calibri" w:hAnsi="Calibri" w:cs="Calibri"/>
                <w:szCs w:val="24"/>
              </w:rPr>
              <w:t xml:space="preserve">as defined in </w:t>
            </w:r>
            <w:r w:rsidRPr="009E239A">
              <w:rPr>
                <w:rFonts w:ascii="Calibri" w:hAnsi="Calibri"/>
                <w:bCs/>
                <w:szCs w:val="24"/>
              </w:rPr>
              <w:t>the</w:t>
            </w:r>
            <w:r w:rsidRPr="009E239A">
              <w:rPr>
                <w:rFonts w:ascii="Calibri" w:hAnsi="Calibri" w:cs="Calibri"/>
                <w:szCs w:val="24"/>
              </w:rPr>
              <w:t xml:space="preserve"> Broad-Based Black Economic Empowerment Act:</w:t>
            </w:r>
          </w:p>
          <w:p w14:paraId="72069E89" w14:textId="77777777" w:rsidR="00835D74" w:rsidRPr="009E239A" w:rsidRDefault="00835D74" w:rsidP="00835D74">
            <w:pPr>
              <w:numPr>
                <w:ilvl w:val="4"/>
                <w:numId w:val="26"/>
              </w:numPr>
              <w:spacing w:after="0"/>
              <w:ind w:left="746" w:hanging="284"/>
              <w:jc w:val="left"/>
              <w:outlineLvl w:val="0"/>
              <w:rPr>
                <w:rFonts w:ascii="Calibri" w:hAnsi="Calibri"/>
                <w:bCs/>
                <w:i/>
                <w:iCs/>
                <w:szCs w:val="24"/>
              </w:rPr>
            </w:pPr>
            <w:r w:rsidRPr="009E239A">
              <w:rPr>
                <w:rFonts w:ascii="Calibri" w:hAnsi="Calibri"/>
                <w:b/>
                <w:i/>
                <w:iCs/>
                <w:szCs w:val="24"/>
              </w:rPr>
              <w:t>B-BBEE certificate</w:t>
            </w:r>
            <w:r w:rsidRPr="009E239A">
              <w:rPr>
                <w:rFonts w:ascii="Calibri" w:hAnsi="Calibri"/>
                <w:bCs/>
                <w:i/>
                <w:iCs/>
                <w:szCs w:val="24"/>
              </w:rPr>
              <w:t xml:space="preserve"> (from a SANAS Accredited Agency/ the department.</w:t>
            </w:r>
          </w:p>
          <w:p w14:paraId="02FCDBEB" w14:textId="77777777" w:rsidR="00835D74" w:rsidRPr="009E239A" w:rsidRDefault="00835D74" w:rsidP="00CD0BF5">
            <w:pPr>
              <w:spacing w:after="0"/>
              <w:ind w:left="746"/>
              <w:jc w:val="left"/>
              <w:outlineLvl w:val="0"/>
              <w:rPr>
                <w:rFonts w:ascii="Calibri" w:hAnsi="Calibri"/>
                <w:b/>
                <w:szCs w:val="24"/>
              </w:rPr>
            </w:pPr>
            <w:r w:rsidRPr="009E239A">
              <w:rPr>
                <w:rFonts w:ascii="Calibri" w:hAnsi="Calibri"/>
                <w:b/>
                <w:szCs w:val="24"/>
              </w:rPr>
              <w:t xml:space="preserve">or </w:t>
            </w:r>
          </w:p>
          <w:p w14:paraId="398D7A72" w14:textId="77777777" w:rsidR="00835D74" w:rsidRPr="009E239A" w:rsidRDefault="00835D74" w:rsidP="00CD0BF5">
            <w:pPr>
              <w:spacing w:after="0"/>
              <w:ind w:left="746"/>
              <w:jc w:val="left"/>
              <w:outlineLvl w:val="0"/>
              <w:rPr>
                <w:rFonts w:ascii="Calibri" w:hAnsi="Calibri" w:cs="Calibri"/>
                <w:bCs/>
                <w:szCs w:val="24"/>
              </w:rPr>
            </w:pPr>
            <w:proofErr w:type="gramStart"/>
            <w:r w:rsidRPr="009E239A">
              <w:rPr>
                <w:rFonts w:ascii="Calibri" w:hAnsi="Calibri"/>
                <w:b/>
                <w:i/>
                <w:iCs/>
                <w:szCs w:val="24"/>
              </w:rPr>
              <w:t>Sworn affidavit</w:t>
            </w:r>
            <w:proofErr w:type="gramEnd"/>
            <w:r w:rsidRPr="009E239A">
              <w:rPr>
                <w:rFonts w:ascii="Calibri" w:hAnsi="Calibri"/>
                <w:b/>
                <w:i/>
                <w:iCs/>
                <w:szCs w:val="24"/>
              </w:rPr>
              <w:t xml:space="preserve"> </w:t>
            </w:r>
            <w:r w:rsidRPr="009E239A">
              <w:rPr>
                <w:rFonts w:ascii="Calibri" w:hAnsi="Calibri"/>
                <w:bCs/>
                <w:szCs w:val="24"/>
              </w:rPr>
              <w:t>in the format provided by CIPC -</w:t>
            </w:r>
            <w:r w:rsidRPr="009E239A">
              <w:rPr>
                <w:rFonts w:ascii="Calibri" w:hAnsi="Calibri"/>
                <w:b/>
                <w:i/>
                <w:iCs/>
                <w:szCs w:val="24"/>
              </w:rPr>
              <w:t xml:space="preserve"> Applicable to EMEs and QSEs only.</w:t>
            </w:r>
          </w:p>
          <w:p w14:paraId="039F4A7A" w14:textId="77777777" w:rsidR="00835D74" w:rsidRDefault="00835D74" w:rsidP="00CD0BF5">
            <w:pPr>
              <w:spacing w:after="0"/>
              <w:ind w:left="460"/>
              <w:jc w:val="left"/>
              <w:outlineLvl w:val="0"/>
              <w:rPr>
                <w:rFonts w:ascii="Calibri" w:hAnsi="Calibri" w:cs="Calibri"/>
                <w:b/>
                <w:bCs/>
                <w:szCs w:val="24"/>
              </w:rPr>
            </w:pPr>
            <w:r w:rsidRPr="009E239A">
              <w:rPr>
                <w:rFonts w:ascii="Calibri" w:hAnsi="Calibri" w:cs="Calibri"/>
                <w:b/>
                <w:bCs/>
                <w:szCs w:val="24"/>
              </w:rPr>
              <w:t>and/ or</w:t>
            </w:r>
          </w:p>
          <w:p w14:paraId="10F8D362" w14:textId="77777777" w:rsidR="00835D74" w:rsidRPr="009E239A" w:rsidRDefault="00835D74" w:rsidP="00CD0BF5">
            <w:pPr>
              <w:spacing w:after="0"/>
              <w:ind w:left="460"/>
              <w:jc w:val="left"/>
              <w:outlineLvl w:val="0"/>
              <w:rPr>
                <w:rFonts w:ascii="Calibri" w:hAnsi="Calibri" w:cs="Calibri"/>
                <w:szCs w:val="24"/>
              </w:rPr>
            </w:pPr>
          </w:p>
          <w:p w14:paraId="34D21EC2" w14:textId="40BF1EF6" w:rsidR="00835D74" w:rsidRPr="009E239A" w:rsidRDefault="00835D74" w:rsidP="00835D74">
            <w:pPr>
              <w:numPr>
                <w:ilvl w:val="0"/>
                <w:numId w:val="42"/>
              </w:numPr>
              <w:spacing w:after="0"/>
              <w:ind w:left="460" w:hanging="460"/>
              <w:jc w:val="left"/>
              <w:outlineLvl w:val="0"/>
              <w:rPr>
                <w:rFonts w:ascii="Calibri" w:hAnsi="Calibri" w:cs="Calibri"/>
                <w:b/>
                <w:bCs/>
                <w:szCs w:val="24"/>
              </w:rPr>
            </w:pPr>
            <w:r w:rsidRPr="009E239A">
              <w:rPr>
                <w:rFonts w:ascii="Calibri" w:hAnsi="Calibri" w:cs="Calibri"/>
                <w:b/>
                <w:bCs/>
                <w:szCs w:val="24"/>
              </w:rPr>
              <w:t>Column D in table</w:t>
            </w:r>
            <w:r>
              <w:rPr>
                <w:rFonts w:ascii="Calibri" w:hAnsi="Calibri" w:cs="Calibri"/>
                <w:b/>
                <w:bCs/>
                <w:szCs w:val="24"/>
              </w:rPr>
              <w:t xml:space="preserve"> </w:t>
            </w:r>
            <w:r w:rsidR="00F459B5">
              <w:rPr>
                <w:rFonts w:ascii="Calibri" w:hAnsi="Calibri" w:cs="Calibri"/>
                <w:b/>
                <w:bCs/>
                <w:szCs w:val="24"/>
              </w:rPr>
              <w:t>5</w:t>
            </w:r>
          </w:p>
          <w:p w14:paraId="7BF2CF3D" w14:textId="77777777" w:rsidR="00835D74" w:rsidRDefault="00835D74" w:rsidP="00CD0BF5">
            <w:pPr>
              <w:spacing w:after="0"/>
              <w:ind w:left="460"/>
              <w:jc w:val="left"/>
              <w:outlineLvl w:val="0"/>
              <w:rPr>
                <w:rFonts w:ascii="Calibri" w:hAnsi="Calibri"/>
                <w:b/>
                <w:szCs w:val="24"/>
              </w:rPr>
            </w:pPr>
            <w:r w:rsidRPr="009E239A">
              <w:rPr>
                <w:rFonts w:ascii="Calibri" w:hAnsi="Calibri"/>
                <w:bCs/>
                <w:szCs w:val="24"/>
              </w:rPr>
              <w:t xml:space="preserve">Copy of </w:t>
            </w:r>
            <w:r w:rsidRPr="009E239A">
              <w:rPr>
                <w:rFonts w:ascii="Calibri" w:hAnsi="Calibri"/>
                <w:b/>
                <w:i/>
                <w:iCs/>
                <w:szCs w:val="24"/>
              </w:rPr>
              <w:t>South African Identification Document (ID)</w:t>
            </w:r>
            <w:r w:rsidRPr="009E239A">
              <w:rPr>
                <w:rFonts w:ascii="Calibri" w:hAnsi="Calibri"/>
                <w:bCs/>
                <w:szCs w:val="24"/>
              </w:rPr>
              <w:t xml:space="preserve">; </w:t>
            </w:r>
            <w:r w:rsidRPr="009E239A">
              <w:rPr>
                <w:rFonts w:ascii="Calibri" w:hAnsi="Calibri"/>
                <w:b/>
                <w:szCs w:val="24"/>
              </w:rPr>
              <w:t>and/ or</w:t>
            </w:r>
          </w:p>
          <w:p w14:paraId="2D056467" w14:textId="77777777" w:rsidR="00835D74" w:rsidRPr="009E239A" w:rsidRDefault="00835D74" w:rsidP="00CD0BF5">
            <w:pPr>
              <w:spacing w:after="0"/>
              <w:ind w:left="460"/>
              <w:jc w:val="left"/>
              <w:outlineLvl w:val="0"/>
              <w:rPr>
                <w:rFonts w:ascii="Calibri" w:hAnsi="Calibri"/>
                <w:bCs/>
                <w:szCs w:val="24"/>
              </w:rPr>
            </w:pPr>
          </w:p>
          <w:p w14:paraId="42E98608" w14:textId="2DF32599" w:rsidR="00835D74" w:rsidRPr="009E239A" w:rsidRDefault="00835D74" w:rsidP="00835D74">
            <w:pPr>
              <w:numPr>
                <w:ilvl w:val="0"/>
                <w:numId w:val="42"/>
              </w:numPr>
              <w:spacing w:after="0"/>
              <w:ind w:left="460" w:hanging="460"/>
              <w:jc w:val="left"/>
              <w:outlineLvl w:val="0"/>
              <w:rPr>
                <w:rFonts w:ascii="Calibri" w:hAnsi="Calibri" w:cs="Calibri"/>
                <w:b/>
                <w:bCs/>
                <w:szCs w:val="24"/>
              </w:rPr>
            </w:pPr>
            <w:r w:rsidRPr="009E239A">
              <w:rPr>
                <w:rFonts w:ascii="Calibri" w:hAnsi="Calibri" w:cs="Calibri"/>
                <w:b/>
                <w:bCs/>
                <w:szCs w:val="24"/>
              </w:rPr>
              <w:t>Column E in table</w:t>
            </w:r>
            <w:r>
              <w:rPr>
                <w:rFonts w:ascii="Calibri" w:hAnsi="Calibri" w:cs="Calibri"/>
                <w:b/>
                <w:bCs/>
                <w:szCs w:val="24"/>
              </w:rPr>
              <w:t xml:space="preserve"> </w:t>
            </w:r>
            <w:r w:rsidR="00F459B5">
              <w:rPr>
                <w:rFonts w:ascii="Calibri" w:hAnsi="Calibri" w:cs="Calibri"/>
                <w:b/>
                <w:bCs/>
                <w:szCs w:val="24"/>
              </w:rPr>
              <w:t>5</w:t>
            </w:r>
          </w:p>
          <w:p w14:paraId="13C7A6BE" w14:textId="77777777" w:rsidR="00835D74" w:rsidRPr="009E239A" w:rsidRDefault="00835D74" w:rsidP="00CD0BF5">
            <w:pPr>
              <w:spacing w:after="0"/>
              <w:ind w:left="460"/>
              <w:jc w:val="left"/>
              <w:outlineLvl w:val="0"/>
              <w:rPr>
                <w:rFonts w:ascii="Calibri" w:hAnsi="Calibri" w:cs="Calibri"/>
                <w:szCs w:val="24"/>
              </w:rPr>
            </w:pPr>
            <w:r w:rsidRPr="009E239A">
              <w:rPr>
                <w:rFonts w:ascii="Calibri" w:hAnsi="Calibri"/>
                <w:bCs/>
                <w:szCs w:val="24"/>
              </w:rPr>
              <w:t xml:space="preserve">Copy of </w:t>
            </w:r>
            <w:r w:rsidRPr="009E239A">
              <w:rPr>
                <w:rFonts w:ascii="Calibri" w:hAnsi="Calibri"/>
                <w:b/>
                <w:i/>
                <w:iCs/>
                <w:szCs w:val="24"/>
              </w:rPr>
              <w:t>Medical Certificate</w:t>
            </w:r>
            <w:r w:rsidRPr="009E239A">
              <w:rPr>
                <w:rFonts w:ascii="Calibri" w:hAnsi="Calibri"/>
                <w:bCs/>
                <w:szCs w:val="24"/>
              </w:rPr>
              <w:t xml:space="preserve"> </w:t>
            </w:r>
            <w:r w:rsidRPr="009E239A">
              <w:rPr>
                <w:rFonts w:ascii="Calibri" w:hAnsi="Calibri"/>
                <w:b/>
                <w:i/>
                <w:iCs/>
                <w:szCs w:val="24"/>
              </w:rPr>
              <w:t xml:space="preserve">clearly indicating the disability in line with the B-BBEE status claimed </w:t>
            </w:r>
            <w:r w:rsidRPr="009E239A">
              <w:rPr>
                <w:rFonts w:ascii="Calibri" w:hAnsi="Calibri" w:cs="Calibri"/>
                <w:b/>
                <w:i/>
                <w:iCs/>
                <w:szCs w:val="24"/>
              </w:rPr>
              <w:t xml:space="preserve">as defined in </w:t>
            </w:r>
            <w:r w:rsidRPr="009E239A">
              <w:rPr>
                <w:rFonts w:ascii="Calibri" w:hAnsi="Calibri"/>
                <w:b/>
                <w:i/>
                <w:iCs/>
                <w:szCs w:val="24"/>
              </w:rPr>
              <w:t>the</w:t>
            </w:r>
            <w:r w:rsidRPr="009E239A">
              <w:rPr>
                <w:rFonts w:ascii="Calibri" w:hAnsi="Calibri" w:cs="Calibri"/>
                <w:b/>
                <w:i/>
                <w:iCs/>
                <w:szCs w:val="24"/>
              </w:rPr>
              <w:t xml:space="preserve"> Broad-Based Black Economic Empowerment Act</w:t>
            </w:r>
            <w:r w:rsidRPr="009E239A">
              <w:rPr>
                <w:rFonts w:ascii="Calibri" w:hAnsi="Calibri" w:cs="Calibri"/>
                <w:szCs w:val="24"/>
              </w:rPr>
              <w:t>.</w:t>
            </w:r>
          </w:p>
          <w:p w14:paraId="6D548596" w14:textId="77777777" w:rsidR="00835D74" w:rsidRPr="009E239A" w:rsidRDefault="00835D74" w:rsidP="00CD0BF5">
            <w:pPr>
              <w:spacing w:after="0"/>
              <w:ind w:left="460"/>
              <w:jc w:val="left"/>
              <w:outlineLvl w:val="0"/>
              <w:rPr>
                <w:rFonts w:ascii="Calibri" w:hAnsi="Calibri" w:cs="Calibri"/>
                <w:szCs w:val="24"/>
              </w:rPr>
            </w:pPr>
          </w:p>
          <w:p w14:paraId="5E95BF08" w14:textId="77777777" w:rsidR="00835D74" w:rsidRPr="009E239A" w:rsidRDefault="00835D74" w:rsidP="00CD0BF5">
            <w:pPr>
              <w:jc w:val="left"/>
              <w:rPr>
                <w:rFonts w:cs="Calibri"/>
                <w:b/>
                <w:bCs/>
              </w:rPr>
            </w:pPr>
            <w:r w:rsidRPr="009E239A">
              <w:rPr>
                <w:rFonts w:cs="Calibri"/>
                <w:b/>
                <w:bCs/>
              </w:rPr>
              <w:lastRenderedPageBreak/>
              <w:t>Note:</w:t>
            </w:r>
          </w:p>
          <w:p w14:paraId="31CE7358" w14:textId="77777777" w:rsidR="00835D74" w:rsidRPr="009E239A" w:rsidRDefault="00835D74" w:rsidP="00CD0BF5">
            <w:pPr>
              <w:jc w:val="left"/>
              <w:rPr>
                <w:bCs/>
                <w:szCs w:val="24"/>
              </w:rPr>
            </w:pPr>
            <w:r w:rsidRPr="009E239A">
              <w:rPr>
                <w:bCs/>
                <w:szCs w:val="24"/>
              </w:rPr>
              <w:t>The CIPC (Companies and Intellectual Property Commission) registration documents will also be used as evidence to confirm compliance to the Preferential procurement requirements as part of the evaluation process.</w:t>
            </w:r>
          </w:p>
          <w:p w14:paraId="582BBDDA" w14:textId="06BC8269" w:rsidR="00835D74" w:rsidRPr="009E239A" w:rsidRDefault="00835D74" w:rsidP="00CD0BF5">
            <w:pPr>
              <w:jc w:val="left"/>
              <w:rPr>
                <w:rFonts w:cs="Calibri"/>
              </w:rPr>
            </w:pPr>
            <w:r w:rsidRPr="009E239A">
              <w:rPr>
                <w:rFonts w:cs="Calibri"/>
              </w:rPr>
              <w:br/>
            </w:r>
            <w:r w:rsidRPr="009E239A">
              <w:rPr>
                <w:rFonts w:cs="Calibri"/>
                <w:b/>
                <w:bCs/>
              </w:rPr>
              <w:t>Points allocation:</w:t>
            </w:r>
            <w:r w:rsidRPr="009E239A">
              <w:rPr>
                <w:rFonts w:cs="Calibri"/>
              </w:rPr>
              <w:br/>
              <w:t xml:space="preserve">Points will be allocated for bidders that meets the requirements as indicated in </w:t>
            </w:r>
            <w:r w:rsidRPr="009E239A" w:rsidDel="00FC1EAF">
              <w:rPr>
                <w:rFonts w:cs="Calibri"/>
                <w:b/>
                <w:bCs/>
              </w:rPr>
              <w:t>table</w:t>
            </w:r>
            <w:r w:rsidRPr="009E239A">
              <w:rPr>
                <w:rFonts w:cs="Calibri"/>
                <w:b/>
                <w:bCs/>
              </w:rPr>
              <w:t xml:space="preserve"> </w:t>
            </w:r>
            <w:r w:rsidR="00F459B5">
              <w:rPr>
                <w:rFonts w:cs="Calibri"/>
                <w:b/>
                <w:bCs/>
              </w:rPr>
              <w:t>5.</w:t>
            </w:r>
          </w:p>
          <w:p w14:paraId="211F2798" w14:textId="77777777" w:rsidR="00835D74" w:rsidRPr="009E239A" w:rsidRDefault="00835D74" w:rsidP="00CD0BF5">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433EAC10" w14:textId="77777777" w:rsidR="00835D74" w:rsidRPr="00096F6E" w:rsidRDefault="00835D74" w:rsidP="00CD0BF5">
            <w:pPr>
              <w:jc w:val="left"/>
              <w:rPr>
                <w:rFonts w:cs="Calibri"/>
                <w:szCs w:val="24"/>
                <w:lang w:eastAsia="en-GB"/>
              </w:rPr>
            </w:pPr>
            <w:r w:rsidRPr="00044C20">
              <w:rPr>
                <w:rFonts w:cs="Calibri"/>
                <w:szCs w:val="24"/>
                <w:lang w:eastAsia="en-GB"/>
              </w:rPr>
              <w:lastRenderedPageBreak/>
              <w:t xml:space="preserve">&lt;provide unique reference to locate the substantiating evidence in the bid response – </w:t>
            </w:r>
            <w:r w:rsidRPr="00044C20">
              <w:rPr>
                <w:rFonts w:cs="Calibri"/>
                <w:b/>
                <w:bCs/>
                <w:szCs w:val="24"/>
                <w:lang w:eastAsia="en-GB"/>
              </w:rPr>
              <w:t xml:space="preserve">Annex A, </w:t>
            </w:r>
            <w:r w:rsidRPr="004C5BA7">
              <w:rPr>
                <w:rFonts w:cs="Calibri"/>
                <w:b/>
                <w:bCs/>
                <w:szCs w:val="24"/>
                <w:lang w:eastAsia="en-GB"/>
              </w:rPr>
              <w:t>section 5.5</w:t>
            </w:r>
            <w:r w:rsidRPr="004C5BA7">
              <w:rPr>
                <w:rFonts w:cs="Calibri"/>
                <w:szCs w:val="24"/>
                <w:lang w:eastAsia="en-GB"/>
              </w:rPr>
              <w:t>&gt;</w:t>
            </w:r>
          </w:p>
        </w:tc>
      </w:tr>
    </w:tbl>
    <w:p w14:paraId="19883857" w14:textId="77777777" w:rsidR="00835D74" w:rsidRDefault="00835D74" w:rsidP="00835D74">
      <w:pPr>
        <w:rPr>
          <w:rFonts w:cs="Calibri Light"/>
          <w:b/>
          <w:bCs/>
        </w:rPr>
        <w:sectPr w:rsidR="00835D74" w:rsidSect="00F459B5">
          <w:pgSz w:w="16838" w:h="11906" w:orient="landscape"/>
          <w:pgMar w:top="1123" w:right="1134" w:bottom="1134" w:left="1134" w:header="680" w:footer="680" w:gutter="0"/>
          <w:cols w:space="720"/>
          <w:docGrid w:linePitch="326"/>
        </w:sectPr>
      </w:pPr>
    </w:p>
    <w:p w14:paraId="19E62951" w14:textId="2378AD35" w:rsidR="00835D74" w:rsidRPr="00251175" w:rsidRDefault="00835D74" w:rsidP="00835D74">
      <w:pPr>
        <w:pStyle w:val="Caption"/>
        <w:rPr>
          <w:rFonts w:cs="Calibri Light"/>
          <w:b w:val="0"/>
          <w:bCs/>
          <w:lang w:eastAsia="en-GB"/>
        </w:rPr>
      </w:pPr>
      <w:bookmarkStart w:id="62" w:name="_Toc212710849"/>
      <w:r>
        <w:lastRenderedPageBreak/>
        <w:t xml:space="preserve">Table </w:t>
      </w:r>
      <w:r w:rsidR="00F459B5">
        <w:t>5</w:t>
      </w:r>
      <w:r>
        <w:t xml:space="preserve">:  </w:t>
      </w:r>
      <w:r w:rsidRPr="00251175">
        <w:rPr>
          <w:rFonts w:cs="Calibri Light"/>
          <w:bCs/>
        </w:rPr>
        <w:t xml:space="preserve"> </w:t>
      </w:r>
      <w:r w:rsidRPr="00251175">
        <w:rPr>
          <w:rFonts w:cs="Calibri Light"/>
          <w:bCs/>
          <w:lang w:eastAsia="en-GB"/>
        </w:rPr>
        <w:t>B-BBEE Points as part of the Preference Goal requirements</w:t>
      </w:r>
      <w:r w:rsidRPr="00251175">
        <w:rPr>
          <w:rFonts w:cs="Calibri Light"/>
          <w:bCs/>
          <w:color w:val="0E1B8D"/>
          <w:lang w:eastAsia="en-GB"/>
        </w:rPr>
        <w:t xml:space="preserve"> </w:t>
      </w:r>
      <w:r w:rsidRPr="00251175">
        <w:rPr>
          <w:rFonts w:cs="Calibri Light"/>
          <w:bCs/>
          <w:lang w:eastAsia="en-GB"/>
        </w:rPr>
        <w:t>(Preferential Goal Requirements for (80/20) system)</w:t>
      </w:r>
      <w:bookmarkEnd w:id="62"/>
    </w:p>
    <w:p w14:paraId="2DCBB562" w14:textId="5C09D20F" w:rsidR="00835D74" w:rsidRDefault="00F459B5" w:rsidP="00835D74">
      <w:pPr>
        <w:rPr>
          <w:rFonts w:cs="Calibri Light"/>
          <w:b/>
          <w:color w:val="FF0000"/>
          <w:kern w:val="24"/>
        </w:rPr>
      </w:pPr>
      <w:r>
        <w:rPr>
          <w:rFonts w:cs="Calibri Light"/>
          <w:b/>
          <w:color w:val="FF0000"/>
          <w:kern w:val="24"/>
        </w:rPr>
        <w:tab/>
      </w:r>
      <w:r>
        <w:rPr>
          <w:rFonts w:cs="Calibri Light"/>
          <w:b/>
          <w:color w:val="FF0000"/>
          <w:kern w:val="24"/>
        </w:rPr>
        <w:tab/>
      </w:r>
      <w:r>
        <w:rPr>
          <w:rFonts w:cs="Calibri Light"/>
          <w:b/>
          <w:color w:val="FF0000"/>
          <w:kern w:val="24"/>
        </w:rPr>
        <w:tab/>
      </w:r>
      <w:r>
        <w:rPr>
          <w:rFonts w:cs="Calibri Light"/>
          <w:b/>
          <w:color w:val="FF0000"/>
          <w:kern w:val="24"/>
        </w:rPr>
        <w:tab/>
      </w:r>
      <w:r w:rsidR="00835D74" w:rsidRPr="00251175">
        <w:rPr>
          <w:rFonts w:cs="Calibri Light"/>
          <w:b/>
          <w:color w:val="FF0000"/>
          <w:kern w:val="24"/>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835D74" w:rsidRPr="00067A19" w14:paraId="088E7EE1" w14:textId="77777777" w:rsidTr="00CD0BF5">
        <w:trPr>
          <w:trHeight w:val="340"/>
        </w:trPr>
        <w:tc>
          <w:tcPr>
            <w:tcW w:w="236" w:type="dxa"/>
            <w:tcBorders>
              <w:top w:val="nil"/>
              <w:left w:val="nil"/>
              <w:bottom w:val="nil"/>
              <w:right w:val="nil"/>
            </w:tcBorders>
            <w:noWrap/>
            <w:vAlign w:val="bottom"/>
            <w:hideMark/>
          </w:tcPr>
          <w:p w14:paraId="7AFA49D6"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6EEFA3C1"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7A6A1D9E"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53FF3600"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00C784BB"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013BAE8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9A384E0"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412D792D"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r>
      <w:tr w:rsidR="00835D74" w:rsidRPr="00067A19" w14:paraId="06DCD488" w14:textId="77777777" w:rsidTr="00CD0BF5">
        <w:trPr>
          <w:trHeight w:val="320"/>
        </w:trPr>
        <w:tc>
          <w:tcPr>
            <w:tcW w:w="236" w:type="dxa"/>
            <w:tcBorders>
              <w:top w:val="nil"/>
              <w:left w:val="nil"/>
              <w:bottom w:val="nil"/>
              <w:right w:val="nil"/>
            </w:tcBorders>
            <w:noWrap/>
            <w:vAlign w:val="bottom"/>
            <w:hideMark/>
          </w:tcPr>
          <w:p w14:paraId="5DA634CF"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4C44D672" w14:textId="77777777" w:rsidR="00835D74" w:rsidRPr="00067A19" w:rsidRDefault="00835D74" w:rsidP="00CD0BF5">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07E3A6D0"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43833368"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1B57FF51" w14:textId="77777777" w:rsidR="00835D74" w:rsidRPr="00067A19" w:rsidRDefault="00835D74" w:rsidP="00CD0BF5">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19EA746F" w14:textId="77777777" w:rsidR="00835D74" w:rsidRPr="00067A19" w:rsidRDefault="00835D74" w:rsidP="00CD0BF5">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52818E08"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F329C3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63A0364F"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14505B5B" w14:textId="77777777" w:rsidR="00835D74" w:rsidRPr="00067A19" w:rsidRDefault="00835D74" w:rsidP="00CD0BF5">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69CD5FB0" w14:textId="77777777" w:rsidR="00835D74" w:rsidRPr="00067A19" w:rsidRDefault="00835D74" w:rsidP="00CD0BF5">
            <w:pPr>
              <w:spacing w:after="0" w:line="240" w:lineRule="auto"/>
              <w:jc w:val="center"/>
              <w:rPr>
                <w:rFonts w:eastAsia="Times New Roman" w:cs="Calibri Light"/>
                <w:b/>
                <w:bCs/>
                <w:color w:val="FF0000"/>
                <w:sz w:val="20"/>
                <w:szCs w:val="20"/>
                <w:lang w:eastAsia="en-GB"/>
              </w:rPr>
            </w:pPr>
          </w:p>
        </w:tc>
      </w:tr>
      <w:tr w:rsidR="00835D74" w:rsidRPr="00067A19" w14:paraId="51B0C646" w14:textId="77777777" w:rsidTr="00CD0BF5">
        <w:trPr>
          <w:trHeight w:val="803"/>
        </w:trPr>
        <w:tc>
          <w:tcPr>
            <w:tcW w:w="236" w:type="dxa"/>
            <w:tcBorders>
              <w:top w:val="nil"/>
              <w:left w:val="nil"/>
              <w:bottom w:val="nil"/>
              <w:right w:val="nil"/>
            </w:tcBorders>
            <w:noWrap/>
            <w:vAlign w:val="bottom"/>
            <w:hideMark/>
          </w:tcPr>
          <w:p w14:paraId="60D226F8"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792DCF75" w14:textId="77777777" w:rsidR="00835D74" w:rsidRPr="00067A19" w:rsidRDefault="00835D74" w:rsidP="00CD0BF5">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D7CB3C3" w14:textId="77777777" w:rsidR="00835D74" w:rsidRPr="00067A19" w:rsidRDefault="00835D74" w:rsidP="00CD0BF5">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4092E35" w14:textId="77777777" w:rsidR="00835D74" w:rsidRPr="00067A19" w:rsidRDefault="00835D74" w:rsidP="00CD0BF5">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4F3E9686" w14:textId="77777777" w:rsidR="00835D74" w:rsidRPr="00067A19" w:rsidRDefault="00835D74" w:rsidP="00CD0BF5">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2F216268" w14:textId="77777777" w:rsidR="00835D74" w:rsidRPr="00067A19" w:rsidRDefault="00835D74" w:rsidP="00CD0BF5">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2EC8ED73" w14:textId="77777777" w:rsidR="00835D74" w:rsidRPr="00067A19" w:rsidRDefault="00835D74" w:rsidP="00CD0BF5">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6D4A1B0F" w14:textId="77777777" w:rsidR="00835D74" w:rsidRPr="00067A19" w:rsidRDefault="00835D74" w:rsidP="00CD0BF5">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EFCF6D3" w14:textId="77777777" w:rsidR="00835D74" w:rsidRPr="00067A19" w:rsidRDefault="00835D74" w:rsidP="00CD0BF5">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995D78A" w14:textId="77777777" w:rsidR="00835D74" w:rsidRPr="00067A19" w:rsidRDefault="00835D74" w:rsidP="00CD0BF5">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647AAFA2"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r>
      <w:tr w:rsidR="00835D74" w:rsidRPr="00067A19" w14:paraId="0702A844" w14:textId="77777777" w:rsidTr="00CD0BF5">
        <w:trPr>
          <w:trHeight w:val="340"/>
        </w:trPr>
        <w:tc>
          <w:tcPr>
            <w:tcW w:w="236" w:type="dxa"/>
            <w:tcBorders>
              <w:top w:val="nil"/>
              <w:left w:val="nil"/>
              <w:bottom w:val="nil"/>
              <w:right w:val="nil"/>
            </w:tcBorders>
            <w:noWrap/>
            <w:vAlign w:val="bottom"/>
            <w:hideMark/>
          </w:tcPr>
          <w:p w14:paraId="05B33EE7"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80E4BB" w14:textId="77777777" w:rsidR="00835D74" w:rsidRPr="00067A19" w:rsidRDefault="00835D74" w:rsidP="00CD0BF5">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13D3B859" w14:textId="77777777" w:rsidR="00835D74" w:rsidRPr="00067A19" w:rsidRDefault="00835D74" w:rsidP="00CD0BF5">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3C53DCB7"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78471CA9"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5B238AD6"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7D920EED"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67539C79"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0DA6A9E6"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4DD08B29"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4777CFC"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5CA669E4" w14:textId="77777777" w:rsidTr="00CD0BF5">
        <w:trPr>
          <w:trHeight w:val="340"/>
        </w:trPr>
        <w:tc>
          <w:tcPr>
            <w:tcW w:w="236" w:type="dxa"/>
            <w:tcBorders>
              <w:top w:val="nil"/>
              <w:left w:val="nil"/>
              <w:bottom w:val="nil"/>
              <w:right w:val="nil"/>
            </w:tcBorders>
            <w:noWrap/>
            <w:vAlign w:val="bottom"/>
            <w:hideMark/>
          </w:tcPr>
          <w:p w14:paraId="0BFDEE94"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7B66E3F"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1CB02F7F"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E1ACEFD" w14:textId="77777777" w:rsidR="00835D74" w:rsidRPr="00067A19" w:rsidRDefault="00835D74" w:rsidP="00CD0BF5">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55838E0F" w14:textId="77777777" w:rsidR="00835D74" w:rsidRPr="00067A19" w:rsidRDefault="00835D74" w:rsidP="00CD0BF5">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32EDC099" w14:textId="77777777" w:rsidR="00835D74" w:rsidRPr="00067A19" w:rsidRDefault="00835D74" w:rsidP="00CD0BF5">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66027DAE" w14:textId="77777777" w:rsidR="00835D74" w:rsidRPr="00067A19" w:rsidRDefault="00835D74" w:rsidP="00CD0BF5">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089C5CB9"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719DD6E2"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4F498659"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2B3F40D"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5C5B5D08" w14:textId="77777777" w:rsidTr="00CD0BF5">
        <w:trPr>
          <w:trHeight w:val="340"/>
        </w:trPr>
        <w:tc>
          <w:tcPr>
            <w:tcW w:w="236" w:type="dxa"/>
            <w:tcBorders>
              <w:top w:val="nil"/>
              <w:left w:val="nil"/>
              <w:bottom w:val="nil"/>
              <w:right w:val="nil"/>
            </w:tcBorders>
            <w:noWrap/>
            <w:vAlign w:val="bottom"/>
            <w:hideMark/>
          </w:tcPr>
          <w:p w14:paraId="7739417E"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A926DA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0E860C5F"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795446B"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46EA7A5"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6422388F"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0FE0BB11"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B752AFB"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8FEB4AE"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7E663459"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1F342ED"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0BFE9C2D" w14:textId="77777777" w:rsidTr="00CD0BF5">
        <w:trPr>
          <w:trHeight w:val="340"/>
        </w:trPr>
        <w:tc>
          <w:tcPr>
            <w:tcW w:w="236" w:type="dxa"/>
            <w:tcBorders>
              <w:top w:val="nil"/>
              <w:left w:val="nil"/>
              <w:bottom w:val="nil"/>
              <w:right w:val="nil"/>
            </w:tcBorders>
            <w:noWrap/>
            <w:vAlign w:val="bottom"/>
            <w:hideMark/>
          </w:tcPr>
          <w:p w14:paraId="380CDB11"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03CE8E0"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1BBEC114"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001DEBB"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2CA63D4"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964A931"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75BB70B9"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2E064B1"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5839AF6"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04DCC635"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4AC95E1"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6DE86705" w14:textId="77777777" w:rsidTr="00CD0BF5">
        <w:trPr>
          <w:trHeight w:val="340"/>
        </w:trPr>
        <w:tc>
          <w:tcPr>
            <w:tcW w:w="236" w:type="dxa"/>
            <w:tcBorders>
              <w:top w:val="nil"/>
              <w:left w:val="nil"/>
              <w:bottom w:val="nil"/>
              <w:right w:val="nil"/>
            </w:tcBorders>
            <w:noWrap/>
            <w:vAlign w:val="bottom"/>
            <w:hideMark/>
          </w:tcPr>
          <w:p w14:paraId="41BA301B"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D459C5"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5384ABDD" w14:textId="77777777" w:rsidR="00835D74" w:rsidRPr="00067A19" w:rsidRDefault="00835D74" w:rsidP="00CD0BF5">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3C21A33"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873D2FE"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3E724A84"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1A1878A"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CD98DF3"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12794CB"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168410C8"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38484D2"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05659899" w14:textId="77777777" w:rsidTr="00CD0BF5">
        <w:trPr>
          <w:trHeight w:val="340"/>
        </w:trPr>
        <w:tc>
          <w:tcPr>
            <w:tcW w:w="236" w:type="dxa"/>
            <w:tcBorders>
              <w:top w:val="nil"/>
              <w:left w:val="nil"/>
              <w:bottom w:val="nil"/>
              <w:right w:val="nil"/>
            </w:tcBorders>
            <w:noWrap/>
            <w:vAlign w:val="bottom"/>
            <w:hideMark/>
          </w:tcPr>
          <w:p w14:paraId="07C518E4"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F588FDD"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7393CB21"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7E49386"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6FC29C2"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2DAEC83"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53B05327"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2E72D8DC"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06F633A9"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2E2895A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602683B"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55BFEE07" w14:textId="77777777" w:rsidTr="00CD0BF5">
        <w:trPr>
          <w:trHeight w:val="340"/>
        </w:trPr>
        <w:tc>
          <w:tcPr>
            <w:tcW w:w="236" w:type="dxa"/>
            <w:tcBorders>
              <w:top w:val="nil"/>
              <w:left w:val="nil"/>
              <w:bottom w:val="nil"/>
              <w:right w:val="nil"/>
            </w:tcBorders>
            <w:noWrap/>
            <w:vAlign w:val="bottom"/>
            <w:hideMark/>
          </w:tcPr>
          <w:p w14:paraId="259BCE0C"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53C5921"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57343EB9"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A572317"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BE9E1B3"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68480A4"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4481402"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5C3450F0"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E11FA93"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72C6CF1D"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0047316"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5C788ACC" w14:textId="77777777" w:rsidTr="00CD0BF5">
        <w:trPr>
          <w:trHeight w:val="340"/>
        </w:trPr>
        <w:tc>
          <w:tcPr>
            <w:tcW w:w="236" w:type="dxa"/>
            <w:tcBorders>
              <w:top w:val="nil"/>
              <w:left w:val="nil"/>
              <w:bottom w:val="nil"/>
              <w:right w:val="nil"/>
            </w:tcBorders>
            <w:noWrap/>
            <w:vAlign w:val="bottom"/>
            <w:hideMark/>
          </w:tcPr>
          <w:p w14:paraId="3F1B76FB"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B05F5E"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58474701"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17BD17F"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620D0B3"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3F33B84"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553F24A6"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26DCB25"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9173848"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0AD72D74"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BF76206"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5E96B386" w14:textId="77777777" w:rsidTr="00CD0BF5">
        <w:trPr>
          <w:trHeight w:val="340"/>
        </w:trPr>
        <w:tc>
          <w:tcPr>
            <w:tcW w:w="236" w:type="dxa"/>
            <w:tcBorders>
              <w:top w:val="nil"/>
              <w:left w:val="nil"/>
              <w:bottom w:val="nil"/>
              <w:right w:val="nil"/>
            </w:tcBorders>
            <w:noWrap/>
            <w:vAlign w:val="bottom"/>
            <w:hideMark/>
          </w:tcPr>
          <w:p w14:paraId="17718F73"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A98F25C"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5896AD7B" w14:textId="77777777" w:rsidR="00835D74" w:rsidRPr="00067A19" w:rsidRDefault="00835D74" w:rsidP="00CD0BF5">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78A1D7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899AA55"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3A2876FD"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D69A858"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96C090B"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0A3B300"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0316F633"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2EFA4EC"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1BD04062" w14:textId="77777777" w:rsidTr="00CD0BF5">
        <w:trPr>
          <w:trHeight w:val="340"/>
        </w:trPr>
        <w:tc>
          <w:tcPr>
            <w:tcW w:w="236" w:type="dxa"/>
            <w:tcBorders>
              <w:top w:val="nil"/>
              <w:left w:val="nil"/>
              <w:bottom w:val="nil"/>
              <w:right w:val="nil"/>
            </w:tcBorders>
            <w:noWrap/>
            <w:vAlign w:val="bottom"/>
            <w:hideMark/>
          </w:tcPr>
          <w:p w14:paraId="5671F897"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D5A9BAF"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481378D1"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E0EC7A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80E8127"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2F7D7815"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B7478F8"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3E51BCE7"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60C8B8A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0F614E4B"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054261"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48DD34DA" w14:textId="77777777" w:rsidTr="00CD0BF5">
        <w:trPr>
          <w:trHeight w:val="340"/>
        </w:trPr>
        <w:tc>
          <w:tcPr>
            <w:tcW w:w="236" w:type="dxa"/>
            <w:tcBorders>
              <w:top w:val="nil"/>
              <w:left w:val="nil"/>
              <w:bottom w:val="nil"/>
              <w:right w:val="nil"/>
            </w:tcBorders>
            <w:noWrap/>
            <w:vAlign w:val="bottom"/>
            <w:hideMark/>
          </w:tcPr>
          <w:p w14:paraId="1F42AB79"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BB8F974"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6246AF54"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CC121B3"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836B75B"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624E40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04D467F"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0F966170"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724BD5D"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77814AAF"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61B1AB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03E250AC" w14:textId="77777777" w:rsidTr="00CD0BF5">
        <w:trPr>
          <w:trHeight w:val="340"/>
        </w:trPr>
        <w:tc>
          <w:tcPr>
            <w:tcW w:w="236" w:type="dxa"/>
            <w:tcBorders>
              <w:top w:val="nil"/>
              <w:left w:val="nil"/>
              <w:bottom w:val="nil"/>
              <w:right w:val="nil"/>
            </w:tcBorders>
            <w:noWrap/>
            <w:vAlign w:val="bottom"/>
            <w:hideMark/>
          </w:tcPr>
          <w:p w14:paraId="69415C85"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B87458B"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5F839633"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625FEE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AB12F6D"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A7528F6"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0BB14055"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9FDC3FD"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75482D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502C92AD"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903DA80"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471EC2F4" w14:textId="77777777" w:rsidTr="00CD0BF5">
        <w:trPr>
          <w:trHeight w:val="340"/>
        </w:trPr>
        <w:tc>
          <w:tcPr>
            <w:tcW w:w="236" w:type="dxa"/>
            <w:tcBorders>
              <w:top w:val="nil"/>
              <w:left w:val="nil"/>
              <w:bottom w:val="nil"/>
              <w:right w:val="nil"/>
            </w:tcBorders>
            <w:noWrap/>
            <w:vAlign w:val="bottom"/>
            <w:hideMark/>
          </w:tcPr>
          <w:p w14:paraId="1C3D86BE"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66D999"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27B6B3BA" w14:textId="77777777" w:rsidR="00835D74" w:rsidRPr="00067A19" w:rsidRDefault="00835D74" w:rsidP="00CD0BF5">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719A4D6"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DD57D69"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2238EC8E"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CD7BB08"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B2F0BA0"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6DE04B7"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1E67C99B"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EAE1315"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4DF3F9CC" w14:textId="77777777" w:rsidTr="00CD0BF5">
        <w:trPr>
          <w:trHeight w:val="340"/>
        </w:trPr>
        <w:tc>
          <w:tcPr>
            <w:tcW w:w="236" w:type="dxa"/>
            <w:tcBorders>
              <w:top w:val="nil"/>
              <w:left w:val="nil"/>
              <w:bottom w:val="nil"/>
              <w:right w:val="nil"/>
            </w:tcBorders>
            <w:noWrap/>
            <w:vAlign w:val="bottom"/>
            <w:hideMark/>
          </w:tcPr>
          <w:p w14:paraId="0229D892"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A6608EC"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5770FBD5"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247A10C5"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9E208BD"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F763D2F"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6161E1A"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98D7FD2"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46D73DC"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60266DB"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530D8A4"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17ED61E2" w14:textId="77777777" w:rsidTr="00CD0BF5">
        <w:trPr>
          <w:trHeight w:val="340"/>
        </w:trPr>
        <w:tc>
          <w:tcPr>
            <w:tcW w:w="236" w:type="dxa"/>
            <w:tcBorders>
              <w:top w:val="nil"/>
              <w:left w:val="nil"/>
              <w:bottom w:val="nil"/>
              <w:right w:val="nil"/>
            </w:tcBorders>
            <w:noWrap/>
            <w:vAlign w:val="bottom"/>
            <w:hideMark/>
          </w:tcPr>
          <w:p w14:paraId="23C2E85E"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592F26"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037285D9"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B857C6B"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B03039E"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DAE89B5"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BE5BF45"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7E77DBA"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6CF233B"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3878665"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13BA31C"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6306D06B" w14:textId="77777777" w:rsidTr="00CD0BF5">
        <w:trPr>
          <w:trHeight w:val="340"/>
        </w:trPr>
        <w:tc>
          <w:tcPr>
            <w:tcW w:w="236" w:type="dxa"/>
            <w:tcBorders>
              <w:top w:val="nil"/>
              <w:left w:val="nil"/>
              <w:bottom w:val="nil"/>
              <w:right w:val="nil"/>
            </w:tcBorders>
            <w:noWrap/>
            <w:vAlign w:val="bottom"/>
            <w:hideMark/>
          </w:tcPr>
          <w:p w14:paraId="08D0E68F"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129AC0D"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46BA6017" w14:textId="77777777" w:rsidR="00835D74" w:rsidRPr="00067A19" w:rsidRDefault="00835D74" w:rsidP="00CD0BF5">
            <w:pPr>
              <w:spacing w:after="0" w:line="240" w:lineRule="auto"/>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7705255F"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B77B79B"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ACB8628"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CE685FF"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2AF5CD5"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C891F02"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3778272"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AD40669"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7CCE3E2A" w14:textId="77777777" w:rsidTr="00CD0BF5">
        <w:trPr>
          <w:trHeight w:val="340"/>
        </w:trPr>
        <w:tc>
          <w:tcPr>
            <w:tcW w:w="236" w:type="dxa"/>
            <w:tcBorders>
              <w:top w:val="nil"/>
              <w:left w:val="nil"/>
              <w:bottom w:val="nil"/>
              <w:right w:val="nil"/>
            </w:tcBorders>
            <w:noWrap/>
            <w:vAlign w:val="bottom"/>
            <w:hideMark/>
          </w:tcPr>
          <w:p w14:paraId="177696D4"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B850374"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78E25B12"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1ECCAAE4"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CC4AF4B"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0858825"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DC4BA3F"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F29F5AE" w14:textId="77777777" w:rsidR="00835D74" w:rsidRPr="00067A19" w:rsidRDefault="00835D74" w:rsidP="00CD0BF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7C2D22C"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805EA82"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6022EE7"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r>
      <w:tr w:rsidR="00835D74" w:rsidRPr="00067A19" w14:paraId="21309381" w14:textId="77777777" w:rsidTr="00CD0BF5">
        <w:trPr>
          <w:trHeight w:val="340"/>
        </w:trPr>
        <w:tc>
          <w:tcPr>
            <w:tcW w:w="236" w:type="dxa"/>
            <w:tcBorders>
              <w:top w:val="nil"/>
              <w:left w:val="nil"/>
              <w:bottom w:val="nil"/>
              <w:right w:val="nil"/>
            </w:tcBorders>
            <w:noWrap/>
            <w:vAlign w:val="bottom"/>
            <w:hideMark/>
          </w:tcPr>
          <w:p w14:paraId="0F33C0D4"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4F794A53" w14:textId="77777777" w:rsidR="00835D74" w:rsidRPr="00067A19" w:rsidRDefault="00835D74" w:rsidP="00CD0BF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B252CAA"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5C2F5FC8" w14:textId="77777777" w:rsidR="00835D74" w:rsidRPr="00067A19" w:rsidRDefault="00835D74" w:rsidP="00CD0BF5">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207A5666" w14:textId="77777777" w:rsidR="00835D74" w:rsidRPr="00067A19" w:rsidRDefault="00835D74" w:rsidP="00CD0BF5">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10513943"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170E6748"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1E9CE184"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03844CD0" w14:textId="77777777" w:rsidR="00835D74" w:rsidRPr="00067A19" w:rsidRDefault="00835D74" w:rsidP="00CD0BF5">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05838276" w14:textId="77777777" w:rsidR="00835D74" w:rsidRPr="00067A19" w:rsidRDefault="00835D74" w:rsidP="00CD0BF5">
            <w:pPr>
              <w:spacing w:after="0" w:line="240" w:lineRule="auto"/>
              <w:rPr>
                <w:rFonts w:ascii="Times New Roman" w:eastAsia="Times New Roman" w:hAnsi="Times New Roman"/>
                <w:sz w:val="20"/>
                <w:szCs w:val="20"/>
                <w:lang w:eastAsia="en-GB"/>
              </w:rPr>
            </w:pPr>
          </w:p>
        </w:tc>
      </w:tr>
    </w:tbl>
    <w:p w14:paraId="5F977CE6" w14:textId="77777777" w:rsidR="00835D74" w:rsidRDefault="00835D74" w:rsidP="00835D74">
      <w:pPr>
        <w:ind w:firstLine="567"/>
        <w:rPr>
          <w:rFonts w:asciiTheme="majorHAnsi" w:hAnsiTheme="majorHAnsi" w:cstheme="majorHAnsi"/>
          <w:lang w:val="en-GB"/>
        </w:rPr>
        <w:sectPr w:rsidR="00835D74" w:rsidSect="00835D74">
          <w:pgSz w:w="16838" w:h="11906" w:orient="landscape" w:code="9"/>
          <w:pgMar w:top="1134" w:right="1276" w:bottom="1134" w:left="993" w:header="567" w:footer="584" w:gutter="0"/>
          <w:cols w:space="708"/>
          <w:docGrid w:linePitch="360"/>
        </w:sectPr>
      </w:pPr>
    </w:p>
    <w:p w14:paraId="3712193B" w14:textId="77777777" w:rsidR="005E2437" w:rsidRPr="00B7255B" w:rsidRDefault="007D7386" w:rsidP="005E2437">
      <w:pPr>
        <w:pStyle w:val="AnnexH1"/>
      </w:pPr>
      <w:bookmarkStart w:id="63" w:name="_Toc212792014"/>
      <w:r>
        <w:lastRenderedPageBreak/>
        <w:t>Bidder substantiating evidence</w:t>
      </w:r>
      <w:bookmarkEnd w:id="63"/>
    </w:p>
    <w:p w14:paraId="4C5EAB5F" w14:textId="77777777" w:rsidR="007D7386" w:rsidRPr="00F459B5" w:rsidRDefault="007D7386" w:rsidP="007D7386">
      <w:pPr>
        <w:pStyle w:val="Heading1"/>
        <w:rPr>
          <w:sz w:val="24"/>
          <w:szCs w:val="24"/>
        </w:rPr>
      </w:pPr>
      <w:bookmarkStart w:id="64" w:name="_Toc212792015"/>
      <w:r w:rsidRPr="00F459B5">
        <w:rPr>
          <w:sz w:val="24"/>
          <w:szCs w:val="24"/>
        </w:rPr>
        <w:t>Technical Mandatory Requirement Evidence</w:t>
      </w:r>
      <w:bookmarkEnd w:id="64"/>
    </w:p>
    <w:p w14:paraId="4BAC5274" w14:textId="6DEB686D" w:rsidR="001A50CD" w:rsidRPr="00FD4623" w:rsidRDefault="007D7386" w:rsidP="00FD4623">
      <w:pPr>
        <w:pStyle w:val="Heading2"/>
        <w:ind w:hanging="709"/>
        <w:rPr>
          <w:sz w:val="24"/>
          <w:szCs w:val="24"/>
        </w:rPr>
      </w:pPr>
      <w:bookmarkStart w:id="65" w:name="_Toc212792016"/>
      <w:r w:rsidRPr="00F459B5">
        <w:rPr>
          <w:sz w:val="24"/>
          <w:szCs w:val="24"/>
        </w:rPr>
        <w:t>Bidder Certification / Affiliation Requirement</w:t>
      </w:r>
      <w:r w:rsidR="001A50CD" w:rsidRPr="00FD4623">
        <w:rPr>
          <w:bCs/>
          <w:lang w:val="en-GB"/>
        </w:rPr>
        <w:t>.</w:t>
      </w:r>
      <w:bookmarkEnd w:id="65"/>
    </w:p>
    <w:p w14:paraId="5D91FB55" w14:textId="1876512A" w:rsidR="00FD4623" w:rsidRPr="00FD4623" w:rsidRDefault="00FD4623" w:rsidP="00FD4623">
      <w:pPr>
        <w:pStyle w:val="ListParagraph"/>
        <w:ind w:left="709"/>
        <w:rPr>
          <w:lang w:val="en-GB"/>
        </w:rPr>
      </w:pPr>
      <w:r w:rsidRPr="00FD4623">
        <w:rPr>
          <w:lang w:val="en-GB"/>
        </w:rPr>
        <w:t xml:space="preserve">Attach a copy of valid certificate that the bidder is accredited by the OSM to provide the INET/WINET Emulation Software License. </w:t>
      </w:r>
    </w:p>
    <w:p w14:paraId="4463D00F" w14:textId="77777777" w:rsidR="00FD4623" w:rsidRPr="00FD4623" w:rsidRDefault="00FD4623" w:rsidP="00FD4623">
      <w:pPr>
        <w:pStyle w:val="ListParagraph"/>
        <w:ind w:left="709"/>
        <w:rPr>
          <w:lang w:val="en-GB"/>
        </w:rPr>
      </w:pPr>
    </w:p>
    <w:p w14:paraId="4431A3AB" w14:textId="77777777" w:rsidR="00FD4623" w:rsidRPr="00FD4623" w:rsidRDefault="00FD4623" w:rsidP="00FD4623">
      <w:pPr>
        <w:pStyle w:val="ListParagraph"/>
        <w:ind w:left="709"/>
        <w:rPr>
          <w:b/>
          <w:bCs/>
          <w:lang w:val="en-GB"/>
        </w:rPr>
      </w:pPr>
      <w:r w:rsidRPr="00FD4623">
        <w:rPr>
          <w:b/>
          <w:bCs/>
          <w:lang w:val="en-GB"/>
        </w:rPr>
        <w:t xml:space="preserve">NOTE (1): </w:t>
      </w:r>
    </w:p>
    <w:p w14:paraId="3F60B741" w14:textId="77777777" w:rsidR="00FD4623" w:rsidRPr="00FD4623" w:rsidRDefault="00FD4623" w:rsidP="00FD4623">
      <w:pPr>
        <w:pStyle w:val="ListParagraph"/>
        <w:ind w:left="709"/>
        <w:rPr>
          <w:lang w:val="en-GB"/>
        </w:rPr>
      </w:pPr>
      <w:r w:rsidRPr="00FD4623">
        <w:rPr>
          <w:lang w:val="en-GB"/>
        </w:rPr>
        <w:t>The certificate must clearly indicate the following information below:</w:t>
      </w:r>
    </w:p>
    <w:p w14:paraId="7C63142C" w14:textId="77777777" w:rsidR="00FD4623" w:rsidRPr="00FD4623" w:rsidRDefault="00FD4623" w:rsidP="00FD4623">
      <w:pPr>
        <w:pStyle w:val="ListParagraph"/>
        <w:ind w:left="709"/>
        <w:rPr>
          <w:lang w:val="en-GB"/>
        </w:rPr>
      </w:pPr>
    </w:p>
    <w:p w14:paraId="0009DAD8" w14:textId="77777777" w:rsidR="00FD4623" w:rsidRPr="00FD4623" w:rsidRDefault="00FD4623" w:rsidP="00FD4623">
      <w:pPr>
        <w:pStyle w:val="ListParagraph"/>
        <w:ind w:left="709"/>
        <w:rPr>
          <w:lang w:val="en-GB"/>
        </w:rPr>
      </w:pPr>
      <w:r w:rsidRPr="00FD4623">
        <w:rPr>
          <w:lang w:val="en-GB"/>
        </w:rPr>
        <w:t xml:space="preserve">(a) The Bidder’s Name; and </w:t>
      </w:r>
    </w:p>
    <w:p w14:paraId="151D3184" w14:textId="77777777" w:rsidR="00FD4623" w:rsidRPr="00FD4623" w:rsidRDefault="00FD4623" w:rsidP="00FD4623">
      <w:pPr>
        <w:pStyle w:val="ListParagraph"/>
        <w:ind w:left="709"/>
        <w:rPr>
          <w:lang w:val="en-GB"/>
        </w:rPr>
      </w:pPr>
      <w:r w:rsidRPr="00FD4623">
        <w:rPr>
          <w:lang w:val="en-GB"/>
        </w:rPr>
        <w:t>(b) The date it was issued; and</w:t>
      </w:r>
    </w:p>
    <w:p w14:paraId="1C014C67" w14:textId="77777777" w:rsidR="00FD4623" w:rsidRPr="00FD4623" w:rsidRDefault="00FD4623" w:rsidP="00FD4623">
      <w:pPr>
        <w:pStyle w:val="ListParagraph"/>
        <w:ind w:left="709"/>
        <w:rPr>
          <w:lang w:val="en-GB"/>
        </w:rPr>
      </w:pPr>
      <w:r w:rsidRPr="00FD4623">
        <w:rPr>
          <w:lang w:val="en-GB"/>
        </w:rPr>
        <w:t>(c) if applicable, the expiry date</w:t>
      </w:r>
    </w:p>
    <w:p w14:paraId="78DCDC6E" w14:textId="77777777" w:rsidR="00FD4623" w:rsidRPr="00FD4623" w:rsidRDefault="00FD4623" w:rsidP="00FD4623">
      <w:pPr>
        <w:pStyle w:val="ListParagraph"/>
        <w:ind w:left="709"/>
        <w:rPr>
          <w:lang w:val="en-GB"/>
        </w:rPr>
      </w:pPr>
    </w:p>
    <w:p w14:paraId="4C016DDB" w14:textId="77777777" w:rsidR="00FD4623" w:rsidRPr="00FD4623" w:rsidRDefault="00FD4623" w:rsidP="00FD4623">
      <w:pPr>
        <w:pStyle w:val="ListParagraph"/>
        <w:ind w:left="709"/>
        <w:rPr>
          <w:b/>
          <w:bCs/>
          <w:lang w:val="en-GB"/>
        </w:rPr>
      </w:pPr>
      <w:r w:rsidRPr="00FD4623">
        <w:rPr>
          <w:b/>
          <w:bCs/>
          <w:lang w:val="en-GB"/>
        </w:rPr>
        <w:t xml:space="preserve">NOTE (2): </w:t>
      </w:r>
    </w:p>
    <w:p w14:paraId="2CE3F858" w14:textId="6DE05B2C" w:rsidR="007D7386" w:rsidRDefault="00FD4623" w:rsidP="00FD4623">
      <w:pPr>
        <w:pStyle w:val="ListParagraph"/>
        <w:ind w:left="709"/>
        <w:rPr>
          <w:lang w:val="en-GB"/>
        </w:rPr>
      </w:pPr>
      <w:r w:rsidRPr="00FD4623">
        <w:rPr>
          <w:lang w:val="en-GB"/>
        </w:rPr>
        <w:t>DCS reserves the right to verify information provided.</w:t>
      </w:r>
    </w:p>
    <w:p w14:paraId="40BB1765" w14:textId="77777777" w:rsidR="007D7386" w:rsidRPr="00F459B5" w:rsidRDefault="007D7386" w:rsidP="007D7386">
      <w:pPr>
        <w:pStyle w:val="Heading2"/>
        <w:rPr>
          <w:sz w:val="24"/>
          <w:szCs w:val="24"/>
        </w:rPr>
      </w:pPr>
      <w:bookmarkStart w:id="66" w:name="_Toc212792017"/>
      <w:r w:rsidRPr="00F459B5">
        <w:rPr>
          <w:sz w:val="24"/>
          <w:szCs w:val="24"/>
        </w:rPr>
        <w:t>Bidder Experience and Capability Requirements</w:t>
      </w:r>
      <w:bookmarkEnd w:id="66"/>
    </w:p>
    <w:p w14:paraId="647D45D8" w14:textId="77777777" w:rsidR="007D7386" w:rsidRDefault="007D7386" w:rsidP="00FD4623">
      <w:pPr>
        <w:pStyle w:val="ListParagraph"/>
        <w:numPr>
          <w:ilvl w:val="0"/>
          <w:numId w:val="22"/>
        </w:numPr>
        <w:ind w:hanging="425"/>
      </w:pPr>
      <w:r w:rsidRPr="006D342A">
        <w:t>Complete table below, noting that:</w:t>
      </w:r>
    </w:p>
    <w:p w14:paraId="4240B7D1" w14:textId="770B611A" w:rsidR="00FD4623" w:rsidRDefault="00FD4623" w:rsidP="008257DD">
      <w:pPr>
        <w:pStyle w:val="ListParagraph"/>
        <w:ind w:left="1134"/>
      </w:pPr>
      <w:r>
        <w:t>Provide reference details and</w:t>
      </w:r>
      <w:r w:rsidR="005377DC">
        <w:t xml:space="preserve"> /or</w:t>
      </w:r>
      <w:r>
        <w:t xml:space="preserve"> reference letters from two (2) customers to whom the installation/deployment of the INETWINET Emulator Software Licenses with maintenance and support was delivered in the last three years from the publication date of this bid.</w:t>
      </w:r>
    </w:p>
    <w:p w14:paraId="35B5F03A" w14:textId="68ABB4EA" w:rsidR="007D7386" w:rsidRDefault="007D7386" w:rsidP="007D7386">
      <w:pPr>
        <w:pStyle w:val="Caption"/>
        <w:rPr>
          <w:highlight w:val="yellow"/>
        </w:rPr>
      </w:pPr>
      <w:bookmarkStart w:id="67" w:name="_Toc204770313"/>
      <w:r>
        <w:t xml:space="preserve">Table </w:t>
      </w:r>
      <w:r w:rsidR="00FB57B0">
        <w:t>6</w:t>
      </w:r>
      <w:r>
        <w:t>: References</w:t>
      </w:r>
      <w:bookmarkEnd w:id="67"/>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532BF3" w:rsidRPr="00532BF3" w14:paraId="32603583" w14:textId="77777777" w:rsidTr="004D47F9">
        <w:tc>
          <w:tcPr>
            <w:tcW w:w="495" w:type="dxa"/>
            <w:shd w:val="solid" w:color="DBE5F1" w:themeColor="accent1" w:themeTint="33" w:fill="DBE5F1" w:themeFill="accent1" w:themeFillTint="33"/>
          </w:tcPr>
          <w:p w14:paraId="1FCDA974" w14:textId="77777777" w:rsidR="007D7386" w:rsidRPr="00532BF3" w:rsidRDefault="007D7386" w:rsidP="004D47F9">
            <w:pPr>
              <w:pStyle w:val="ListParagraph"/>
              <w:jc w:val="left"/>
              <w:rPr>
                <w:rFonts w:asciiTheme="majorHAnsi" w:eastAsiaTheme="majorEastAsia" w:hAnsiTheme="majorHAnsi" w:cstheme="minorBidi"/>
                <w:b/>
                <w:sz w:val="24"/>
                <w:szCs w:val="24"/>
              </w:rPr>
            </w:pPr>
            <w:r w:rsidRPr="00532BF3">
              <w:rPr>
                <w:rFonts w:asciiTheme="majorHAnsi" w:eastAsiaTheme="majorEastAsia" w:hAnsiTheme="majorHAnsi" w:cstheme="minorBidi"/>
                <w:b/>
                <w:sz w:val="24"/>
                <w:szCs w:val="24"/>
              </w:rPr>
              <w:t>No</w:t>
            </w:r>
          </w:p>
        </w:tc>
        <w:tc>
          <w:tcPr>
            <w:tcW w:w="1652" w:type="dxa"/>
            <w:shd w:val="solid" w:color="DBE5F1" w:themeColor="accent1" w:themeTint="33" w:fill="DBE5F1" w:themeFill="accent1" w:themeFillTint="33"/>
          </w:tcPr>
          <w:p w14:paraId="2FEA8C73" w14:textId="77777777" w:rsidR="007D7386" w:rsidRPr="00532BF3" w:rsidRDefault="007D7386" w:rsidP="004D47F9">
            <w:pPr>
              <w:pStyle w:val="ListParagraph"/>
              <w:jc w:val="left"/>
              <w:rPr>
                <w:rFonts w:asciiTheme="majorHAnsi" w:eastAsiaTheme="majorEastAsia" w:hAnsiTheme="majorHAnsi" w:cstheme="minorBidi"/>
                <w:b/>
                <w:sz w:val="24"/>
                <w:szCs w:val="24"/>
              </w:rPr>
            </w:pPr>
            <w:r w:rsidRPr="00532BF3">
              <w:rPr>
                <w:rFonts w:asciiTheme="majorHAnsi" w:eastAsiaTheme="majorEastAsia" w:hAnsiTheme="majorHAnsi" w:cstheme="minorBidi"/>
                <w:b/>
                <w:sz w:val="24"/>
                <w:szCs w:val="24"/>
              </w:rPr>
              <w:t>Company Name</w:t>
            </w:r>
          </w:p>
        </w:tc>
        <w:tc>
          <w:tcPr>
            <w:tcW w:w="2263" w:type="dxa"/>
            <w:shd w:val="solid" w:color="DBE5F1" w:themeColor="accent1" w:themeTint="33" w:fill="DBE5F1" w:themeFill="accent1" w:themeFillTint="33"/>
          </w:tcPr>
          <w:p w14:paraId="541AF24A" w14:textId="77777777" w:rsidR="007D7386" w:rsidRPr="00532BF3" w:rsidRDefault="007D7386" w:rsidP="004D47F9">
            <w:pPr>
              <w:pStyle w:val="ListParagraph"/>
              <w:jc w:val="left"/>
              <w:rPr>
                <w:rFonts w:asciiTheme="majorHAnsi" w:eastAsiaTheme="majorEastAsia" w:hAnsiTheme="majorHAnsi" w:cstheme="minorBidi"/>
                <w:b/>
                <w:sz w:val="24"/>
                <w:szCs w:val="24"/>
              </w:rPr>
            </w:pPr>
            <w:r w:rsidRPr="00532BF3">
              <w:rPr>
                <w:rFonts w:asciiTheme="majorHAnsi" w:eastAsiaTheme="majorEastAsia" w:hAnsiTheme="majorHAnsi" w:cstheme="minorBidi"/>
                <w:b/>
                <w:sz w:val="24"/>
                <w:szCs w:val="24"/>
              </w:rPr>
              <w:t>Reference person name, contact details</w:t>
            </w:r>
          </w:p>
        </w:tc>
        <w:tc>
          <w:tcPr>
            <w:tcW w:w="3529" w:type="dxa"/>
            <w:shd w:val="solid" w:color="DBE5F1" w:themeColor="accent1" w:themeTint="33" w:fill="DBE5F1" w:themeFill="accent1" w:themeFillTint="33"/>
          </w:tcPr>
          <w:p w14:paraId="28CDEAE8" w14:textId="77777777" w:rsidR="007D7386" w:rsidRPr="00532BF3" w:rsidRDefault="007D7386" w:rsidP="004D47F9">
            <w:pPr>
              <w:pStyle w:val="ListParagraph"/>
              <w:jc w:val="left"/>
              <w:rPr>
                <w:rFonts w:asciiTheme="majorHAnsi" w:eastAsiaTheme="majorEastAsia" w:hAnsiTheme="majorHAnsi" w:cstheme="minorBidi"/>
                <w:b/>
                <w:sz w:val="24"/>
                <w:szCs w:val="24"/>
              </w:rPr>
            </w:pPr>
            <w:r w:rsidRPr="00532BF3">
              <w:rPr>
                <w:rFonts w:asciiTheme="majorHAnsi" w:eastAsiaTheme="majorEastAsia" w:hAnsiTheme="majorHAnsi" w:cstheme="minorBidi"/>
                <w:b/>
                <w:sz w:val="24"/>
                <w:szCs w:val="24"/>
              </w:rPr>
              <w:t>Project Scope of Work</w:t>
            </w:r>
          </w:p>
        </w:tc>
        <w:tc>
          <w:tcPr>
            <w:tcW w:w="1694" w:type="dxa"/>
            <w:shd w:val="solid" w:color="DBE5F1" w:themeColor="accent1" w:themeTint="33" w:fill="DBE5F1" w:themeFill="accent1" w:themeFillTint="33"/>
          </w:tcPr>
          <w:p w14:paraId="7EB9A0F1" w14:textId="77777777" w:rsidR="007D7386" w:rsidRPr="00532BF3" w:rsidRDefault="007D7386" w:rsidP="004D47F9">
            <w:pPr>
              <w:pStyle w:val="ListParagraph"/>
              <w:jc w:val="left"/>
              <w:rPr>
                <w:rFonts w:asciiTheme="majorHAnsi" w:eastAsiaTheme="majorEastAsia" w:hAnsiTheme="majorHAnsi" w:cstheme="minorBidi"/>
                <w:b/>
                <w:sz w:val="24"/>
                <w:szCs w:val="24"/>
              </w:rPr>
            </w:pPr>
            <w:r w:rsidRPr="00532BF3">
              <w:rPr>
                <w:rFonts w:asciiTheme="majorHAnsi" w:eastAsiaTheme="majorEastAsia" w:hAnsiTheme="majorHAnsi" w:cstheme="minorBidi"/>
                <w:b/>
                <w:sz w:val="24"/>
                <w:szCs w:val="24"/>
              </w:rPr>
              <w:t>Project start and end date</w:t>
            </w:r>
          </w:p>
        </w:tc>
      </w:tr>
      <w:tr w:rsidR="00532BF3" w:rsidRPr="00532BF3" w14:paraId="74777729" w14:textId="77777777" w:rsidTr="004D47F9">
        <w:tc>
          <w:tcPr>
            <w:tcW w:w="495" w:type="dxa"/>
          </w:tcPr>
          <w:p w14:paraId="2FF1B516" w14:textId="77777777" w:rsidR="007D7386" w:rsidRPr="00532BF3" w:rsidRDefault="007D7386" w:rsidP="004D47F9">
            <w:pPr>
              <w:pStyle w:val="ListParagraph"/>
            </w:pPr>
            <w:r w:rsidRPr="00532BF3">
              <w:t>1</w:t>
            </w:r>
          </w:p>
        </w:tc>
        <w:tc>
          <w:tcPr>
            <w:tcW w:w="1652" w:type="dxa"/>
          </w:tcPr>
          <w:p w14:paraId="66BCE64E" w14:textId="77777777" w:rsidR="007D7386" w:rsidRPr="00532BF3" w:rsidRDefault="007D7386" w:rsidP="004D47F9">
            <w:pPr>
              <w:pStyle w:val="ListParagraph"/>
            </w:pPr>
            <w:r w:rsidRPr="00532BF3">
              <w:t>&lt;Company name&gt;</w:t>
            </w:r>
          </w:p>
          <w:p w14:paraId="77DC2BF4" w14:textId="77777777" w:rsidR="007D7386" w:rsidRPr="00532BF3" w:rsidRDefault="007D7386" w:rsidP="004D47F9">
            <w:pPr>
              <w:pStyle w:val="ListParagraph"/>
            </w:pPr>
            <w:r w:rsidRPr="00532BF3">
              <w:tab/>
            </w:r>
            <w:r w:rsidRPr="00532BF3">
              <w:tab/>
            </w:r>
          </w:p>
          <w:p w14:paraId="548F25E0" w14:textId="77777777" w:rsidR="007D7386" w:rsidRPr="00532BF3" w:rsidRDefault="007D7386" w:rsidP="004D47F9">
            <w:pPr>
              <w:pStyle w:val="ListParagraph"/>
              <w:rPr>
                <w:highlight w:val="yellow"/>
              </w:rPr>
            </w:pPr>
          </w:p>
        </w:tc>
        <w:tc>
          <w:tcPr>
            <w:tcW w:w="2263" w:type="dxa"/>
          </w:tcPr>
          <w:p w14:paraId="12ACF47E" w14:textId="77777777" w:rsidR="007D7386" w:rsidRPr="00532BF3" w:rsidRDefault="007D7386" w:rsidP="004D47F9">
            <w:pPr>
              <w:pStyle w:val="ListParagraph"/>
            </w:pPr>
            <w:r w:rsidRPr="00532BF3">
              <w:t>&lt;Person Name&gt;</w:t>
            </w:r>
          </w:p>
          <w:p w14:paraId="102C51C1" w14:textId="77777777" w:rsidR="007D7386" w:rsidRPr="00532BF3" w:rsidRDefault="007D7386" w:rsidP="004D47F9">
            <w:pPr>
              <w:pStyle w:val="ListParagraph"/>
            </w:pPr>
            <w:r w:rsidRPr="00532BF3">
              <w:t>&lt;Tel&gt;</w:t>
            </w:r>
          </w:p>
          <w:p w14:paraId="0F4913A3" w14:textId="77777777" w:rsidR="007D7386" w:rsidRPr="00532BF3" w:rsidRDefault="007D7386" w:rsidP="004D47F9">
            <w:pPr>
              <w:pStyle w:val="ListParagraph"/>
              <w:rPr>
                <w:highlight w:val="yellow"/>
              </w:rPr>
            </w:pPr>
            <w:r w:rsidRPr="00532BF3">
              <w:t>&lt;email&gt;</w:t>
            </w:r>
          </w:p>
        </w:tc>
        <w:tc>
          <w:tcPr>
            <w:tcW w:w="3529" w:type="dxa"/>
          </w:tcPr>
          <w:p w14:paraId="01830260" w14:textId="31D680E1" w:rsidR="007D7386" w:rsidRPr="00532BF3" w:rsidRDefault="007D7386" w:rsidP="004D47F9">
            <w:pPr>
              <w:pStyle w:val="ListParagraph"/>
            </w:pPr>
            <w:r w:rsidRPr="00532BF3">
              <w:t xml:space="preserve">&lt; Provide scope details of a project from a customer to whom </w:t>
            </w:r>
            <w:r w:rsidR="008257DD" w:rsidRPr="008257DD">
              <w:t>installation/deployment of the INETWINET Emulator Software Licenses with maintenance and support was delivered in the last three years from the publication date of this bid.</w:t>
            </w:r>
          </w:p>
        </w:tc>
        <w:tc>
          <w:tcPr>
            <w:tcW w:w="1694" w:type="dxa"/>
          </w:tcPr>
          <w:p w14:paraId="19FECC28" w14:textId="77777777" w:rsidR="007D7386" w:rsidRPr="00532BF3" w:rsidRDefault="007D7386" w:rsidP="004D47F9">
            <w:pPr>
              <w:pStyle w:val="ListParagraph"/>
            </w:pPr>
            <w:r w:rsidRPr="00532BF3">
              <w:t>Start Date:</w:t>
            </w:r>
          </w:p>
          <w:p w14:paraId="5EEAE59C" w14:textId="77777777" w:rsidR="007D7386" w:rsidRPr="00532BF3" w:rsidRDefault="007D7386" w:rsidP="004D47F9">
            <w:pPr>
              <w:pStyle w:val="ListParagraph"/>
              <w:rPr>
                <w:highlight w:val="yellow"/>
              </w:rPr>
            </w:pPr>
            <w:r w:rsidRPr="00532BF3">
              <w:t>End Date:</w:t>
            </w:r>
          </w:p>
        </w:tc>
      </w:tr>
      <w:tr w:rsidR="00532BF3" w:rsidRPr="00532BF3" w14:paraId="19123343" w14:textId="77777777" w:rsidTr="004D47F9">
        <w:tc>
          <w:tcPr>
            <w:tcW w:w="495" w:type="dxa"/>
          </w:tcPr>
          <w:p w14:paraId="26234E31" w14:textId="77777777" w:rsidR="007D7386" w:rsidRPr="00532BF3" w:rsidRDefault="007D7386" w:rsidP="004D47F9">
            <w:pPr>
              <w:pStyle w:val="ListParagraph"/>
            </w:pPr>
            <w:r w:rsidRPr="00532BF3">
              <w:t>2</w:t>
            </w:r>
          </w:p>
        </w:tc>
        <w:tc>
          <w:tcPr>
            <w:tcW w:w="1652" w:type="dxa"/>
          </w:tcPr>
          <w:p w14:paraId="337B6FAA" w14:textId="77777777" w:rsidR="007D7386" w:rsidRPr="00532BF3" w:rsidRDefault="007D7386" w:rsidP="004D47F9">
            <w:pPr>
              <w:pStyle w:val="ListParagraph"/>
            </w:pPr>
            <w:r w:rsidRPr="00532BF3">
              <w:t>&lt;Company name&gt;</w:t>
            </w:r>
          </w:p>
          <w:p w14:paraId="217799A3" w14:textId="77777777" w:rsidR="007D7386" w:rsidRPr="00532BF3" w:rsidRDefault="007D7386" w:rsidP="004D47F9">
            <w:pPr>
              <w:pStyle w:val="ListParagraph"/>
            </w:pPr>
            <w:r w:rsidRPr="00532BF3">
              <w:tab/>
            </w:r>
            <w:r w:rsidRPr="00532BF3">
              <w:tab/>
            </w:r>
          </w:p>
          <w:p w14:paraId="044DC3A2" w14:textId="77777777" w:rsidR="007D7386" w:rsidRPr="00532BF3" w:rsidRDefault="007D7386" w:rsidP="004D47F9">
            <w:pPr>
              <w:pStyle w:val="ListParagraph"/>
              <w:rPr>
                <w:highlight w:val="yellow"/>
              </w:rPr>
            </w:pPr>
          </w:p>
        </w:tc>
        <w:tc>
          <w:tcPr>
            <w:tcW w:w="2263" w:type="dxa"/>
          </w:tcPr>
          <w:p w14:paraId="3656C0EB" w14:textId="77777777" w:rsidR="007D7386" w:rsidRPr="00532BF3" w:rsidRDefault="007D7386" w:rsidP="004D47F9">
            <w:pPr>
              <w:pStyle w:val="ListParagraph"/>
            </w:pPr>
            <w:r w:rsidRPr="00532BF3">
              <w:t>&lt;Person Name&gt;</w:t>
            </w:r>
          </w:p>
          <w:p w14:paraId="3933D183" w14:textId="77777777" w:rsidR="007D7386" w:rsidRPr="00532BF3" w:rsidRDefault="007D7386" w:rsidP="004D47F9">
            <w:pPr>
              <w:pStyle w:val="ListParagraph"/>
            </w:pPr>
            <w:r w:rsidRPr="00532BF3">
              <w:t>&lt;Tel&gt;</w:t>
            </w:r>
          </w:p>
          <w:p w14:paraId="13F955C6" w14:textId="77777777" w:rsidR="007D7386" w:rsidRPr="00532BF3" w:rsidRDefault="007D7386" w:rsidP="004D47F9">
            <w:pPr>
              <w:pStyle w:val="ListParagraph"/>
              <w:rPr>
                <w:highlight w:val="yellow"/>
              </w:rPr>
            </w:pPr>
            <w:r w:rsidRPr="00532BF3">
              <w:t>&lt;email&gt;</w:t>
            </w:r>
          </w:p>
        </w:tc>
        <w:tc>
          <w:tcPr>
            <w:tcW w:w="3529" w:type="dxa"/>
          </w:tcPr>
          <w:p w14:paraId="5F5C55D5" w14:textId="09FA00D8" w:rsidR="007D7386" w:rsidRPr="00532BF3" w:rsidRDefault="007D7386" w:rsidP="004D47F9">
            <w:pPr>
              <w:pStyle w:val="ListParagraph"/>
            </w:pPr>
            <w:r w:rsidRPr="00532BF3">
              <w:t xml:space="preserve">&lt; Provide scope details of a project from a customer to whom </w:t>
            </w:r>
            <w:r w:rsidR="008257DD" w:rsidRPr="008257DD">
              <w:t>installation/deployment of the INETWINET Emulator Software Licenses with maintenance and support was delivered in the last three years from the publication date of this bid.</w:t>
            </w:r>
          </w:p>
        </w:tc>
        <w:tc>
          <w:tcPr>
            <w:tcW w:w="1694" w:type="dxa"/>
          </w:tcPr>
          <w:p w14:paraId="06D08CC1" w14:textId="77777777" w:rsidR="00532BF3" w:rsidRPr="00532BF3" w:rsidRDefault="00532BF3" w:rsidP="00532BF3">
            <w:pPr>
              <w:pStyle w:val="ListParagraph"/>
            </w:pPr>
            <w:r w:rsidRPr="00532BF3">
              <w:t>Start Date:</w:t>
            </w:r>
          </w:p>
          <w:p w14:paraId="7455C277" w14:textId="09B48B8D" w:rsidR="007D7386" w:rsidRPr="00532BF3" w:rsidRDefault="00532BF3" w:rsidP="00532BF3">
            <w:pPr>
              <w:pStyle w:val="ListParagraph"/>
              <w:rPr>
                <w:highlight w:val="yellow"/>
              </w:rPr>
            </w:pPr>
            <w:r w:rsidRPr="00532BF3">
              <w:t>End Date</w:t>
            </w:r>
          </w:p>
        </w:tc>
      </w:tr>
    </w:tbl>
    <w:p w14:paraId="10391E7F" w14:textId="77777777" w:rsidR="00A813D1" w:rsidRDefault="00A813D1" w:rsidP="00FD4623">
      <w:pPr>
        <w:pStyle w:val="ListParagraph"/>
        <w:ind w:left="709"/>
        <w:rPr>
          <w:b/>
          <w:bCs/>
        </w:rPr>
      </w:pPr>
    </w:p>
    <w:p w14:paraId="2B4FE73F" w14:textId="5BA62728" w:rsidR="00FD4623" w:rsidRPr="008257DD" w:rsidRDefault="00FD4623" w:rsidP="00FD4623">
      <w:pPr>
        <w:pStyle w:val="ListParagraph"/>
        <w:ind w:left="709"/>
        <w:rPr>
          <w:b/>
          <w:bCs/>
        </w:rPr>
      </w:pPr>
      <w:r w:rsidRPr="008257DD">
        <w:rPr>
          <w:b/>
          <w:bCs/>
        </w:rPr>
        <w:t xml:space="preserve">NOTE (1): </w:t>
      </w:r>
    </w:p>
    <w:p w14:paraId="33672C10" w14:textId="0B557665" w:rsidR="00FD4623" w:rsidRDefault="00FD4623" w:rsidP="00FD4623">
      <w:pPr>
        <w:pStyle w:val="ListParagraph"/>
        <w:ind w:left="709"/>
      </w:pPr>
      <w:r>
        <w:t xml:space="preserve">The Bidder must provide all the following information when completing Table </w:t>
      </w:r>
      <w:r w:rsidR="00FB57B0">
        <w:t>6</w:t>
      </w:r>
      <w:r>
        <w:t>:</w:t>
      </w:r>
    </w:p>
    <w:p w14:paraId="181222EE" w14:textId="77777777" w:rsidR="00FD4623" w:rsidRDefault="00FD4623" w:rsidP="008A54D7">
      <w:pPr>
        <w:pStyle w:val="ListParagraph"/>
        <w:numPr>
          <w:ilvl w:val="0"/>
          <w:numId w:val="53"/>
        </w:numPr>
      </w:pPr>
      <w:r>
        <w:t>Company name; and</w:t>
      </w:r>
    </w:p>
    <w:p w14:paraId="0AD2B205" w14:textId="77777777" w:rsidR="00FD4623" w:rsidRDefault="00FD4623" w:rsidP="008A54D7">
      <w:pPr>
        <w:pStyle w:val="ListParagraph"/>
        <w:numPr>
          <w:ilvl w:val="0"/>
          <w:numId w:val="53"/>
        </w:numPr>
      </w:pPr>
      <w:r>
        <w:t>Contact person, telephone and/or e-mail address; and</w:t>
      </w:r>
    </w:p>
    <w:p w14:paraId="50042E13" w14:textId="77777777" w:rsidR="00FD4623" w:rsidRDefault="00FD4623" w:rsidP="008A54D7">
      <w:pPr>
        <w:pStyle w:val="ListParagraph"/>
        <w:numPr>
          <w:ilvl w:val="0"/>
          <w:numId w:val="53"/>
        </w:numPr>
      </w:pPr>
      <w:r>
        <w:lastRenderedPageBreak/>
        <w:t>Project scope of Work; and</w:t>
      </w:r>
    </w:p>
    <w:p w14:paraId="4B687AF3" w14:textId="77777777" w:rsidR="00FD4623" w:rsidRDefault="00FD4623" w:rsidP="008A54D7">
      <w:pPr>
        <w:pStyle w:val="ListParagraph"/>
        <w:numPr>
          <w:ilvl w:val="0"/>
          <w:numId w:val="53"/>
        </w:numPr>
      </w:pPr>
      <w:r>
        <w:t xml:space="preserve">Project start and End date. </w:t>
      </w:r>
    </w:p>
    <w:p w14:paraId="02419346" w14:textId="77777777" w:rsidR="00FD4623" w:rsidRDefault="00FD4623" w:rsidP="00FD4623">
      <w:pPr>
        <w:pStyle w:val="ListParagraph"/>
        <w:ind w:left="709"/>
      </w:pPr>
    </w:p>
    <w:p w14:paraId="28BB937D" w14:textId="77777777" w:rsidR="00FD4623" w:rsidRPr="008257DD" w:rsidRDefault="00FD4623" w:rsidP="00FD4623">
      <w:pPr>
        <w:pStyle w:val="ListParagraph"/>
        <w:ind w:left="709"/>
        <w:rPr>
          <w:b/>
          <w:bCs/>
        </w:rPr>
      </w:pPr>
      <w:r w:rsidRPr="008257DD">
        <w:rPr>
          <w:b/>
          <w:bCs/>
        </w:rPr>
        <w:t xml:space="preserve">NOTE (2): </w:t>
      </w:r>
    </w:p>
    <w:p w14:paraId="3F15D896" w14:textId="77777777" w:rsidR="00FD4623" w:rsidRDefault="00FD4623" w:rsidP="00FD4623">
      <w:pPr>
        <w:pStyle w:val="ListParagraph"/>
        <w:ind w:left="709"/>
      </w:pPr>
      <w:r>
        <w:t xml:space="preserve">The reference letter/s should be on the referees’ company letterhead and include </w:t>
      </w:r>
      <w:proofErr w:type="gramStart"/>
      <w:r>
        <w:t>all of</w:t>
      </w:r>
      <w:proofErr w:type="gramEnd"/>
      <w:r>
        <w:t xml:space="preserve"> the following information:</w:t>
      </w:r>
    </w:p>
    <w:p w14:paraId="4422C97C" w14:textId="77777777" w:rsidR="00FD4623" w:rsidRDefault="00FD4623" w:rsidP="008A54D7">
      <w:pPr>
        <w:pStyle w:val="ListParagraph"/>
        <w:numPr>
          <w:ilvl w:val="0"/>
          <w:numId w:val="52"/>
        </w:numPr>
      </w:pPr>
      <w:r>
        <w:t>Company Name; and</w:t>
      </w:r>
    </w:p>
    <w:p w14:paraId="05986F78" w14:textId="77777777" w:rsidR="00FD4623" w:rsidRDefault="00FD4623" w:rsidP="008A54D7">
      <w:pPr>
        <w:pStyle w:val="ListParagraph"/>
        <w:numPr>
          <w:ilvl w:val="0"/>
          <w:numId w:val="52"/>
        </w:numPr>
      </w:pPr>
      <w:r>
        <w:t>Contact person, telephone and/or e-mail address; and</w:t>
      </w:r>
    </w:p>
    <w:p w14:paraId="43F904C4" w14:textId="77777777" w:rsidR="00FD4623" w:rsidRDefault="00FD4623" w:rsidP="008A54D7">
      <w:pPr>
        <w:pStyle w:val="ListParagraph"/>
        <w:numPr>
          <w:ilvl w:val="0"/>
          <w:numId w:val="52"/>
        </w:numPr>
      </w:pPr>
      <w:r>
        <w:t>Project scope of Work; and</w:t>
      </w:r>
    </w:p>
    <w:p w14:paraId="4338B98E" w14:textId="77777777" w:rsidR="00FD4623" w:rsidRDefault="00FD4623" w:rsidP="008A54D7">
      <w:pPr>
        <w:pStyle w:val="ListParagraph"/>
        <w:numPr>
          <w:ilvl w:val="0"/>
          <w:numId w:val="52"/>
        </w:numPr>
      </w:pPr>
      <w:r>
        <w:t xml:space="preserve">Project start and End date. </w:t>
      </w:r>
    </w:p>
    <w:p w14:paraId="72335B11" w14:textId="77777777" w:rsidR="00FD4623" w:rsidRDefault="00FD4623" w:rsidP="00FD4623">
      <w:pPr>
        <w:pStyle w:val="ListParagraph"/>
        <w:ind w:left="709"/>
      </w:pPr>
    </w:p>
    <w:p w14:paraId="37399D41" w14:textId="77777777" w:rsidR="00FD4623" w:rsidRPr="008257DD" w:rsidRDefault="00FD4623" w:rsidP="00FD4623">
      <w:pPr>
        <w:pStyle w:val="ListParagraph"/>
        <w:ind w:left="709"/>
        <w:rPr>
          <w:b/>
          <w:bCs/>
        </w:rPr>
      </w:pPr>
      <w:r w:rsidRPr="008257DD">
        <w:rPr>
          <w:b/>
          <w:bCs/>
        </w:rPr>
        <w:t xml:space="preserve">NOTE (3): </w:t>
      </w:r>
    </w:p>
    <w:p w14:paraId="385286AE" w14:textId="4C2382C4" w:rsidR="00FD4623" w:rsidRDefault="00FD4623" w:rsidP="00FD4623">
      <w:pPr>
        <w:pStyle w:val="ListParagraph"/>
        <w:ind w:left="709"/>
        <w:rPr>
          <w:highlight w:val="yellow"/>
        </w:rPr>
      </w:pPr>
      <w:r>
        <w:t xml:space="preserve">Failure to complete Table </w:t>
      </w:r>
      <w:r w:rsidR="00FB57B0">
        <w:t>6</w:t>
      </w:r>
      <w:r>
        <w:t xml:space="preserve"> fully and</w:t>
      </w:r>
      <w:r w:rsidR="005377DC">
        <w:t xml:space="preserve"> / </w:t>
      </w:r>
      <w:proofErr w:type="gramStart"/>
      <w:r w:rsidR="005377DC">
        <w:t xml:space="preserve">or </w:t>
      </w:r>
      <w:r>
        <w:t xml:space="preserve"> to</w:t>
      </w:r>
      <w:proofErr w:type="gramEnd"/>
      <w:r>
        <w:t xml:space="preserve"> submit reference letters as indicated above will result in disqualification.</w:t>
      </w:r>
    </w:p>
    <w:p w14:paraId="5B04C66F" w14:textId="4132F4C6" w:rsidR="00FB57B0" w:rsidRDefault="00FB57B0" w:rsidP="003575FC">
      <w:pPr>
        <w:pStyle w:val="Heading2"/>
        <w:ind w:left="851"/>
        <w:rPr>
          <w:sz w:val="24"/>
          <w:szCs w:val="24"/>
        </w:rPr>
      </w:pPr>
      <w:bookmarkStart w:id="68" w:name="_Toc212792018"/>
      <w:bookmarkStart w:id="69" w:name="_Toc194487505"/>
      <w:r>
        <w:rPr>
          <w:sz w:val="24"/>
          <w:szCs w:val="24"/>
        </w:rPr>
        <w:t>Special Conditions of contracts</w:t>
      </w:r>
      <w:bookmarkEnd w:id="68"/>
    </w:p>
    <w:p w14:paraId="26CAA1DC" w14:textId="28AD50DC" w:rsidR="00FB57B0" w:rsidRPr="00FB57B0" w:rsidRDefault="008F486F" w:rsidP="008F486F">
      <w:pPr>
        <w:ind w:left="851" w:hanging="284"/>
      </w:pPr>
      <w:r>
        <w:tab/>
      </w:r>
      <w:r w:rsidRPr="008F486F">
        <w:t>The Bidder must accept ALL the Special Conditions of Contract by completing and signing the declaration of Acceptance in Declaration of compliance and acceptance under the Special Conditions (Section 4.3.2).</w:t>
      </w:r>
    </w:p>
    <w:p w14:paraId="38292815" w14:textId="613D6810" w:rsidR="003575FC" w:rsidRPr="00F7754C" w:rsidRDefault="003575FC" w:rsidP="003575FC">
      <w:pPr>
        <w:pStyle w:val="Heading2"/>
        <w:ind w:left="851"/>
        <w:rPr>
          <w:sz w:val="24"/>
          <w:szCs w:val="24"/>
        </w:rPr>
      </w:pPr>
      <w:bookmarkStart w:id="70" w:name="_Toc212792019"/>
      <w:r w:rsidRPr="00F7754C">
        <w:rPr>
          <w:sz w:val="24"/>
          <w:szCs w:val="24"/>
        </w:rPr>
        <w:t>Preference Points Preferential Goals Evidence</w:t>
      </w:r>
      <w:bookmarkEnd w:id="69"/>
      <w:bookmarkEnd w:id="70"/>
    </w:p>
    <w:p w14:paraId="1DF379E9" w14:textId="77777777" w:rsidR="003575FC" w:rsidRPr="00E725CB" w:rsidRDefault="003575FC" w:rsidP="008F486F">
      <w:pPr>
        <w:ind w:left="567" w:firstLine="284"/>
        <w:rPr>
          <w:bCs/>
          <w:szCs w:val="24"/>
        </w:rPr>
      </w:pPr>
      <w:r w:rsidRPr="00E725CB">
        <w:rPr>
          <w:bCs/>
          <w:szCs w:val="24"/>
        </w:rPr>
        <w:t xml:space="preserve">The Bidder </w:t>
      </w:r>
      <w:r w:rsidRPr="00E725CB">
        <w:rPr>
          <w:b/>
          <w:szCs w:val="24"/>
        </w:rPr>
        <w:t>must</w:t>
      </w:r>
      <w:r w:rsidRPr="00E725CB">
        <w:rPr>
          <w:bCs/>
          <w:szCs w:val="24"/>
        </w:rPr>
        <w:t>:</w:t>
      </w:r>
    </w:p>
    <w:p w14:paraId="20988FAD" w14:textId="77777777" w:rsidR="003575FC" w:rsidRPr="00467E22" w:rsidRDefault="003575FC" w:rsidP="008F486F">
      <w:pPr>
        <w:numPr>
          <w:ilvl w:val="2"/>
          <w:numId w:val="21"/>
        </w:numPr>
        <w:spacing w:after="0" w:line="240" w:lineRule="auto"/>
        <w:ind w:left="1134" w:hanging="283"/>
        <w:outlineLvl w:val="0"/>
        <w:rPr>
          <w:rFonts w:cs="Calibri Light"/>
          <w:b/>
          <w:szCs w:val="24"/>
        </w:rPr>
      </w:pPr>
      <w:bookmarkStart w:id="71" w:name="_Hlk194410946"/>
      <w:r w:rsidRPr="00467E22">
        <w:rPr>
          <w:rFonts w:cs="Calibri Light"/>
          <w:b/>
          <w:szCs w:val="24"/>
        </w:rPr>
        <w:t xml:space="preserve">Preference Goal Requirements: </w:t>
      </w:r>
    </w:p>
    <w:p w14:paraId="17CCA3E3" w14:textId="1C2DAF58" w:rsidR="003575FC" w:rsidRPr="00467E22" w:rsidRDefault="003575FC" w:rsidP="00401FF9">
      <w:pPr>
        <w:numPr>
          <w:ilvl w:val="5"/>
          <w:numId w:val="43"/>
        </w:numPr>
        <w:spacing w:after="0"/>
        <w:ind w:left="1701"/>
        <w:outlineLvl w:val="0"/>
        <w:rPr>
          <w:rFonts w:cs="Calibri Light"/>
          <w:szCs w:val="24"/>
        </w:rPr>
      </w:pPr>
      <w:r w:rsidRPr="00467E22">
        <w:rPr>
          <w:rFonts w:cs="Calibri Light"/>
          <w:szCs w:val="24"/>
        </w:rPr>
        <w:t xml:space="preserve">Bidder to select the section for points they wish to claim (Mark as Y=Yes) in </w:t>
      </w:r>
      <w:r w:rsidR="00A831F4">
        <w:rPr>
          <w:rFonts w:cs="Calibri Light"/>
          <w:b/>
          <w:bCs/>
          <w:szCs w:val="24"/>
        </w:rPr>
        <w:t>table 4</w:t>
      </w:r>
      <w:r w:rsidRPr="00467E22">
        <w:rPr>
          <w:rFonts w:cs="Calibri Light"/>
          <w:b/>
          <w:bCs/>
          <w:szCs w:val="24"/>
        </w:rPr>
        <w:t xml:space="preserve"> in section</w:t>
      </w:r>
      <w:r>
        <w:rPr>
          <w:rFonts w:cs="Calibri Light"/>
          <w:b/>
          <w:bCs/>
          <w:szCs w:val="24"/>
        </w:rPr>
        <w:t xml:space="preserve"> </w:t>
      </w:r>
      <w:r w:rsidR="004D1F53">
        <w:rPr>
          <w:rFonts w:cs="Calibri Light"/>
          <w:b/>
          <w:bCs/>
          <w:szCs w:val="24"/>
        </w:rPr>
        <w:t>4.5,</w:t>
      </w:r>
      <w:r w:rsidRPr="00467E22">
        <w:rPr>
          <w:rFonts w:cs="Calibri Light"/>
          <w:szCs w:val="24"/>
        </w:rPr>
        <w:t xml:space="preserve"> dependant on which preference system the Bidder selects in line with </w:t>
      </w:r>
      <w:r w:rsidRPr="00467E22">
        <w:rPr>
          <w:rFonts w:cs="Calibri Light"/>
          <w:b/>
          <w:bCs/>
          <w:szCs w:val="24"/>
          <w:lang w:eastAsia="en-GB"/>
        </w:rPr>
        <w:t xml:space="preserve">section </w:t>
      </w:r>
      <w:r w:rsidR="004D1F53">
        <w:rPr>
          <w:rFonts w:cs="Calibri Light"/>
          <w:b/>
          <w:bCs/>
          <w:szCs w:val="24"/>
          <w:lang w:eastAsia="en-GB"/>
        </w:rPr>
        <w:t>4.5;</w:t>
      </w:r>
      <w:r w:rsidRPr="00467E22">
        <w:rPr>
          <w:rFonts w:cs="Calibri Light"/>
          <w:b/>
          <w:bCs/>
          <w:szCs w:val="24"/>
          <w:lang w:eastAsia="en-GB"/>
        </w:rPr>
        <w:t xml:space="preserve"> and</w:t>
      </w:r>
    </w:p>
    <w:p w14:paraId="20B7EC3F" w14:textId="3A6D755E" w:rsidR="003575FC" w:rsidRPr="00467E22" w:rsidRDefault="003575FC" w:rsidP="00401FF9">
      <w:pPr>
        <w:numPr>
          <w:ilvl w:val="5"/>
          <w:numId w:val="43"/>
        </w:numPr>
        <w:spacing w:after="0" w:line="240" w:lineRule="auto"/>
        <w:ind w:left="1701"/>
        <w:outlineLvl w:val="0"/>
        <w:rPr>
          <w:rFonts w:cs="Calibri Light"/>
          <w:szCs w:val="24"/>
        </w:rPr>
      </w:pPr>
      <w:r w:rsidRPr="00467E22">
        <w:rPr>
          <w:rFonts w:cs="Calibri Light"/>
          <w:bCs/>
          <w:szCs w:val="24"/>
        </w:rPr>
        <w:t xml:space="preserve">Provide a copy of the following relevant evidence </w:t>
      </w:r>
      <w:r w:rsidRPr="00467E22">
        <w:rPr>
          <w:rFonts w:cs="Calibri Light"/>
          <w:szCs w:val="24"/>
          <w:lang w:eastAsia="en-GB"/>
        </w:rPr>
        <w:t>for the Preferential Goal points which the Bidder qualifies for</w:t>
      </w:r>
      <w:r w:rsidRPr="00467E22">
        <w:rPr>
          <w:rFonts w:cs="Calibri Light"/>
          <w:szCs w:val="24"/>
        </w:rPr>
        <w:t xml:space="preserve"> as set out in </w:t>
      </w:r>
      <w:r w:rsidR="00A831F4">
        <w:rPr>
          <w:rFonts w:cs="Calibri Light"/>
          <w:b/>
          <w:bCs/>
          <w:szCs w:val="24"/>
        </w:rPr>
        <w:t>table 4</w:t>
      </w:r>
      <w:r w:rsidRPr="00467E22">
        <w:rPr>
          <w:rFonts w:cs="Calibri Light"/>
          <w:b/>
          <w:bCs/>
          <w:szCs w:val="24"/>
        </w:rPr>
        <w:t xml:space="preserve"> </w:t>
      </w:r>
      <w:r w:rsidRPr="00467E22">
        <w:rPr>
          <w:rFonts w:cs="Calibri Light"/>
          <w:szCs w:val="24"/>
        </w:rPr>
        <w:t xml:space="preserve">in </w:t>
      </w:r>
      <w:r w:rsidRPr="00467E22">
        <w:rPr>
          <w:rFonts w:cs="Calibri Light"/>
          <w:b/>
          <w:bCs/>
          <w:szCs w:val="24"/>
        </w:rPr>
        <w:t>section</w:t>
      </w:r>
      <w:r>
        <w:rPr>
          <w:rFonts w:cs="Calibri Light"/>
          <w:b/>
          <w:bCs/>
          <w:szCs w:val="24"/>
        </w:rPr>
        <w:t xml:space="preserve"> 4.5</w:t>
      </w:r>
      <w:r w:rsidRPr="00467E22">
        <w:rPr>
          <w:rFonts w:cs="Calibri Light"/>
          <w:szCs w:val="24"/>
        </w:rPr>
        <w:t xml:space="preserve"> and </w:t>
      </w:r>
      <w:r w:rsidRPr="00467E22">
        <w:rPr>
          <w:rFonts w:cs="Calibri Light"/>
          <w:b/>
          <w:bCs/>
          <w:szCs w:val="24"/>
        </w:rPr>
        <w:t>attach it here</w:t>
      </w:r>
      <w:r w:rsidRPr="00467E22">
        <w:rPr>
          <w:rFonts w:cs="Calibri Light"/>
          <w:szCs w:val="24"/>
        </w:rPr>
        <w:t>:</w:t>
      </w:r>
    </w:p>
    <w:p w14:paraId="4AEEE9E1" w14:textId="6A0A36A5" w:rsidR="003575FC" w:rsidRPr="00467E22" w:rsidRDefault="003575FC" w:rsidP="00401FF9">
      <w:pPr>
        <w:numPr>
          <w:ilvl w:val="4"/>
          <w:numId w:val="21"/>
        </w:numPr>
        <w:spacing w:after="0"/>
        <w:ind w:left="2268"/>
        <w:outlineLvl w:val="0"/>
        <w:rPr>
          <w:rFonts w:cs="Calibri Light"/>
          <w:szCs w:val="24"/>
        </w:rPr>
      </w:pPr>
      <w:r w:rsidRPr="00467E22">
        <w:rPr>
          <w:rFonts w:cs="Calibri Light"/>
          <w:b/>
          <w:bCs/>
          <w:szCs w:val="24"/>
        </w:rPr>
        <w:t xml:space="preserve">Columns A, B and C in </w:t>
      </w:r>
      <w:r w:rsidR="00A831F4">
        <w:rPr>
          <w:rFonts w:cs="Calibri Light"/>
          <w:b/>
          <w:bCs/>
          <w:szCs w:val="24"/>
        </w:rPr>
        <w:t>table 4</w:t>
      </w:r>
      <w:r w:rsidRPr="00467E22">
        <w:rPr>
          <w:rFonts w:cs="Calibri Light"/>
          <w:b/>
          <w:bCs/>
          <w:szCs w:val="24"/>
        </w:rPr>
        <w:t>:</w:t>
      </w:r>
    </w:p>
    <w:p w14:paraId="4A8F3108" w14:textId="77777777" w:rsidR="003575FC" w:rsidRPr="00467E22" w:rsidRDefault="003575FC" w:rsidP="003575FC">
      <w:pPr>
        <w:spacing w:after="0"/>
        <w:ind w:left="2268"/>
        <w:outlineLvl w:val="0"/>
        <w:rPr>
          <w:rFonts w:cs="Calibri Light"/>
          <w:szCs w:val="24"/>
        </w:rPr>
      </w:pPr>
      <w:r w:rsidRPr="00467E22">
        <w:rPr>
          <w:rFonts w:cs="Calibri Light"/>
          <w:bCs/>
          <w:szCs w:val="24"/>
        </w:rPr>
        <w:t xml:space="preserve">Copy of relevant proof of the following to confirm the B-BBEE status of the contributor </w:t>
      </w:r>
      <w:r w:rsidRPr="00467E22">
        <w:rPr>
          <w:rFonts w:cs="Calibri Light"/>
          <w:szCs w:val="24"/>
        </w:rPr>
        <w:t xml:space="preserve">as defined in </w:t>
      </w:r>
      <w:r w:rsidRPr="00467E22">
        <w:rPr>
          <w:rFonts w:cs="Calibri Light"/>
          <w:bCs/>
          <w:szCs w:val="24"/>
        </w:rPr>
        <w:t>the</w:t>
      </w:r>
      <w:r w:rsidRPr="00467E22">
        <w:rPr>
          <w:rFonts w:cs="Calibri Light"/>
          <w:szCs w:val="24"/>
        </w:rPr>
        <w:t xml:space="preserve"> Broad-Based Black Economic Empowerment Act:</w:t>
      </w:r>
    </w:p>
    <w:p w14:paraId="7258E701" w14:textId="77777777" w:rsidR="003575FC" w:rsidRPr="00396A7B" w:rsidRDefault="003575FC" w:rsidP="003575FC">
      <w:pPr>
        <w:ind w:left="1701" w:firstLine="567"/>
        <w:rPr>
          <w:rFonts w:cs="Calibri Light"/>
          <w:bCs/>
          <w:i/>
          <w:iCs/>
          <w:szCs w:val="24"/>
        </w:rPr>
      </w:pPr>
      <w:r w:rsidRPr="00396A7B">
        <w:rPr>
          <w:rFonts w:cs="Calibri Light"/>
          <w:b/>
          <w:i/>
          <w:iCs/>
          <w:szCs w:val="24"/>
        </w:rPr>
        <w:t>B-BBEE certificate</w:t>
      </w:r>
      <w:r w:rsidRPr="00396A7B">
        <w:rPr>
          <w:rFonts w:cs="Calibri Light"/>
          <w:bCs/>
          <w:i/>
          <w:iCs/>
          <w:szCs w:val="24"/>
        </w:rPr>
        <w:t xml:space="preserve"> (from a SANAS Accredited Agency</w:t>
      </w:r>
      <w:proofErr w:type="gramStart"/>
      <w:r w:rsidRPr="00396A7B">
        <w:rPr>
          <w:rFonts w:cs="Calibri Light"/>
          <w:bCs/>
          <w:i/>
          <w:iCs/>
          <w:szCs w:val="24"/>
        </w:rPr>
        <w:t>);</w:t>
      </w:r>
      <w:proofErr w:type="gramEnd"/>
    </w:p>
    <w:p w14:paraId="57A30F2B" w14:textId="77777777" w:rsidR="003575FC" w:rsidRPr="00467E22" w:rsidRDefault="003575FC" w:rsidP="003575FC">
      <w:pPr>
        <w:spacing w:after="0"/>
        <w:ind w:left="1880" w:firstLine="388"/>
        <w:outlineLvl w:val="0"/>
        <w:rPr>
          <w:rFonts w:cs="Calibri Light"/>
          <w:b/>
          <w:szCs w:val="24"/>
        </w:rPr>
      </w:pPr>
      <w:r w:rsidRPr="00467E22">
        <w:rPr>
          <w:rFonts w:cs="Calibri Light"/>
          <w:b/>
          <w:szCs w:val="24"/>
        </w:rPr>
        <w:t xml:space="preserve">or </w:t>
      </w:r>
    </w:p>
    <w:p w14:paraId="2589BD90" w14:textId="77777777" w:rsidR="003575FC" w:rsidRPr="00467E22" w:rsidRDefault="003575FC" w:rsidP="003575FC">
      <w:pPr>
        <w:spacing w:after="0"/>
        <w:ind w:left="2268"/>
        <w:outlineLvl w:val="0"/>
        <w:rPr>
          <w:rFonts w:cs="Calibri Light"/>
          <w:bCs/>
          <w:szCs w:val="24"/>
        </w:rPr>
      </w:pPr>
      <w:proofErr w:type="gramStart"/>
      <w:r w:rsidRPr="00467E22">
        <w:rPr>
          <w:rFonts w:cs="Calibri Light"/>
          <w:b/>
          <w:i/>
          <w:iCs/>
          <w:szCs w:val="24"/>
        </w:rPr>
        <w:t>Sworn affidavit</w:t>
      </w:r>
      <w:proofErr w:type="gramEnd"/>
      <w:r w:rsidRPr="00467E22">
        <w:rPr>
          <w:rFonts w:cs="Calibri Light"/>
          <w:b/>
          <w:i/>
          <w:iCs/>
          <w:szCs w:val="24"/>
        </w:rPr>
        <w:t xml:space="preserve"> </w:t>
      </w:r>
      <w:r w:rsidRPr="00467E22">
        <w:rPr>
          <w:rFonts w:cs="Calibri Light"/>
          <w:bCs/>
          <w:szCs w:val="24"/>
        </w:rPr>
        <w:t>in the format provided by CIPC -</w:t>
      </w:r>
      <w:r w:rsidRPr="00467E22">
        <w:rPr>
          <w:rFonts w:cs="Calibri Light"/>
          <w:b/>
          <w:i/>
          <w:iCs/>
          <w:szCs w:val="24"/>
        </w:rPr>
        <w:t xml:space="preserve"> Applicable to EMEs and QSEs </w:t>
      </w:r>
      <w:proofErr w:type="gramStart"/>
      <w:r w:rsidRPr="00467E22">
        <w:rPr>
          <w:rFonts w:cs="Calibri Light"/>
          <w:b/>
          <w:i/>
          <w:iCs/>
          <w:szCs w:val="24"/>
        </w:rPr>
        <w:t>only;</w:t>
      </w:r>
      <w:proofErr w:type="gramEnd"/>
    </w:p>
    <w:p w14:paraId="303A0818" w14:textId="77777777" w:rsidR="003575FC" w:rsidRPr="00467E22" w:rsidRDefault="003575FC" w:rsidP="003575FC">
      <w:pPr>
        <w:spacing w:after="0"/>
        <w:ind w:left="2268"/>
        <w:outlineLvl w:val="0"/>
        <w:rPr>
          <w:rFonts w:cs="Calibri Light"/>
          <w:b/>
          <w:bCs/>
          <w:szCs w:val="24"/>
        </w:rPr>
      </w:pPr>
      <w:r w:rsidRPr="00467E22">
        <w:rPr>
          <w:rFonts w:cs="Calibri Light"/>
          <w:b/>
          <w:bCs/>
          <w:szCs w:val="24"/>
        </w:rPr>
        <w:t>and/ or</w:t>
      </w:r>
    </w:p>
    <w:p w14:paraId="3D553ED6" w14:textId="77777777" w:rsidR="003575FC" w:rsidRPr="00467E22" w:rsidRDefault="003575FC" w:rsidP="003575FC">
      <w:pPr>
        <w:spacing w:after="0"/>
        <w:ind w:left="2268"/>
        <w:outlineLvl w:val="0"/>
        <w:rPr>
          <w:rFonts w:cs="Calibri Light"/>
          <w:szCs w:val="24"/>
        </w:rPr>
      </w:pPr>
    </w:p>
    <w:p w14:paraId="0A58617A" w14:textId="25E3C506" w:rsidR="003575FC" w:rsidRPr="00467E22" w:rsidRDefault="003575FC" w:rsidP="00401FF9">
      <w:pPr>
        <w:numPr>
          <w:ilvl w:val="4"/>
          <w:numId w:val="21"/>
        </w:numPr>
        <w:spacing w:after="0"/>
        <w:ind w:left="2268"/>
        <w:outlineLvl w:val="0"/>
        <w:rPr>
          <w:rFonts w:cs="Calibri Light"/>
          <w:b/>
          <w:bCs/>
          <w:szCs w:val="24"/>
        </w:rPr>
      </w:pPr>
      <w:r w:rsidRPr="00467E22">
        <w:rPr>
          <w:rFonts w:cs="Calibri Light"/>
          <w:b/>
          <w:bCs/>
          <w:szCs w:val="24"/>
        </w:rPr>
        <w:t xml:space="preserve">Column D in </w:t>
      </w:r>
      <w:r w:rsidR="00A831F4">
        <w:rPr>
          <w:rFonts w:cs="Calibri Light"/>
          <w:b/>
          <w:bCs/>
          <w:szCs w:val="24"/>
        </w:rPr>
        <w:t>table 4</w:t>
      </w:r>
      <w:r w:rsidRPr="00467E22">
        <w:rPr>
          <w:rFonts w:cs="Calibri Light"/>
          <w:b/>
          <w:bCs/>
          <w:szCs w:val="24"/>
        </w:rPr>
        <w:t>:</w:t>
      </w:r>
    </w:p>
    <w:p w14:paraId="7BA02E9A" w14:textId="77777777" w:rsidR="003575FC" w:rsidRPr="00467E22" w:rsidRDefault="003575FC" w:rsidP="003575FC">
      <w:pPr>
        <w:spacing w:after="0"/>
        <w:ind w:left="2268"/>
        <w:outlineLvl w:val="0"/>
        <w:rPr>
          <w:rFonts w:cs="Calibri Light"/>
          <w:bCs/>
          <w:szCs w:val="24"/>
        </w:rPr>
      </w:pPr>
      <w:r w:rsidRPr="00467E22">
        <w:rPr>
          <w:rFonts w:cs="Calibri Light"/>
          <w:bCs/>
          <w:szCs w:val="24"/>
        </w:rPr>
        <w:t xml:space="preserve">Copy of </w:t>
      </w:r>
      <w:r w:rsidRPr="00467E22">
        <w:rPr>
          <w:rFonts w:cs="Calibri Light"/>
          <w:b/>
          <w:i/>
          <w:iCs/>
          <w:szCs w:val="24"/>
        </w:rPr>
        <w:t>South African Identification Document (ID</w:t>
      </w:r>
      <w:proofErr w:type="gramStart"/>
      <w:r w:rsidRPr="00467E22">
        <w:rPr>
          <w:rFonts w:cs="Calibri Light"/>
          <w:b/>
          <w:i/>
          <w:iCs/>
          <w:szCs w:val="24"/>
        </w:rPr>
        <w:t>)</w:t>
      </w:r>
      <w:r w:rsidRPr="00467E22">
        <w:rPr>
          <w:rFonts w:cs="Calibri Light"/>
          <w:bCs/>
          <w:szCs w:val="24"/>
        </w:rPr>
        <w:t>;</w:t>
      </w:r>
      <w:proofErr w:type="gramEnd"/>
      <w:r w:rsidRPr="00467E22">
        <w:rPr>
          <w:rFonts w:cs="Calibri Light"/>
          <w:bCs/>
          <w:szCs w:val="24"/>
        </w:rPr>
        <w:t xml:space="preserve"> </w:t>
      </w:r>
    </w:p>
    <w:p w14:paraId="4B28CD5F" w14:textId="77777777" w:rsidR="003575FC" w:rsidRPr="00467E22" w:rsidRDefault="003575FC" w:rsidP="003575FC">
      <w:pPr>
        <w:spacing w:after="0"/>
        <w:ind w:left="2268"/>
        <w:outlineLvl w:val="0"/>
        <w:rPr>
          <w:rFonts w:cs="Calibri Light"/>
          <w:b/>
          <w:szCs w:val="24"/>
        </w:rPr>
      </w:pPr>
      <w:r w:rsidRPr="00467E22">
        <w:rPr>
          <w:rFonts w:cs="Calibri Light"/>
          <w:b/>
          <w:szCs w:val="24"/>
        </w:rPr>
        <w:t>and/ or</w:t>
      </w:r>
    </w:p>
    <w:p w14:paraId="775B8010" w14:textId="77777777" w:rsidR="003575FC" w:rsidRPr="00467E22" w:rsidRDefault="003575FC" w:rsidP="003575FC">
      <w:pPr>
        <w:spacing w:after="0"/>
        <w:ind w:left="2268"/>
        <w:outlineLvl w:val="0"/>
        <w:rPr>
          <w:rFonts w:cs="Calibri Light"/>
          <w:bCs/>
          <w:szCs w:val="24"/>
        </w:rPr>
      </w:pPr>
    </w:p>
    <w:p w14:paraId="0C4CDBC1" w14:textId="583B5362" w:rsidR="003575FC" w:rsidRPr="00467E22" w:rsidRDefault="003575FC" w:rsidP="00401FF9">
      <w:pPr>
        <w:numPr>
          <w:ilvl w:val="4"/>
          <w:numId w:val="21"/>
        </w:numPr>
        <w:spacing w:after="0"/>
        <w:ind w:left="2268"/>
        <w:outlineLvl w:val="0"/>
        <w:rPr>
          <w:rFonts w:cs="Calibri Light"/>
          <w:b/>
          <w:bCs/>
          <w:szCs w:val="24"/>
        </w:rPr>
      </w:pPr>
      <w:r w:rsidRPr="00467E22">
        <w:rPr>
          <w:rFonts w:cs="Calibri Light"/>
          <w:b/>
          <w:bCs/>
          <w:szCs w:val="24"/>
        </w:rPr>
        <w:t xml:space="preserve">Column E in </w:t>
      </w:r>
      <w:r w:rsidR="00A831F4">
        <w:rPr>
          <w:rFonts w:cs="Calibri Light"/>
          <w:b/>
          <w:bCs/>
          <w:szCs w:val="24"/>
        </w:rPr>
        <w:t>table 4</w:t>
      </w:r>
      <w:r w:rsidRPr="00467E22">
        <w:rPr>
          <w:rFonts w:cs="Calibri Light"/>
          <w:b/>
          <w:bCs/>
          <w:szCs w:val="24"/>
        </w:rPr>
        <w:t>:</w:t>
      </w:r>
    </w:p>
    <w:p w14:paraId="7B972AFD" w14:textId="77777777" w:rsidR="003575FC" w:rsidRPr="00467E22" w:rsidRDefault="003575FC" w:rsidP="003575FC">
      <w:pPr>
        <w:spacing w:after="0"/>
        <w:ind w:left="2268"/>
        <w:outlineLvl w:val="0"/>
        <w:rPr>
          <w:rFonts w:cs="Calibri Light"/>
          <w:szCs w:val="24"/>
        </w:rPr>
      </w:pPr>
      <w:r w:rsidRPr="00467E22">
        <w:rPr>
          <w:rFonts w:cs="Calibri Light"/>
          <w:bCs/>
          <w:szCs w:val="24"/>
        </w:rPr>
        <w:t xml:space="preserve">Copy of </w:t>
      </w:r>
      <w:r w:rsidRPr="00467E22">
        <w:rPr>
          <w:rFonts w:cs="Calibri Light"/>
          <w:b/>
          <w:i/>
          <w:iCs/>
          <w:szCs w:val="24"/>
        </w:rPr>
        <w:t>Medical Certificate</w:t>
      </w:r>
      <w:r w:rsidRPr="00467E22">
        <w:rPr>
          <w:rFonts w:cs="Calibri Light"/>
          <w:bCs/>
          <w:szCs w:val="24"/>
        </w:rPr>
        <w:t xml:space="preserve"> </w:t>
      </w:r>
      <w:r w:rsidRPr="00467E22">
        <w:rPr>
          <w:rFonts w:cs="Calibri Light"/>
          <w:b/>
          <w:i/>
          <w:iCs/>
          <w:szCs w:val="24"/>
        </w:rPr>
        <w:t>clearly indicating the disability in line with the B-BBEE status claimed as defined in the Broad-Based Black Economic Empowerment Act</w:t>
      </w:r>
      <w:r w:rsidRPr="00467E22">
        <w:rPr>
          <w:rFonts w:cs="Calibri Light"/>
          <w:szCs w:val="24"/>
        </w:rPr>
        <w:t>.</w:t>
      </w:r>
    </w:p>
    <w:p w14:paraId="71592EBB" w14:textId="77777777" w:rsidR="003575FC" w:rsidRPr="00467E22" w:rsidRDefault="003575FC" w:rsidP="003575FC">
      <w:pPr>
        <w:spacing w:after="0"/>
        <w:ind w:left="2268"/>
        <w:outlineLvl w:val="0"/>
        <w:rPr>
          <w:rFonts w:cs="Calibri Light"/>
          <w:szCs w:val="24"/>
        </w:rPr>
      </w:pPr>
    </w:p>
    <w:p w14:paraId="0562C1D6" w14:textId="77777777" w:rsidR="003575FC" w:rsidRPr="00396A7B" w:rsidRDefault="003575FC" w:rsidP="003575FC">
      <w:pPr>
        <w:ind w:left="2268"/>
        <w:rPr>
          <w:rFonts w:cs="Calibri Light"/>
          <w:b/>
          <w:bCs/>
        </w:rPr>
      </w:pPr>
      <w:r w:rsidRPr="00396A7B">
        <w:rPr>
          <w:rFonts w:cs="Calibri Light"/>
          <w:b/>
          <w:bCs/>
        </w:rPr>
        <w:t>Note:</w:t>
      </w:r>
    </w:p>
    <w:p w14:paraId="38B2D2A2" w14:textId="77777777" w:rsidR="003575FC" w:rsidRPr="00396A7B" w:rsidRDefault="003575FC" w:rsidP="003575FC">
      <w:pPr>
        <w:ind w:left="2268"/>
        <w:rPr>
          <w:rFonts w:cs="Calibri Light"/>
          <w:bCs/>
          <w:szCs w:val="24"/>
        </w:rPr>
      </w:pPr>
      <w:r w:rsidRPr="00396A7B">
        <w:rPr>
          <w:rFonts w:cs="Calibri Light"/>
          <w:bCs/>
          <w:szCs w:val="24"/>
        </w:rPr>
        <w:lastRenderedPageBreak/>
        <w:t>The CIPC (Companies and Intellectual Property Commission) registration documents will also be used as evidence to confirm compliance to the Preferential procurement requirements as part of the evaluation process.</w:t>
      </w:r>
    </w:p>
    <w:p w14:paraId="4D82D92A" w14:textId="6F92005A" w:rsidR="00A831F4" w:rsidRPr="00D16157" w:rsidRDefault="003575FC" w:rsidP="00401FF9">
      <w:pPr>
        <w:numPr>
          <w:ilvl w:val="2"/>
          <w:numId w:val="21"/>
        </w:numPr>
        <w:spacing w:after="0" w:line="240" w:lineRule="auto"/>
        <w:ind w:left="1134"/>
        <w:outlineLvl w:val="0"/>
        <w:rPr>
          <w:rFonts w:cs="Calibri Light"/>
          <w:bCs/>
          <w:szCs w:val="24"/>
        </w:rPr>
        <w:sectPr w:rsidR="00A831F4" w:rsidRPr="00D16157" w:rsidSect="000560FC">
          <w:pgSz w:w="11906" w:h="16838" w:code="9"/>
          <w:pgMar w:top="1276" w:right="1134" w:bottom="993" w:left="1134" w:header="709" w:footer="584" w:gutter="0"/>
          <w:cols w:space="708"/>
          <w:docGrid w:linePitch="360"/>
        </w:sectPr>
      </w:pPr>
      <w:r w:rsidRPr="00467E22">
        <w:rPr>
          <w:rFonts w:cs="Calibri Light"/>
          <w:bCs/>
          <w:szCs w:val="24"/>
        </w:rPr>
        <w:t xml:space="preserve">Indicate their </w:t>
      </w:r>
      <w:r w:rsidRPr="00467E22">
        <w:rPr>
          <w:rFonts w:cs="Calibri Light"/>
          <w:b/>
          <w:szCs w:val="24"/>
        </w:rPr>
        <w:t>commitment</w:t>
      </w:r>
      <w:r w:rsidRPr="00467E22">
        <w:rPr>
          <w:rFonts w:cs="Calibri Light"/>
          <w:bCs/>
          <w:szCs w:val="24"/>
        </w:rPr>
        <w:t xml:space="preserve"> to claim points for each of the preference points </w:t>
      </w:r>
      <w:r w:rsidRPr="00467E22">
        <w:rPr>
          <w:rFonts w:cs="Calibri Light"/>
          <w:b/>
          <w:szCs w:val="24"/>
        </w:rPr>
        <w:t>by signing at par 4.5 in the Invitation to Bid documen</w:t>
      </w:r>
      <w:bookmarkEnd w:id="71"/>
      <w:r w:rsidR="00D16157">
        <w:rPr>
          <w:rFonts w:cs="Calibri Light"/>
          <w:b/>
          <w:szCs w:val="24"/>
        </w:rPr>
        <w:t>t.</w:t>
      </w:r>
    </w:p>
    <w:bookmarkEnd w:id="1"/>
    <w:bookmarkEnd w:id="2"/>
    <w:bookmarkEnd w:id="3"/>
    <w:bookmarkEnd w:id="4"/>
    <w:p w14:paraId="6DF79B3F" w14:textId="1A3CEE58" w:rsidR="00A831F4" w:rsidRPr="00A831F4" w:rsidRDefault="00A831F4" w:rsidP="00A831F4">
      <w:pPr>
        <w:tabs>
          <w:tab w:val="left" w:pos="11757"/>
        </w:tabs>
      </w:pPr>
    </w:p>
    <w:sectPr w:rsidR="00A831F4" w:rsidRPr="00A831F4" w:rsidSect="00583A3A">
      <w:pgSz w:w="16838" w:h="11906" w:orient="landscape" w:code="9"/>
      <w:pgMar w:top="1134" w:right="1276" w:bottom="1134" w:left="993"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0796" w14:textId="77777777" w:rsidR="00AC1911" w:rsidRDefault="00AC1911" w:rsidP="000C56A7">
      <w:pPr>
        <w:spacing w:after="0" w:line="240" w:lineRule="auto"/>
      </w:pPr>
      <w:r>
        <w:separator/>
      </w:r>
    </w:p>
  </w:endnote>
  <w:endnote w:type="continuationSeparator" w:id="0">
    <w:p w14:paraId="1BEEE5CA" w14:textId="77777777" w:rsidR="00AC1911" w:rsidRDefault="00AC191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A15286" w14:paraId="5520C246" w14:textId="77777777" w:rsidTr="00E5740F">
      <w:tc>
        <w:tcPr>
          <w:tcW w:w="3828" w:type="dxa"/>
        </w:tcPr>
        <w:p w14:paraId="03A3EDAD" w14:textId="77777777" w:rsidR="00A15286" w:rsidRDefault="00A15286"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2E1B50D" w14:textId="77777777" w:rsidR="00A15286" w:rsidRDefault="00A15286" w:rsidP="008360E8">
          <w:pPr>
            <w:jc w:val="center"/>
            <w:rPr>
              <w:sz w:val="20"/>
            </w:rPr>
          </w:pPr>
          <w:r w:rsidRPr="000D1A1B">
            <w:rPr>
              <w:rFonts w:asciiTheme="minorHAnsi" w:hAnsiTheme="minorHAnsi" w:cstheme="minorHAnsi"/>
              <w:sz w:val="16"/>
              <w:szCs w:val="16"/>
              <w:lang w:val="en-GB"/>
            </w:rPr>
            <w:t>RESTRICTED</w:t>
          </w:r>
        </w:p>
      </w:tc>
      <w:tc>
        <w:tcPr>
          <w:tcW w:w="3816" w:type="dxa"/>
        </w:tcPr>
        <w:p w14:paraId="67EB9E32" w14:textId="268657EA" w:rsidR="00A15286" w:rsidRDefault="00A15286"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00F0053E">
            <w:rPr>
              <w:rFonts w:asciiTheme="minorHAnsi" w:hAnsiTheme="minorHAnsi" w:cstheme="minorHAnsi"/>
              <w:sz w:val="16"/>
              <w:szCs w:val="16"/>
              <w:lang w:val="en-GB"/>
            </w:rPr>
            <w:t>21</w:t>
          </w:r>
        </w:p>
      </w:tc>
    </w:tr>
  </w:tbl>
  <w:p w14:paraId="64C9D6A9" w14:textId="77777777" w:rsidR="00A15286" w:rsidRPr="00E5740F" w:rsidRDefault="00A15286"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008A2F27" wp14:editId="503F931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1FB4588" w14:textId="77777777" w:rsidR="00A15286" w:rsidRPr="00F37BD6" w:rsidRDefault="00A15286"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A2F27"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31FB4588" w14:textId="77777777" w:rsidR="00A15286" w:rsidRPr="00F37BD6" w:rsidRDefault="00A15286"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36DF" w14:textId="77777777" w:rsidR="00AC1911" w:rsidRDefault="00AC1911" w:rsidP="000C56A7">
      <w:pPr>
        <w:spacing w:after="0" w:line="240" w:lineRule="auto"/>
      </w:pPr>
      <w:r>
        <w:separator/>
      </w:r>
    </w:p>
  </w:footnote>
  <w:footnote w:type="continuationSeparator" w:id="0">
    <w:p w14:paraId="5A74CCB9" w14:textId="77777777" w:rsidR="00AC1911" w:rsidRDefault="00AC1911"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2B98D0CE"/>
    <w:lvl w:ilvl="0">
      <w:start w:val="1"/>
      <w:numFmt w:val="lowerLetter"/>
      <w:lvlText w:val="(%1)"/>
      <w:lvlJc w:val="left"/>
      <w:pPr>
        <w:ind w:left="1134" w:hanging="567"/>
      </w:pPr>
      <w:rPr>
        <w:rFonts w:hint="default"/>
        <w:color w:val="auto"/>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5763540"/>
    <w:multiLevelType w:val="multilevel"/>
    <w:tmpl w:val="F712F1D6"/>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6F04486"/>
    <w:multiLevelType w:val="multilevel"/>
    <w:tmpl w:val="0ACA3C94"/>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709" w:hanging="567"/>
      </w:pPr>
      <w:rPr>
        <w:rFonts w:hint="default"/>
      </w:rPr>
    </w:lvl>
    <w:lvl w:ilvl="2">
      <w:start w:val="1"/>
      <w:numFmt w:val="decimal"/>
      <w:pStyle w:val="Heading3"/>
      <w:lvlText w:val="%1.%2.%3"/>
      <w:lvlJc w:val="left"/>
      <w:pPr>
        <w:ind w:left="709" w:hanging="567"/>
      </w:pPr>
      <w:rPr>
        <w:rFonts w:hint="default"/>
        <w:b/>
        <w:bCs/>
      </w:rPr>
    </w:lvl>
    <w:lvl w:ilvl="3">
      <w:start w:val="1"/>
      <w:numFmt w:val="decimal"/>
      <w:pStyle w:val="Heading4"/>
      <w:suff w:val="space"/>
      <w:lvlText w:val="%1.%2.%3.%4"/>
      <w:lvlJc w:val="left"/>
      <w:pPr>
        <w:ind w:left="110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1880E84"/>
    <w:multiLevelType w:val="hybridMultilevel"/>
    <w:tmpl w:val="449A442C"/>
    <w:lvl w:ilvl="0" w:tplc="A3068F1E">
      <w:start w:val="1"/>
      <w:numFmt w:val="low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42972BC"/>
    <w:multiLevelType w:val="multilevel"/>
    <w:tmpl w:val="C712B55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5FA1C18"/>
    <w:multiLevelType w:val="hybridMultilevel"/>
    <w:tmpl w:val="D756AD38"/>
    <w:lvl w:ilvl="0" w:tplc="A3068F1E">
      <w:start w:val="1"/>
      <w:numFmt w:val="lowerLetter"/>
      <w:lvlText w:val="(%1)"/>
      <w:lvlJc w:val="left"/>
      <w:pPr>
        <w:ind w:left="1069" w:hanging="360"/>
      </w:pPr>
      <w:rPr>
        <w:rFonts w:hint="default"/>
        <w:b w:val="0"/>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4" w15:restartNumberingAfterBreak="0">
    <w:nsid w:val="278310E2"/>
    <w:multiLevelType w:val="multilevel"/>
    <w:tmpl w:val="6156AB1A"/>
    <w:lvl w:ilvl="0">
      <w:start w:val="1"/>
      <w:numFmt w:val="lowerLetter"/>
      <w:lvlText w:val="(%1)"/>
      <w:lvlJc w:val="left"/>
      <w:pPr>
        <w:ind w:left="1134" w:hanging="567"/>
      </w:pPr>
      <w:rPr>
        <w:rFonts w:hint="default"/>
      </w:rPr>
    </w:lvl>
    <w:lvl w:ilvl="1">
      <w:start w:val="1"/>
      <w:numFmt w:val="lowerRoman"/>
      <w:lvlText w:val="(%2)"/>
      <w:lvlJc w:val="left"/>
      <w:pPr>
        <w:ind w:left="1737" w:hanging="567"/>
      </w:pPr>
      <w:rPr>
        <w:rFonts w:hint="default"/>
        <w:color w:val="auto"/>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49C7CE9"/>
    <w:multiLevelType w:val="hybridMultilevel"/>
    <w:tmpl w:val="33DE1A46"/>
    <w:lvl w:ilvl="0" w:tplc="1C09000F">
      <w:start w:val="1"/>
      <w:numFmt w:val="decimal"/>
      <w:lvlText w:val="%1."/>
      <w:lvlJc w:val="left"/>
      <w:pPr>
        <w:ind w:left="360" w:hanging="360"/>
      </w:pPr>
    </w:lvl>
    <w:lvl w:ilvl="1" w:tplc="1C090019" w:tentative="1">
      <w:start w:val="1"/>
      <w:numFmt w:val="lowerLetter"/>
      <w:lvlText w:val="%2."/>
      <w:lvlJc w:val="left"/>
      <w:pPr>
        <w:ind w:left="1015" w:hanging="360"/>
      </w:pPr>
    </w:lvl>
    <w:lvl w:ilvl="2" w:tplc="1C09001B" w:tentative="1">
      <w:start w:val="1"/>
      <w:numFmt w:val="lowerRoman"/>
      <w:lvlText w:val="%3."/>
      <w:lvlJc w:val="right"/>
      <w:pPr>
        <w:ind w:left="1735" w:hanging="180"/>
      </w:pPr>
    </w:lvl>
    <w:lvl w:ilvl="3" w:tplc="1C09000F" w:tentative="1">
      <w:start w:val="1"/>
      <w:numFmt w:val="decimal"/>
      <w:lvlText w:val="%4."/>
      <w:lvlJc w:val="left"/>
      <w:pPr>
        <w:ind w:left="2455" w:hanging="360"/>
      </w:pPr>
    </w:lvl>
    <w:lvl w:ilvl="4" w:tplc="1C090019" w:tentative="1">
      <w:start w:val="1"/>
      <w:numFmt w:val="lowerLetter"/>
      <w:lvlText w:val="%5."/>
      <w:lvlJc w:val="left"/>
      <w:pPr>
        <w:ind w:left="3175" w:hanging="360"/>
      </w:pPr>
    </w:lvl>
    <w:lvl w:ilvl="5" w:tplc="1C09001B" w:tentative="1">
      <w:start w:val="1"/>
      <w:numFmt w:val="lowerRoman"/>
      <w:lvlText w:val="%6."/>
      <w:lvlJc w:val="right"/>
      <w:pPr>
        <w:ind w:left="3895" w:hanging="180"/>
      </w:pPr>
    </w:lvl>
    <w:lvl w:ilvl="6" w:tplc="1C09000F" w:tentative="1">
      <w:start w:val="1"/>
      <w:numFmt w:val="decimal"/>
      <w:lvlText w:val="%7."/>
      <w:lvlJc w:val="left"/>
      <w:pPr>
        <w:ind w:left="4615" w:hanging="360"/>
      </w:pPr>
    </w:lvl>
    <w:lvl w:ilvl="7" w:tplc="1C090019" w:tentative="1">
      <w:start w:val="1"/>
      <w:numFmt w:val="lowerLetter"/>
      <w:lvlText w:val="%8."/>
      <w:lvlJc w:val="left"/>
      <w:pPr>
        <w:ind w:left="5335" w:hanging="360"/>
      </w:pPr>
    </w:lvl>
    <w:lvl w:ilvl="8" w:tplc="1C09001B" w:tentative="1">
      <w:start w:val="1"/>
      <w:numFmt w:val="lowerRoman"/>
      <w:lvlText w:val="%9."/>
      <w:lvlJc w:val="right"/>
      <w:pPr>
        <w:ind w:left="6055" w:hanging="180"/>
      </w:pPr>
    </w:lvl>
  </w:abstractNum>
  <w:abstractNum w:abstractNumId="20" w15:restartNumberingAfterBreak="0">
    <w:nsid w:val="3530313B"/>
    <w:multiLevelType w:val="multilevel"/>
    <w:tmpl w:val="BBF66F1A"/>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3E8B1030"/>
    <w:multiLevelType w:val="hybridMultilevel"/>
    <w:tmpl w:val="842AA5F2"/>
    <w:lvl w:ilvl="0" w:tplc="A3068F1E">
      <w:start w:val="1"/>
      <w:numFmt w:val="lowerLetter"/>
      <w:lvlText w:val="(%1)"/>
      <w:lvlJc w:val="left"/>
      <w:pPr>
        <w:ind w:left="1069" w:hanging="360"/>
      </w:pPr>
      <w:rPr>
        <w:rFonts w:hint="default"/>
        <w:b w:val="0"/>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4"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6417727"/>
    <w:multiLevelType w:val="hybridMultilevel"/>
    <w:tmpl w:val="E5EC23FA"/>
    <w:lvl w:ilvl="0" w:tplc="A3068F1E">
      <w:start w:val="1"/>
      <w:numFmt w:val="low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723433D"/>
    <w:multiLevelType w:val="multilevel"/>
    <w:tmpl w:val="8908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C8D124E"/>
    <w:multiLevelType w:val="hybridMultilevel"/>
    <w:tmpl w:val="1BDE855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377"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58C70B40"/>
    <w:multiLevelType w:val="multilevel"/>
    <w:tmpl w:val="E39C989C"/>
    <w:lvl w:ilvl="0">
      <w:start w:val="1"/>
      <w:numFmt w:val="decimal"/>
      <w:lvlText w:val="(%1)"/>
      <w:lvlJc w:val="left"/>
      <w:pPr>
        <w:tabs>
          <w:tab w:val="num" w:pos="1134"/>
        </w:tabs>
        <w:ind w:left="1134" w:hanging="567"/>
      </w:pPr>
      <w:rPr>
        <w:rFonts w:hint="default"/>
        <w:b w:val="0"/>
      </w:rPr>
    </w:lvl>
    <w:lvl w:ilvl="1">
      <w:start w:val="1"/>
      <w:numFmt w:val="lowerRoman"/>
      <w:lvlText w:val="%2."/>
      <w:lvlJc w:val="right"/>
      <w:pPr>
        <w:ind w:left="1494" w:hanging="360"/>
      </w:p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7E766AC"/>
    <w:multiLevelType w:val="multilevel"/>
    <w:tmpl w:val="76F2C7FA"/>
    <w:lvl w:ilvl="0">
      <w:start w:val="1"/>
      <w:numFmt w:val="lowerLetter"/>
      <w:lvlText w:val="(%1)"/>
      <w:lvlJc w:val="left"/>
      <w:pPr>
        <w:ind w:left="1134" w:hanging="567"/>
      </w:pPr>
      <w:rPr>
        <w:rFonts w:hint="default"/>
        <w:color w:val="auto"/>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265429883">
    <w:abstractNumId w:val="24"/>
  </w:num>
  <w:num w:numId="2" w16cid:durableId="2048338325">
    <w:abstractNumId w:val="3"/>
  </w:num>
  <w:num w:numId="3" w16cid:durableId="390925890">
    <w:abstractNumId w:val="7"/>
  </w:num>
  <w:num w:numId="4" w16cid:durableId="1158964083">
    <w:abstractNumId w:val="40"/>
  </w:num>
  <w:num w:numId="5" w16cid:durableId="1325356342">
    <w:abstractNumId w:val="34"/>
  </w:num>
  <w:num w:numId="6" w16cid:durableId="388386511">
    <w:abstractNumId w:val="22"/>
  </w:num>
  <w:num w:numId="7" w16cid:durableId="422192511">
    <w:abstractNumId w:val="39"/>
  </w:num>
  <w:num w:numId="8" w16cid:durableId="159395348">
    <w:abstractNumId w:val="33"/>
  </w:num>
  <w:num w:numId="9" w16cid:durableId="427699613">
    <w:abstractNumId w:val="14"/>
  </w:num>
  <w:num w:numId="10" w16cid:durableId="202332029">
    <w:abstractNumId w:val="1"/>
  </w:num>
  <w:num w:numId="11" w16cid:durableId="1347319762">
    <w:abstractNumId w:val="21"/>
  </w:num>
  <w:num w:numId="12" w16cid:durableId="256642657">
    <w:abstractNumId w:val="41"/>
  </w:num>
  <w:num w:numId="13" w16cid:durableId="1217818583">
    <w:abstractNumId w:val="25"/>
  </w:num>
  <w:num w:numId="14" w16cid:durableId="531110839">
    <w:abstractNumId w:val="35"/>
  </w:num>
  <w:num w:numId="15" w16cid:durableId="641422636">
    <w:abstractNumId w:val="30"/>
  </w:num>
  <w:num w:numId="16" w16cid:durableId="538472350">
    <w:abstractNumId w:val="15"/>
  </w:num>
  <w:num w:numId="17" w16cid:durableId="82148245">
    <w:abstractNumId w:val="46"/>
  </w:num>
  <w:num w:numId="18" w16cid:durableId="34545627">
    <w:abstractNumId w:val="43"/>
  </w:num>
  <w:num w:numId="19" w16cid:durableId="222067310">
    <w:abstractNumId w:val="10"/>
  </w:num>
  <w:num w:numId="20" w16cid:durableId="1702897699">
    <w:abstractNumId w:val="47"/>
  </w:num>
  <w:num w:numId="21" w16cid:durableId="2019304466">
    <w:abstractNumId w:val="16"/>
  </w:num>
  <w:num w:numId="22" w16cid:durableId="1395470179">
    <w:abstractNumId w:val="28"/>
  </w:num>
  <w:num w:numId="23" w16cid:durableId="571234870">
    <w:abstractNumId w:val="42"/>
  </w:num>
  <w:num w:numId="24" w16cid:durableId="1026563295">
    <w:abstractNumId w:val="0"/>
  </w:num>
  <w:num w:numId="25" w16cid:durableId="1998414730">
    <w:abstractNumId w:val="8"/>
  </w:num>
  <w:num w:numId="26" w16cid:durableId="573202951">
    <w:abstractNumId w:val="6"/>
  </w:num>
  <w:num w:numId="27" w16cid:durableId="1088775051">
    <w:abstractNumId w:val="27"/>
  </w:num>
  <w:num w:numId="28" w16cid:durableId="696589693">
    <w:abstractNumId w:val="32"/>
  </w:num>
  <w:num w:numId="29" w16cid:durableId="940180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7916421">
    <w:abstractNumId w:val="18"/>
  </w:num>
  <w:num w:numId="31" w16cid:durableId="856313920">
    <w:abstractNumId w:val="12"/>
  </w:num>
  <w:num w:numId="32" w16cid:durableId="407126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5291091">
    <w:abstractNumId w:val="19"/>
  </w:num>
  <w:num w:numId="34" w16cid:durableId="1790513351">
    <w:abstractNumId w:val="29"/>
  </w:num>
  <w:num w:numId="35" w16cid:durableId="1022827311">
    <w:abstractNumId w:val="38"/>
  </w:num>
  <w:num w:numId="36" w16cid:durableId="940259332">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9434308">
    <w:abstractNumId w:val="48"/>
  </w:num>
  <w:num w:numId="38" w16cid:durableId="1148202688">
    <w:abstractNumId w:val="37"/>
  </w:num>
  <w:num w:numId="39" w16cid:durableId="332146382">
    <w:abstractNumId w:val="44"/>
  </w:num>
  <w:num w:numId="40" w16cid:durableId="1855460953">
    <w:abstractNumId w:val="11"/>
  </w:num>
  <w:num w:numId="41" w16cid:durableId="1916739081">
    <w:abstractNumId w:val="4"/>
  </w:num>
  <w:num w:numId="42" w16cid:durableId="2087795693">
    <w:abstractNumId w:val="5"/>
  </w:num>
  <w:num w:numId="43" w16cid:durableId="1294097745">
    <w:abstractNumId w:val="49"/>
  </w:num>
  <w:num w:numId="44" w16cid:durableId="1377467415">
    <w:abstractNumId w:val="20"/>
  </w:num>
  <w:num w:numId="45" w16cid:durableId="665861096">
    <w:abstractNumId w:val="2"/>
  </w:num>
  <w:num w:numId="46" w16cid:durableId="690686187">
    <w:abstractNumId w:val="3"/>
  </w:num>
  <w:num w:numId="47" w16cid:durableId="1815682935">
    <w:abstractNumId w:val="31"/>
  </w:num>
  <w:num w:numId="48" w16cid:durableId="1066301193">
    <w:abstractNumId w:val="36"/>
  </w:num>
  <w:num w:numId="49" w16cid:durableId="1702632907">
    <w:abstractNumId w:val="3"/>
  </w:num>
  <w:num w:numId="50" w16cid:durableId="1758791387">
    <w:abstractNumId w:val="9"/>
  </w:num>
  <w:num w:numId="51" w16cid:durableId="1476489028">
    <w:abstractNumId w:val="26"/>
  </w:num>
  <w:num w:numId="52" w16cid:durableId="957103388">
    <w:abstractNumId w:val="13"/>
  </w:num>
  <w:num w:numId="53" w16cid:durableId="179006469">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80"/>
    <w:rsid w:val="00001165"/>
    <w:rsid w:val="00014860"/>
    <w:rsid w:val="000218B7"/>
    <w:rsid w:val="00021DC9"/>
    <w:rsid w:val="0002219A"/>
    <w:rsid w:val="00030124"/>
    <w:rsid w:val="0005172C"/>
    <w:rsid w:val="0005538F"/>
    <w:rsid w:val="000560FC"/>
    <w:rsid w:val="0008064C"/>
    <w:rsid w:val="000875DD"/>
    <w:rsid w:val="00087CD2"/>
    <w:rsid w:val="000A7D95"/>
    <w:rsid w:val="000B1A52"/>
    <w:rsid w:val="000B391B"/>
    <w:rsid w:val="000C3B61"/>
    <w:rsid w:val="000C56A7"/>
    <w:rsid w:val="000C68A6"/>
    <w:rsid w:val="000D0338"/>
    <w:rsid w:val="000E1410"/>
    <w:rsid w:val="000E14DD"/>
    <w:rsid w:val="000F2B2F"/>
    <w:rsid w:val="000F7540"/>
    <w:rsid w:val="00102DFF"/>
    <w:rsid w:val="00103520"/>
    <w:rsid w:val="00103EF0"/>
    <w:rsid w:val="001147F1"/>
    <w:rsid w:val="0011532B"/>
    <w:rsid w:val="001172E7"/>
    <w:rsid w:val="00124342"/>
    <w:rsid w:val="0013132F"/>
    <w:rsid w:val="001313AD"/>
    <w:rsid w:val="00137D84"/>
    <w:rsid w:val="00140641"/>
    <w:rsid w:val="001418A1"/>
    <w:rsid w:val="0014391B"/>
    <w:rsid w:val="00145EA2"/>
    <w:rsid w:val="00151146"/>
    <w:rsid w:val="00151FF4"/>
    <w:rsid w:val="001557F3"/>
    <w:rsid w:val="00161B69"/>
    <w:rsid w:val="00165575"/>
    <w:rsid w:val="0017574E"/>
    <w:rsid w:val="00177EBA"/>
    <w:rsid w:val="00180F03"/>
    <w:rsid w:val="00184BD7"/>
    <w:rsid w:val="0018714B"/>
    <w:rsid w:val="00193065"/>
    <w:rsid w:val="001948CC"/>
    <w:rsid w:val="001A1E65"/>
    <w:rsid w:val="001A4710"/>
    <w:rsid w:val="001A50CD"/>
    <w:rsid w:val="001B2FE2"/>
    <w:rsid w:val="001B3716"/>
    <w:rsid w:val="001B63DC"/>
    <w:rsid w:val="001B6D53"/>
    <w:rsid w:val="001C4F7C"/>
    <w:rsid w:val="001D1C9E"/>
    <w:rsid w:val="001E2347"/>
    <w:rsid w:val="001E2F3D"/>
    <w:rsid w:val="001E3153"/>
    <w:rsid w:val="001E38D5"/>
    <w:rsid w:val="001F5EDD"/>
    <w:rsid w:val="001F7572"/>
    <w:rsid w:val="00204B60"/>
    <w:rsid w:val="002134F5"/>
    <w:rsid w:val="00221BDB"/>
    <w:rsid w:val="00223B97"/>
    <w:rsid w:val="00231DB3"/>
    <w:rsid w:val="00233A39"/>
    <w:rsid w:val="00234E2A"/>
    <w:rsid w:val="00235913"/>
    <w:rsid w:val="0026097F"/>
    <w:rsid w:val="00260F2A"/>
    <w:rsid w:val="0026119C"/>
    <w:rsid w:val="0027716C"/>
    <w:rsid w:val="00292A86"/>
    <w:rsid w:val="00292FA9"/>
    <w:rsid w:val="00293093"/>
    <w:rsid w:val="0029583D"/>
    <w:rsid w:val="002A3AA8"/>
    <w:rsid w:val="002A5104"/>
    <w:rsid w:val="002A6406"/>
    <w:rsid w:val="002A7DA2"/>
    <w:rsid w:val="002B050F"/>
    <w:rsid w:val="002B187F"/>
    <w:rsid w:val="002B260C"/>
    <w:rsid w:val="002C3609"/>
    <w:rsid w:val="002D709D"/>
    <w:rsid w:val="002E5AED"/>
    <w:rsid w:val="003150D9"/>
    <w:rsid w:val="003167B1"/>
    <w:rsid w:val="003210AE"/>
    <w:rsid w:val="003429FC"/>
    <w:rsid w:val="003531F7"/>
    <w:rsid w:val="00355E9B"/>
    <w:rsid w:val="003575FC"/>
    <w:rsid w:val="0036570B"/>
    <w:rsid w:val="003672E8"/>
    <w:rsid w:val="003711BF"/>
    <w:rsid w:val="00373D27"/>
    <w:rsid w:val="003806BB"/>
    <w:rsid w:val="003824E9"/>
    <w:rsid w:val="00387138"/>
    <w:rsid w:val="003943CE"/>
    <w:rsid w:val="00394D10"/>
    <w:rsid w:val="00396A55"/>
    <w:rsid w:val="003E0A27"/>
    <w:rsid w:val="003F7BFE"/>
    <w:rsid w:val="00400714"/>
    <w:rsid w:val="00401FF9"/>
    <w:rsid w:val="0041183E"/>
    <w:rsid w:val="004176AA"/>
    <w:rsid w:val="0041784E"/>
    <w:rsid w:val="0042485E"/>
    <w:rsid w:val="00434A62"/>
    <w:rsid w:val="00445B91"/>
    <w:rsid w:val="004651ED"/>
    <w:rsid w:val="00473F58"/>
    <w:rsid w:val="0048501B"/>
    <w:rsid w:val="00490713"/>
    <w:rsid w:val="004914C4"/>
    <w:rsid w:val="00496E1A"/>
    <w:rsid w:val="004A6945"/>
    <w:rsid w:val="004B0829"/>
    <w:rsid w:val="004B2488"/>
    <w:rsid w:val="004B4BCF"/>
    <w:rsid w:val="004C3A3C"/>
    <w:rsid w:val="004D1F53"/>
    <w:rsid w:val="004D47F9"/>
    <w:rsid w:val="004E1A16"/>
    <w:rsid w:val="004E594D"/>
    <w:rsid w:val="004F5065"/>
    <w:rsid w:val="004F66B3"/>
    <w:rsid w:val="004F798C"/>
    <w:rsid w:val="00501A7D"/>
    <w:rsid w:val="00504F20"/>
    <w:rsid w:val="00512A12"/>
    <w:rsid w:val="00513C34"/>
    <w:rsid w:val="00513DED"/>
    <w:rsid w:val="005148D5"/>
    <w:rsid w:val="005223BA"/>
    <w:rsid w:val="00522E16"/>
    <w:rsid w:val="00527C18"/>
    <w:rsid w:val="00532BF3"/>
    <w:rsid w:val="005377DC"/>
    <w:rsid w:val="00544062"/>
    <w:rsid w:val="00552F96"/>
    <w:rsid w:val="005570A5"/>
    <w:rsid w:val="00560F4B"/>
    <w:rsid w:val="00576C51"/>
    <w:rsid w:val="00583A3A"/>
    <w:rsid w:val="00593247"/>
    <w:rsid w:val="00595AD7"/>
    <w:rsid w:val="005A2E71"/>
    <w:rsid w:val="005A74FB"/>
    <w:rsid w:val="005B18DD"/>
    <w:rsid w:val="005B4A13"/>
    <w:rsid w:val="005B6F06"/>
    <w:rsid w:val="005C4127"/>
    <w:rsid w:val="005D10D5"/>
    <w:rsid w:val="005D5CCF"/>
    <w:rsid w:val="005E2437"/>
    <w:rsid w:val="005E4B59"/>
    <w:rsid w:val="005E7FD6"/>
    <w:rsid w:val="005F2530"/>
    <w:rsid w:val="0060212A"/>
    <w:rsid w:val="00603845"/>
    <w:rsid w:val="00613867"/>
    <w:rsid w:val="00621A13"/>
    <w:rsid w:val="006253FA"/>
    <w:rsid w:val="00634C43"/>
    <w:rsid w:val="0066780E"/>
    <w:rsid w:val="006714E3"/>
    <w:rsid w:val="006856DA"/>
    <w:rsid w:val="00686F5B"/>
    <w:rsid w:val="006A0620"/>
    <w:rsid w:val="006A55F1"/>
    <w:rsid w:val="006A5A54"/>
    <w:rsid w:val="006A5D17"/>
    <w:rsid w:val="006B5D87"/>
    <w:rsid w:val="006C0A8D"/>
    <w:rsid w:val="006D342A"/>
    <w:rsid w:val="006E6774"/>
    <w:rsid w:val="006F011E"/>
    <w:rsid w:val="006F15E0"/>
    <w:rsid w:val="006F4069"/>
    <w:rsid w:val="006F6614"/>
    <w:rsid w:val="007006B8"/>
    <w:rsid w:val="00702BB6"/>
    <w:rsid w:val="00710F8D"/>
    <w:rsid w:val="0071278B"/>
    <w:rsid w:val="007141EE"/>
    <w:rsid w:val="00723222"/>
    <w:rsid w:val="007240B7"/>
    <w:rsid w:val="0072505B"/>
    <w:rsid w:val="00727416"/>
    <w:rsid w:val="0072760B"/>
    <w:rsid w:val="00733FB4"/>
    <w:rsid w:val="00742328"/>
    <w:rsid w:val="00744DBE"/>
    <w:rsid w:val="00751665"/>
    <w:rsid w:val="00766D19"/>
    <w:rsid w:val="00785040"/>
    <w:rsid w:val="00797436"/>
    <w:rsid w:val="007B5975"/>
    <w:rsid w:val="007C6533"/>
    <w:rsid w:val="007D0577"/>
    <w:rsid w:val="007D33E7"/>
    <w:rsid w:val="007D422B"/>
    <w:rsid w:val="007D6919"/>
    <w:rsid w:val="007D7386"/>
    <w:rsid w:val="007E4A77"/>
    <w:rsid w:val="007E6FC0"/>
    <w:rsid w:val="007F045E"/>
    <w:rsid w:val="007F2354"/>
    <w:rsid w:val="007F39D6"/>
    <w:rsid w:val="00801880"/>
    <w:rsid w:val="008049F9"/>
    <w:rsid w:val="00805122"/>
    <w:rsid w:val="00805234"/>
    <w:rsid w:val="008078EF"/>
    <w:rsid w:val="00811091"/>
    <w:rsid w:val="00820499"/>
    <w:rsid w:val="008228E6"/>
    <w:rsid w:val="008233FF"/>
    <w:rsid w:val="008257DD"/>
    <w:rsid w:val="008273F3"/>
    <w:rsid w:val="0083551A"/>
    <w:rsid w:val="00835D74"/>
    <w:rsid w:val="008360E8"/>
    <w:rsid w:val="00837D22"/>
    <w:rsid w:val="00840E16"/>
    <w:rsid w:val="00853EFB"/>
    <w:rsid w:val="008600CB"/>
    <w:rsid w:val="00861103"/>
    <w:rsid w:val="008644ED"/>
    <w:rsid w:val="008711B7"/>
    <w:rsid w:val="008741FC"/>
    <w:rsid w:val="00883315"/>
    <w:rsid w:val="00887169"/>
    <w:rsid w:val="00891392"/>
    <w:rsid w:val="008A54D7"/>
    <w:rsid w:val="008B6BBF"/>
    <w:rsid w:val="008C7929"/>
    <w:rsid w:val="008E4D2A"/>
    <w:rsid w:val="008E59CE"/>
    <w:rsid w:val="008F486F"/>
    <w:rsid w:val="009056E8"/>
    <w:rsid w:val="0093012F"/>
    <w:rsid w:val="0094186A"/>
    <w:rsid w:val="00942B4A"/>
    <w:rsid w:val="00961FAE"/>
    <w:rsid w:val="00962733"/>
    <w:rsid w:val="009640B3"/>
    <w:rsid w:val="0097573A"/>
    <w:rsid w:val="00977D2C"/>
    <w:rsid w:val="00980940"/>
    <w:rsid w:val="009825EE"/>
    <w:rsid w:val="00983663"/>
    <w:rsid w:val="009A07C6"/>
    <w:rsid w:val="009A195B"/>
    <w:rsid w:val="009A26AD"/>
    <w:rsid w:val="009A33B7"/>
    <w:rsid w:val="009A762D"/>
    <w:rsid w:val="009C0D1E"/>
    <w:rsid w:val="009F4D84"/>
    <w:rsid w:val="00A04171"/>
    <w:rsid w:val="00A058DB"/>
    <w:rsid w:val="00A06C58"/>
    <w:rsid w:val="00A1058C"/>
    <w:rsid w:val="00A105E4"/>
    <w:rsid w:val="00A14C8E"/>
    <w:rsid w:val="00A15286"/>
    <w:rsid w:val="00A16AB0"/>
    <w:rsid w:val="00A21293"/>
    <w:rsid w:val="00A31D01"/>
    <w:rsid w:val="00A32230"/>
    <w:rsid w:val="00A34BAB"/>
    <w:rsid w:val="00A35ADE"/>
    <w:rsid w:val="00A44D99"/>
    <w:rsid w:val="00A62B8F"/>
    <w:rsid w:val="00A64140"/>
    <w:rsid w:val="00A65726"/>
    <w:rsid w:val="00A813D1"/>
    <w:rsid w:val="00A831F4"/>
    <w:rsid w:val="00A9662F"/>
    <w:rsid w:val="00AA3CDF"/>
    <w:rsid w:val="00AB0B86"/>
    <w:rsid w:val="00AB361C"/>
    <w:rsid w:val="00AC1911"/>
    <w:rsid w:val="00AC7C1D"/>
    <w:rsid w:val="00AD097C"/>
    <w:rsid w:val="00AD34B8"/>
    <w:rsid w:val="00AD460A"/>
    <w:rsid w:val="00AE3179"/>
    <w:rsid w:val="00AF05FE"/>
    <w:rsid w:val="00AF6423"/>
    <w:rsid w:val="00B01D51"/>
    <w:rsid w:val="00B04B90"/>
    <w:rsid w:val="00B05E7F"/>
    <w:rsid w:val="00B06C7C"/>
    <w:rsid w:val="00B12F3C"/>
    <w:rsid w:val="00B200C4"/>
    <w:rsid w:val="00B2080E"/>
    <w:rsid w:val="00B21C62"/>
    <w:rsid w:val="00B222ED"/>
    <w:rsid w:val="00B2743C"/>
    <w:rsid w:val="00B402FF"/>
    <w:rsid w:val="00B40C83"/>
    <w:rsid w:val="00B450E6"/>
    <w:rsid w:val="00B46FFE"/>
    <w:rsid w:val="00B5236F"/>
    <w:rsid w:val="00B55E14"/>
    <w:rsid w:val="00B562F3"/>
    <w:rsid w:val="00B649DE"/>
    <w:rsid w:val="00B709FB"/>
    <w:rsid w:val="00B7255B"/>
    <w:rsid w:val="00B80FF6"/>
    <w:rsid w:val="00B9152C"/>
    <w:rsid w:val="00B95A42"/>
    <w:rsid w:val="00BA7077"/>
    <w:rsid w:val="00BB365B"/>
    <w:rsid w:val="00BC4635"/>
    <w:rsid w:val="00BC783D"/>
    <w:rsid w:val="00BD74D9"/>
    <w:rsid w:val="00BD778C"/>
    <w:rsid w:val="00BF6DEC"/>
    <w:rsid w:val="00C026C6"/>
    <w:rsid w:val="00C0619F"/>
    <w:rsid w:val="00C1106B"/>
    <w:rsid w:val="00C14FDB"/>
    <w:rsid w:val="00C155D8"/>
    <w:rsid w:val="00C2646C"/>
    <w:rsid w:val="00C32B24"/>
    <w:rsid w:val="00C47C25"/>
    <w:rsid w:val="00C62945"/>
    <w:rsid w:val="00C66667"/>
    <w:rsid w:val="00C826BB"/>
    <w:rsid w:val="00C838A7"/>
    <w:rsid w:val="00C86426"/>
    <w:rsid w:val="00C91A31"/>
    <w:rsid w:val="00C96950"/>
    <w:rsid w:val="00C96FA3"/>
    <w:rsid w:val="00C97BE7"/>
    <w:rsid w:val="00CA2193"/>
    <w:rsid w:val="00CA51E1"/>
    <w:rsid w:val="00CA731E"/>
    <w:rsid w:val="00CB28EC"/>
    <w:rsid w:val="00CC38A7"/>
    <w:rsid w:val="00CC4AC4"/>
    <w:rsid w:val="00CE4A9B"/>
    <w:rsid w:val="00CE6ACB"/>
    <w:rsid w:val="00CF4A0C"/>
    <w:rsid w:val="00D0325C"/>
    <w:rsid w:val="00D04D32"/>
    <w:rsid w:val="00D16157"/>
    <w:rsid w:val="00D277BF"/>
    <w:rsid w:val="00D30CF8"/>
    <w:rsid w:val="00D631B3"/>
    <w:rsid w:val="00D64DC3"/>
    <w:rsid w:val="00D74416"/>
    <w:rsid w:val="00D7773B"/>
    <w:rsid w:val="00D826CA"/>
    <w:rsid w:val="00DA2545"/>
    <w:rsid w:val="00DE712C"/>
    <w:rsid w:val="00DE7F97"/>
    <w:rsid w:val="00DF0A1E"/>
    <w:rsid w:val="00DF1D94"/>
    <w:rsid w:val="00DF3A7D"/>
    <w:rsid w:val="00E030BC"/>
    <w:rsid w:val="00E06686"/>
    <w:rsid w:val="00E06FB8"/>
    <w:rsid w:val="00E15F47"/>
    <w:rsid w:val="00E21EF6"/>
    <w:rsid w:val="00E2713B"/>
    <w:rsid w:val="00E300AB"/>
    <w:rsid w:val="00E5740F"/>
    <w:rsid w:val="00E60BE0"/>
    <w:rsid w:val="00E63E7D"/>
    <w:rsid w:val="00E82339"/>
    <w:rsid w:val="00E8344E"/>
    <w:rsid w:val="00E86CB4"/>
    <w:rsid w:val="00E87622"/>
    <w:rsid w:val="00EA5B00"/>
    <w:rsid w:val="00EB4B6A"/>
    <w:rsid w:val="00EB68ED"/>
    <w:rsid w:val="00EC6F7C"/>
    <w:rsid w:val="00ED3AD2"/>
    <w:rsid w:val="00ED544A"/>
    <w:rsid w:val="00ED75F6"/>
    <w:rsid w:val="00EF035C"/>
    <w:rsid w:val="00EF3A8A"/>
    <w:rsid w:val="00F0053E"/>
    <w:rsid w:val="00F111A0"/>
    <w:rsid w:val="00F12BEC"/>
    <w:rsid w:val="00F13DE7"/>
    <w:rsid w:val="00F17892"/>
    <w:rsid w:val="00F218B5"/>
    <w:rsid w:val="00F2293B"/>
    <w:rsid w:val="00F2583E"/>
    <w:rsid w:val="00F34F50"/>
    <w:rsid w:val="00F37BD6"/>
    <w:rsid w:val="00F459B5"/>
    <w:rsid w:val="00F52232"/>
    <w:rsid w:val="00F57298"/>
    <w:rsid w:val="00F618A6"/>
    <w:rsid w:val="00F61C86"/>
    <w:rsid w:val="00F70A16"/>
    <w:rsid w:val="00F748C8"/>
    <w:rsid w:val="00FB0A01"/>
    <w:rsid w:val="00FB57B0"/>
    <w:rsid w:val="00FC5021"/>
    <w:rsid w:val="00FC7798"/>
    <w:rsid w:val="00FD3A05"/>
    <w:rsid w:val="00FD4623"/>
    <w:rsid w:val="00FF6C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DB608"/>
  <w15:chartTrackingRefBased/>
  <w15:docId w15:val="{39C3CE1B-63E5-4394-96CA-B3C7A582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next w:val="Normal"/>
    <w:link w:val="Heading1Char"/>
    <w:uiPriority w:val="9"/>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uiPriority w:val="9"/>
    <w:qFormat/>
    <w:rsid w:val="00C2646C"/>
    <w:pPr>
      <w:numPr>
        <w:ilvl w:val="1"/>
      </w:numPr>
      <w:outlineLvl w:val="1"/>
    </w:pPr>
    <w:rPr>
      <w:iCs w:val="0"/>
      <w:sz w:val="28"/>
      <w:szCs w:val="26"/>
      <w:lang w:val="en-ZA"/>
    </w:rPr>
  </w:style>
  <w:style w:type="paragraph" w:styleId="Heading3">
    <w:name w:val="heading 3"/>
    <w:basedOn w:val="Heading1"/>
    <w:next w:val="Normal"/>
    <w:link w:val="Heading3Char"/>
    <w:uiPriority w:val="9"/>
    <w:qFormat/>
    <w:rsid w:val="00C2646C"/>
    <w:pPr>
      <w:numPr>
        <w:ilvl w:val="2"/>
      </w:numPr>
      <w:ind w:left="747"/>
      <w:outlineLvl w:val="2"/>
    </w:pPr>
    <w:rPr>
      <w:sz w:val="24"/>
      <w:szCs w:val="24"/>
    </w:rPr>
  </w:style>
  <w:style w:type="paragraph" w:styleId="Heading4">
    <w:name w:val="heading 4"/>
    <w:basedOn w:val="Heading1"/>
    <w:next w:val="Normal"/>
    <w:link w:val="Heading4Char"/>
    <w:uiPriority w:val="9"/>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uiPriority w:val="9"/>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uiPriority w:val="9"/>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uiPriority w:val="9"/>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9"/>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qFormat/>
    <w:rsid w:val="004651ED"/>
    <w:pPr>
      <w:spacing w:line="240" w:lineRule="auto"/>
    </w:pPr>
    <w:rPr>
      <w:sz w:val="20"/>
      <w:szCs w:val="20"/>
    </w:rPr>
  </w:style>
  <w:style w:type="character" w:customStyle="1" w:styleId="CommentTextChar">
    <w:name w:val="Comment Text Char"/>
    <w:basedOn w:val="DefaultParagraphFont"/>
    <w:link w:val="CommentText"/>
    <w:uiPriority w:val="99"/>
    <w:qForma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7"/>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5A2E71"/>
    <w:pPr>
      <w:spacing w:line="240" w:lineRule="auto"/>
      <w:jc w:val="left"/>
    </w:pPr>
    <w:rPr>
      <w:rFonts w:ascii="Calibri" w:eastAsia="Times New Roman" w:hAnsi="Calibri" w:cs="Times New Roman"/>
      <w:i/>
      <w:color w:val="0070C0"/>
      <w:szCs w:val="20"/>
    </w:rPr>
  </w:style>
  <w:style w:type="paragraph" w:customStyle="1" w:styleId="Default">
    <w:name w:val="Default"/>
    <w:rsid w:val="006A062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6E6774"/>
    <w:pPr>
      <w:widowControl w:val="0"/>
      <w:autoSpaceDE w:val="0"/>
      <w:autoSpaceDN w:val="0"/>
      <w:spacing w:after="0" w:line="240" w:lineRule="auto"/>
      <w:ind w:left="100"/>
      <w:jc w:val="left"/>
    </w:pPr>
    <w:rPr>
      <w:rFonts w:ascii="Arial" w:eastAsia="Arial" w:hAnsi="Arial" w:cs="Arial"/>
      <w:lang w:val="en-US"/>
    </w:rPr>
  </w:style>
  <w:style w:type="paragraph" w:customStyle="1" w:styleId="Level3">
    <w:name w:val="Level3"/>
    <w:basedOn w:val="Normal"/>
    <w:rsid w:val="006E6774"/>
    <w:pPr>
      <w:numPr>
        <w:ilvl w:val="2"/>
        <w:numId w:val="35"/>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6E6774"/>
    <w:pPr>
      <w:numPr>
        <w:ilvl w:val="3"/>
      </w:numPr>
    </w:pPr>
  </w:style>
  <w:style w:type="paragraph" w:customStyle="1" w:styleId="Level5">
    <w:name w:val="Level5"/>
    <w:basedOn w:val="Level4"/>
    <w:rsid w:val="006E6774"/>
    <w:pPr>
      <w:numPr>
        <w:ilvl w:val="4"/>
      </w:numPr>
      <w:ind w:hanging="2552"/>
    </w:pPr>
  </w:style>
  <w:style w:type="character" w:styleId="UnresolvedMention">
    <w:name w:val="Unresolved Mention"/>
    <w:basedOn w:val="DefaultParagraphFont"/>
    <w:uiPriority w:val="99"/>
    <w:semiHidden/>
    <w:unhideWhenUsed/>
    <w:rsid w:val="004A6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69095">
      <w:bodyDiv w:val="1"/>
      <w:marLeft w:val="0"/>
      <w:marRight w:val="0"/>
      <w:marTop w:val="0"/>
      <w:marBottom w:val="0"/>
      <w:divBdr>
        <w:top w:val="none" w:sz="0" w:space="0" w:color="auto"/>
        <w:left w:val="none" w:sz="0" w:space="0" w:color="auto"/>
        <w:bottom w:val="none" w:sz="0" w:space="0" w:color="auto"/>
        <w:right w:val="none" w:sz="0" w:space="0" w:color="auto"/>
      </w:divBdr>
    </w:div>
    <w:div w:id="1364672236">
      <w:bodyDiv w:val="1"/>
      <w:marLeft w:val="0"/>
      <w:marRight w:val="0"/>
      <w:marTop w:val="0"/>
      <w:marBottom w:val="0"/>
      <w:divBdr>
        <w:top w:val="none" w:sz="0" w:space="0" w:color="auto"/>
        <w:left w:val="none" w:sz="0" w:space="0" w:color="auto"/>
        <w:bottom w:val="none" w:sz="0" w:space="0" w:color="auto"/>
        <w:right w:val="none" w:sz="0" w:space="0" w:color="auto"/>
      </w:divBdr>
    </w:div>
    <w:div w:id="1772702065">
      <w:bodyDiv w:val="1"/>
      <w:marLeft w:val="0"/>
      <w:marRight w:val="0"/>
      <w:marTop w:val="0"/>
      <w:marBottom w:val="0"/>
      <w:divBdr>
        <w:top w:val="none" w:sz="0" w:space="0" w:color="auto"/>
        <w:left w:val="none" w:sz="0" w:space="0" w:color="auto"/>
        <w:bottom w:val="none" w:sz="0" w:space="0" w:color="auto"/>
        <w:right w:val="none" w:sz="0" w:space="0" w:color="auto"/>
      </w:divBdr>
    </w:div>
    <w:div w:id="199657007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hensy\AppData\Local\Microsoft\Windows\INetCache\Content.Outlook\350IB5MS\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FB596BDFC435CB6AC2AC0866C7ED7"/>
        <w:category>
          <w:name w:val="General"/>
          <w:gallery w:val="placeholder"/>
        </w:category>
        <w:types>
          <w:type w:val="bbPlcHdr"/>
        </w:types>
        <w:behaviors>
          <w:behavior w:val="content"/>
        </w:behaviors>
        <w:guid w:val="{1658392F-9706-4809-A485-F15A052CD56A}"/>
      </w:docPartPr>
      <w:docPartBody>
        <w:p w:rsidR="006F0446" w:rsidRDefault="006F0446">
          <w:pPr>
            <w:pStyle w:val="10EFB596BDFC435CB6AC2AC0866C7ED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AC"/>
    <w:rsid w:val="000053C6"/>
    <w:rsid w:val="000118AC"/>
    <w:rsid w:val="000649CA"/>
    <w:rsid w:val="0011378C"/>
    <w:rsid w:val="00131B5F"/>
    <w:rsid w:val="001C4F7C"/>
    <w:rsid w:val="001E38D5"/>
    <w:rsid w:val="002B050F"/>
    <w:rsid w:val="0035017C"/>
    <w:rsid w:val="003E1623"/>
    <w:rsid w:val="0048113A"/>
    <w:rsid w:val="00485160"/>
    <w:rsid w:val="00492E14"/>
    <w:rsid w:val="005148D5"/>
    <w:rsid w:val="00542B3F"/>
    <w:rsid w:val="005E661F"/>
    <w:rsid w:val="006F0446"/>
    <w:rsid w:val="006F15E0"/>
    <w:rsid w:val="007B0CBD"/>
    <w:rsid w:val="008233FF"/>
    <w:rsid w:val="0084203C"/>
    <w:rsid w:val="00883315"/>
    <w:rsid w:val="00897DA9"/>
    <w:rsid w:val="008B13AE"/>
    <w:rsid w:val="00910FD9"/>
    <w:rsid w:val="00962733"/>
    <w:rsid w:val="009640B3"/>
    <w:rsid w:val="009A195B"/>
    <w:rsid w:val="00B40C83"/>
    <w:rsid w:val="00BF506C"/>
    <w:rsid w:val="00C0144A"/>
    <w:rsid w:val="00C2195F"/>
    <w:rsid w:val="00C907EF"/>
    <w:rsid w:val="00CD4325"/>
    <w:rsid w:val="00EA6FA2"/>
    <w:rsid w:val="00EB3160"/>
    <w:rsid w:val="00ED544A"/>
    <w:rsid w:val="00FA3A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EFB596BDFC435CB6AC2AC0866C7ED7">
    <w:name w:val="10EFB596BDFC435CB6AC2AC0866C7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4" ma:contentTypeDescription="Create a new document." ma:contentTypeScope="" ma:versionID="78dff248de21b7020e4f2348d87ef60f">
  <xsd:schema xmlns:xsd="http://www.w3.org/2001/XMLSchema" xmlns:xs="http://www.w3.org/2001/XMLSchema" xmlns:p="http://schemas.microsoft.com/office/2006/metadata/properties" xmlns:ns3="3a85c5eb-76cd-4e2e-bacd-047e5174fa90" xmlns:ns4="11981602-1bff-405a-b06a-a51f10e834d2" targetNamespace="http://schemas.microsoft.com/office/2006/metadata/properties" ma:root="true" ma:fieldsID="3780aba821ccd9aeab1d2f0a45b4c58b" ns3:_="" ns4:_="">
    <xsd:import namespace="3a85c5eb-76cd-4e2e-bacd-047e5174fa90"/>
    <xsd:import namespace="11981602-1bff-405a-b06a-a51f10e834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798CA-EB96-4342-8875-8F3ECD0AB8B4}">
  <ds:schemaRefs>
    <ds:schemaRef ds:uri="http://schemas.microsoft.com/sharepoint/v3/contenttype/forms"/>
  </ds:schemaRefs>
</ds:datastoreItem>
</file>

<file path=customXml/itemProps2.xml><?xml version="1.0" encoding="utf-8"?>
<ds:datastoreItem xmlns:ds="http://schemas.openxmlformats.org/officeDocument/2006/customXml" ds:itemID="{2F483F98-790B-4CFD-BDC5-6022C9439808}">
  <ds:schemaRefs>
    <ds:schemaRef ds:uri="http://schemas.microsoft.com/office/2006/metadata/properties"/>
    <ds:schemaRef ds:uri="http://schemas.microsoft.com/office/infopath/2007/PartnerControls"/>
    <ds:schemaRef ds:uri="11981602-1bff-405a-b06a-a51f10e834d2"/>
  </ds:schemaRefs>
</ds:datastoreItem>
</file>

<file path=customXml/itemProps3.xml><?xml version="1.0" encoding="utf-8"?>
<ds:datastoreItem xmlns:ds="http://schemas.openxmlformats.org/officeDocument/2006/customXml" ds:itemID="{016A3027-96F2-4A3E-B513-EDD993DBFBBC}">
  <ds:schemaRefs>
    <ds:schemaRef ds:uri="http://schemas.openxmlformats.org/officeDocument/2006/bibliography"/>
  </ds:schemaRefs>
</ds:datastoreItem>
</file>

<file path=customXml/itemProps4.xml><?xml version="1.0" encoding="utf-8"?>
<ds:datastoreItem xmlns:ds="http://schemas.openxmlformats.org/officeDocument/2006/customXml" ds:itemID="{3D50B44B-DB39-4EFF-8505-F08B93C6C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5c5eb-76cd-4e2e-bacd-047e5174fa90"/>
    <ds:schemaRef ds:uri="11981602-1bff-405a-b06a-a51f10e83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0</TotalTime>
  <Pages>24</Pages>
  <Words>6718</Words>
  <Characters>38295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Nkhensy Makhubele</dc:creator>
  <cp:keywords/>
  <dc:description/>
  <cp:lastModifiedBy>Brian Matemane</cp:lastModifiedBy>
  <cp:revision>2</cp:revision>
  <cp:lastPrinted>2025-08-07T12:59:00Z</cp:lastPrinted>
  <dcterms:created xsi:type="dcterms:W3CDTF">2025-11-28T12:49:00Z</dcterms:created>
  <dcterms:modified xsi:type="dcterms:W3CDTF">2025-11-28T12:49:00Z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0x0101006B6BF4B94625A44C86B17AEF7D7A06AD</vt:lpwstr>
  </property>
</Properties>
</file>