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91311504"/>
        <w:placeholder>
          <w:docPart w:val="1354F3BC96584273A0D396625CF9EF01"/>
        </w:placeholder>
      </w:sdtPr>
      <w:sdtContent>
        <w:sdt>
          <w:sdtPr>
            <w:id w:val="-1462265599"/>
            <w:lock w:val="sdtContentLocked"/>
            <w:placeholder>
              <w:docPart w:val="1354F3BC96584273A0D396625CF9EF01"/>
            </w:placeholder>
            <w15:appearance w15:val="hidden"/>
          </w:sdtPr>
          <w:sdtContent>
            <w:p w14:paraId="74317272" w14:textId="77777777" w:rsidR="005758C0" w:rsidRDefault="005758C0">
              <w:pPr>
                <w:jc w:val="center"/>
              </w:pPr>
            </w:p>
            <w:p w14:paraId="28006B76" w14:textId="77777777" w:rsidR="005758C0" w:rsidRDefault="00A22E66">
              <w:pPr>
                <w:jc w:val="center"/>
              </w:pPr>
              <w:r>
                <w:rPr>
                  <w:noProof/>
                  <w:lang w:eastAsia="en-ZA"/>
                </w:rPr>
                <w:drawing>
                  <wp:anchor distT="0" distB="0" distL="114300" distR="114300" simplePos="0" relativeHeight="251660288" behindDoc="0" locked="0" layoutInCell="1" allowOverlap="1" wp14:anchorId="08B24775" wp14:editId="3A6BFFF0">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1079500"/>
                            </a:xfrm>
                            <a:prstGeom prst="rect">
                              <a:avLst/>
                            </a:prstGeom>
                            <a:noFill/>
                          </pic:spPr>
                        </pic:pic>
                      </a:graphicData>
                    </a:graphic>
                  </wp:anchor>
                </w:drawing>
              </w:r>
            </w:p>
            <w:p w14:paraId="33276503" w14:textId="77777777" w:rsidR="005758C0" w:rsidRDefault="00A22E66">
              <w:pPr>
                <w:jc w:val="center"/>
              </w:pPr>
              <w:r>
                <w:rPr>
                  <w:noProof/>
                  <w:lang w:eastAsia="en-ZA"/>
                </w:rPr>
                <w:drawing>
                  <wp:anchor distT="0" distB="0" distL="114300" distR="114300" simplePos="0" relativeHeight="251659264" behindDoc="1" locked="1" layoutInCell="1" allowOverlap="0" wp14:anchorId="5C466903" wp14:editId="1437753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rot="10800000" flipH="1">
                              <a:off x="0" y="0"/>
                              <a:ext cx="2201545" cy="4644390"/>
                            </a:xfrm>
                            <a:prstGeom prst="rect">
                              <a:avLst/>
                            </a:prstGeom>
                            <a:noFill/>
                          </pic:spPr>
                        </pic:pic>
                      </a:graphicData>
                    </a:graphic>
                  </wp:anchor>
                </w:drawing>
              </w:r>
            </w:p>
            <w:p w14:paraId="095AE116" w14:textId="77777777" w:rsidR="005758C0" w:rsidRDefault="005758C0">
              <w:pPr>
                <w:jc w:val="center"/>
              </w:pPr>
            </w:p>
            <w:p w14:paraId="7E79B6EB" w14:textId="77777777" w:rsidR="005758C0" w:rsidRDefault="005758C0">
              <w:pPr>
                <w:jc w:val="center"/>
              </w:pPr>
            </w:p>
            <w:p w14:paraId="1E6B62D7" w14:textId="77777777" w:rsidR="005758C0" w:rsidRDefault="005758C0">
              <w:pPr>
                <w:jc w:val="center"/>
              </w:pPr>
            </w:p>
            <w:p w14:paraId="18BB8330" w14:textId="77777777" w:rsidR="005758C0" w:rsidRDefault="005758C0">
              <w:pPr>
                <w:jc w:val="center"/>
              </w:pPr>
            </w:p>
            <w:p w14:paraId="6CA47AF0" w14:textId="77777777" w:rsidR="005758C0" w:rsidRDefault="005758C0">
              <w:pPr>
                <w:jc w:val="center"/>
              </w:pPr>
            </w:p>
            <w:p w14:paraId="7D0D335C" w14:textId="77777777" w:rsidR="005758C0" w:rsidRDefault="005758C0">
              <w:pPr>
                <w:jc w:val="center"/>
              </w:pPr>
            </w:p>
            <w:p w14:paraId="7E783918" w14:textId="77777777" w:rsidR="005758C0" w:rsidRDefault="005758C0">
              <w:pPr>
                <w:jc w:val="center"/>
              </w:pPr>
            </w:p>
            <w:p w14:paraId="6533447A" w14:textId="77777777" w:rsidR="005758C0" w:rsidRDefault="00000000">
              <w:pPr>
                <w:jc w:val="center"/>
              </w:pPr>
            </w:p>
          </w:sdtContent>
        </w:sdt>
      </w:sdtContent>
    </w:sdt>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3113"/>
        <w:gridCol w:w="6381"/>
      </w:tblGrid>
      <w:tr w:rsidR="00BF2221" w14:paraId="0BA200DA" w14:textId="77777777" w:rsidTr="008D5A9C">
        <w:trPr>
          <w:trHeight w:val="546"/>
        </w:trPr>
        <w:tc>
          <w:tcPr>
            <w:tcW w:w="3113" w:type="dxa"/>
            <w:tcBorders>
              <w:top w:val="single" w:sz="4" w:space="0" w:color="4F81BD"/>
              <w:left w:val="single" w:sz="4" w:space="0" w:color="4F81BD"/>
              <w:bottom w:val="single" w:sz="4" w:space="0" w:color="4F81BD"/>
              <w:right w:val="single" w:sz="4" w:space="0" w:color="4F81BD"/>
            </w:tcBorders>
            <w:shd w:val="clear" w:color="auto" w:fill="DBE5F1"/>
          </w:tcPr>
          <w:p w14:paraId="7218F3D7" w14:textId="77777777" w:rsidR="00BF2221" w:rsidRDefault="00BF2221" w:rsidP="008D5A9C">
            <w:pPr>
              <w:spacing w:line="252" w:lineRule="auto"/>
              <w:ind w:left="4"/>
              <w:rPr>
                <w:szCs w:val="20"/>
                <w:lang w:eastAsia="en-ZA"/>
              </w:rPr>
            </w:pPr>
          </w:p>
          <w:p w14:paraId="424F8407" w14:textId="77777777" w:rsidR="00BF2221" w:rsidRDefault="00BF2221" w:rsidP="008D5A9C">
            <w:pPr>
              <w:spacing w:line="252" w:lineRule="auto"/>
            </w:pPr>
            <w:r>
              <w:rPr>
                <w:color w:val="0E1B8D"/>
                <w:lang w:eastAsia="en-ZA"/>
              </w:rPr>
              <w:t xml:space="preserve">RFB No: </w:t>
            </w:r>
          </w:p>
        </w:tc>
        <w:tc>
          <w:tcPr>
            <w:tcW w:w="6381" w:type="dxa"/>
            <w:tcBorders>
              <w:top w:val="single" w:sz="4" w:space="0" w:color="4F81BD"/>
              <w:left w:val="single" w:sz="4" w:space="0" w:color="4F81BD"/>
              <w:bottom w:val="single" w:sz="4" w:space="0" w:color="4F81BD"/>
              <w:right w:val="single" w:sz="4" w:space="0" w:color="4F81BD"/>
            </w:tcBorders>
          </w:tcPr>
          <w:p w14:paraId="7F88E35F" w14:textId="77777777" w:rsidR="00BF2221" w:rsidRDefault="00BF2221" w:rsidP="008D5A9C">
            <w:pPr>
              <w:spacing w:line="252" w:lineRule="auto"/>
              <w:ind w:left="5"/>
              <w:rPr>
                <w:color w:val="365F91"/>
                <w:lang w:eastAsia="en-ZA"/>
              </w:rPr>
            </w:pPr>
          </w:p>
          <w:p w14:paraId="4187A3C1" w14:textId="77777777" w:rsidR="00BF2221" w:rsidRDefault="00BF2221" w:rsidP="008D5A9C">
            <w:pPr>
              <w:spacing w:line="252" w:lineRule="auto"/>
              <w:ind w:left="5"/>
              <w:rPr>
                <w:color w:val="365F91"/>
                <w:lang w:eastAsia="en-ZA"/>
              </w:rPr>
            </w:pPr>
            <w:r>
              <w:rPr>
                <w:color w:val="365F91"/>
                <w:lang w:eastAsia="en-ZA"/>
              </w:rPr>
              <w:t>2899/2024</w:t>
            </w:r>
          </w:p>
        </w:tc>
      </w:tr>
      <w:tr w:rsidR="00BF2221" w14:paraId="1D85BD17" w14:textId="77777777" w:rsidTr="008D5A9C">
        <w:trPr>
          <w:trHeight w:val="1622"/>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61076796" w14:textId="77777777" w:rsidR="00BF2221" w:rsidRDefault="00BF2221" w:rsidP="008D5A9C">
            <w:pPr>
              <w:spacing w:line="252" w:lineRule="auto"/>
              <w:ind w:left="4"/>
              <w:rPr>
                <w:lang w:eastAsia="en-ZA"/>
              </w:rPr>
            </w:pPr>
            <w:r>
              <w:rPr>
                <w:color w:val="0E1B8D"/>
                <w:lang w:eastAsia="en-ZA"/>
              </w:rPr>
              <w:t xml:space="preserve">Description </w:t>
            </w:r>
          </w:p>
        </w:tc>
        <w:tc>
          <w:tcPr>
            <w:tcW w:w="6381" w:type="dxa"/>
            <w:tcBorders>
              <w:top w:val="single" w:sz="4" w:space="0" w:color="4F81BD"/>
              <w:left w:val="single" w:sz="4" w:space="0" w:color="4F81BD"/>
              <w:bottom w:val="single" w:sz="4" w:space="0" w:color="4F81BD"/>
              <w:right w:val="single" w:sz="4" w:space="0" w:color="4F81BD"/>
            </w:tcBorders>
          </w:tcPr>
          <w:p w14:paraId="741DCEC3" w14:textId="77777777" w:rsidR="00BF2221" w:rsidRDefault="00BF2221" w:rsidP="008D5A9C">
            <w:pPr>
              <w:spacing w:line="252" w:lineRule="auto"/>
              <w:ind w:left="5"/>
              <w:rPr>
                <w:rFonts w:cstheme="minorHAnsi"/>
                <w:bCs/>
                <w:color w:val="8064A2" w:themeColor="accent4"/>
                <w:lang w:eastAsia="en-ZA"/>
              </w:rPr>
            </w:pPr>
          </w:p>
          <w:p w14:paraId="369216E9" w14:textId="77777777" w:rsidR="00BF2221" w:rsidRPr="00C02FF6" w:rsidRDefault="00BF2221" w:rsidP="008D5A9C">
            <w:pPr>
              <w:spacing w:line="252" w:lineRule="auto"/>
              <w:ind w:left="5"/>
              <w:rPr>
                <w:color w:val="8064A2" w:themeColor="accent4"/>
                <w:sz w:val="24"/>
                <w:szCs w:val="24"/>
                <w:lang w:eastAsia="en-ZA"/>
              </w:rPr>
            </w:pPr>
            <w:r w:rsidRPr="00C02FF6">
              <w:rPr>
                <w:color w:val="17365D" w:themeColor="text2" w:themeShade="BF"/>
                <w:sz w:val="24"/>
                <w:szCs w:val="24"/>
              </w:rPr>
              <w:t>To renew the Veeam licenses for a Three (3) year period starting on 01 December 2024, thereby enabling SITA to render the services for which it is contracted to the DOD.</w:t>
            </w:r>
          </w:p>
        </w:tc>
      </w:tr>
      <w:tr w:rsidR="00BF2221" w14:paraId="426A68FE" w14:textId="77777777" w:rsidTr="008D5A9C">
        <w:trPr>
          <w:trHeight w:val="1508"/>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EB3EA08" w14:textId="77777777" w:rsidR="00BF2221" w:rsidRDefault="00BF2221" w:rsidP="008D5A9C">
            <w:pPr>
              <w:spacing w:line="252" w:lineRule="auto"/>
              <w:ind w:left="4"/>
              <w:rPr>
                <w:lang w:eastAsia="en-ZA"/>
              </w:rPr>
            </w:pPr>
            <w:r>
              <w:rPr>
                <w:color w:val="0E1B8D"/>
                <w:lang w:eastAsia="en-ZA"/>
              </w:rPr>
              <w:t xml:space="preserve"> </w:t>
            </w:r>
          </w:p>
          <w:p w14:paraId="4726041B" w14:textId="77777777" w:rsidR="00BF2221" w:rsidRDefault="00BF2221" w:rsidP="008D5A9C">
            <w:pPr>
              <w:spacing w:line="252" w:lineRule="auto"/>
              <w:ind w:left="4"/>
              <w:rPr>
                <w:lang w:eastAsia="en-ZA"/>
              </w:rPr>
            </w:pPr>
            <w:r>
              <w:rPr>
                <w:color w:val="0E1B8D"/>
                <w:lang w:eastAsia="en-ZA"/>
              </w:rPr>
              <w:t xml:space="preserve">Non-Compulsory </w:t>
            </w:r>
          </w:p>
          <w:p w14:paraId="1878596D" w14:textId="77777777" w:rsidR="00BF2221" w:rsidRDefault="00BF2221" w:rsidP="008D5A9C">
            <w:pPr>
              <w:spacing w:line="252" w:lineRule="auto"/>
              <w:ind w:left="4"/>
              <w:rPr>
                <w:lang w:eastAsia="en-ZA"/>
              </w:rPr>
            </w:pPr>
            <w:r>
              <w:rPr>
                <w:color w:val="0E1B8D"/>
                <w:lang w:eastAsia="en-ZA"/>
              </w:rPr>
              <w:t xml:space="preserve">Briefing Session  </w:t>
            </w:r>
          </w:p>
          <w:p w14:paraId="5C0B675D" w14:textId="77777777" w:rsidR="00BF2221" w:rsidRDefault="00BF2221" w:rsidP="008D5A9C">
            <w:pPr>
              <w:spacing w:line="252" w:lineRule="auto"/>
              <w:ind w:left="4"/>
              <w:rPr>
                <w:lang w:eastAsia="en-ZA"/>
              </w:rPr>
            </w:pPr>
            <w:r>
              <w:rPr>
                <w:color w:val="0E1B8D"/>
                <w:lang w:eastAsia="en-ZA"/>
              </w:rPr>
              <w:t xml:space="preserve"> </w:t>
            </w:r>
          </w:p>
        </w:tc>
        <w:tc>
          <w:tcPr>
            <w:tcW w:w="6381" w:type="dxa"/>
            <w:tcBorders>
              <w:top w:val="single" w:sz="4" w:space="0" w:color="4F81BD"/>
              <w:left w:val="single" w:sz="4" w:space="0" w:color="4F81BD"/>
              <w:bottom w:val="single" w:sz="4" w:space="0" w:color="4F81BD"/>
              <w:right w:val="single" w:sz="4" w:space="0" w:color="4F81BD"/>
            </w:tcBorders>
          </w:tcPr>
          <w:p w14:paraId="3C89408A" w14:textId="77777777" w:rsidR="00BF2221" w:rsidRDefault="00BF2221" w:rsidP="008D5A9C">
            <w:pPr>
              <w:spacing w:line="252" w:lineRule="auto"/>
              <w:rPr>
                <w:lang w:eastAsia="en-ZA"/>
              </w:rPr>
            </w:pPr>
          </w:p>
          <w:p w14:paraId="787DBB3B" w14:textId="7E17CB57" w:rsidR="00BF2221" w:rsidRPr="00C02FF6" w:rsidRDefault="00BF2221" w:rsidP="008D5A9C">
            <w:pPr>
              <w:spacing w:line="252" w:lineRule="auto"/>
              <w:ind w:left="5"/>
              <w:rPr>
                <w:lang w:eastAsia="en-ZA"/>
              </w:rPr>
            </w:pPr>
            <w:r>
              <w:rPr>
                <w:color w:val="0E1B8D"/>
                <w:lang w:eastAsia="en-ZA"/>
              </w:rPr>
              <w:t xml:space="preserve"> </w:t>
            </w:r>
            <w:r w:rsidR="00C02FF6" w:rsidRPr="00C02FF6">
              <w:rPr>
                <w:color w:val="0E1B8D"/>
                <w:lang w:eastAsia="en-ZA"/>
              </w:rPr>
              <w:t>1</w:t>
            </w:r>
            <w:r w:rsidR="00887C6C">
              <w:rPr>
                <w:color w:val="0E1B8D"/>
                <w:lang w:eastAsia="en-ZA"/>
              </w:rPr>
              <w:t>9</w:t>
            </w:r>
            <w:r w:rsidRPr="00C02FF6">
              <w:rPr>
                <w:color w:val="0E1B8D"/>
                <w:lang w:eastAsia="en-ZA"/>
              </w:rPr>
              <w:t xml:space="preserve"> Ju</w:t>
            </w:r>
            <w:r w:rsidR="00DD13E7">
              <w:rPr>
                <w:color w:val="0E1B8D"/>
                <w:lang w:eastAsia="en-ZA"/>
              </w:rPr>
              <w:t>ly</w:t>
            </w:r>
            <w:r w:rsidRPr="00C02FF6">
              <w:rPr>
                <w:color w:val="0E1B8D"/>
                <w:lang w:eastAsia="en-ZA"/>
              </w:rPr>
              <w:t xml:space="preserve"> </w:t>
            </w:r>
            <w:r w:rsidR="00C02FF6" w:rsidRPr="00C02FF6">
              <w:rPr>
                <w:color w:val="0E1B8D"/>
                <w:lang w:eastAsia="en-ZA"/>
              </w:rPr>
              <w:t>2024</w:t>
            </w:r>
          </w:p>
          <w:p w14:paraId="0A84C31E" w14:textId="6141D59B" w:rsidR="00BF2221" w:rsidRPr="00C02FF6" w:rsidRDefault="00BF2221" w:rsidP="008D5A9C">
            <w:pPr>
              <w:spacing w:after="90" w:line="252" w:lineRule="auto"/>
              <w:rPr>
                <w:lang w:eastAsia="en-ZA"/>
              </w:rPr>
            </w:pPr>
            <w:r w:rsidRPr="00C02FF6">
              <w:rPr>
                <w:color w:val="0E1B8D"/>
                <w:lang w:eastAsia="en-ZA"/>
              </w:rPr>
              <w:t>Time: 1</w:t>
            </w:r>
            <w:r w:rsidR="00310B0D">
              <w:rPr>
                <w:color w:val="0E1B8D"/>
                <w:lang w:eastAsia="en-ZA"/>
              </w:rPr>
              <w:t>1</w:t>
            </w:r>
            <w:r w:rsidRPr="00C02FF6">
              <w:rPr>
                <w:color w:val="0E1B8D"/>
                <w:lang w:eastAsia="en-ZA"/>
              </w:rPr>
              <w:t>:00 am – 1</w:t>
            </w:r>
            <w:r w:rsidR="00310B0D">
              <w:rPr>
                <w:color w:val="0E1B8D"/>
                <w:lang w:eastAsia="en-ZA"/>
              </w:rPr>
              <w:t>2</w:t>
            </w:r>
            <w:r w:rsidRPr="00C02FF6">
              <w:rPr>
                <w:color w:val="0E1B8D"/>
                <w:lang w:eastAsia="en-ZA"/>
              </w:rPr>
              <w:t xml:space="preserve">:00 pm (South African Time) </w:t>
            </w:r>
          </w:p>
          <w:p w14:paraId="223E12F8" w14:textId="6DAEECE9" w:rsidR="00BF2221" w:rsidRDefault="00BF2221" w:rsidP="008D5A9C">
            <w:pPr>
              <w:spacing w:line="252" w:lineRule="auto"/>
              <w:rPr>
                <w:lang w:eastAsia="en-ZA"/>
              </w:rPr>
            </w:pPr>
            <w:r w:rsidRPr="00C02FF6">
              <w:rPr>
                <w:color w:val="0E1B8D"/>
                <w:lang w:eastAsia="en-ZA"/>
              </w:rPr>
              <w:t>Place: Microsoft Teams:</w:t>
            </w:r>
            <w:r w:rsidRPr="00C02FF6">
              <w:t xml:space="preserve"> </w:t>
            </w:r>
            <w:hyperlink r:id="rId11" w:tgtFrame="_blank" w:tooltip="Meeting join link" w:history="1">
              <w:r w:rsidR="002D5DEA">
                <w:rPr>
                  <w:rStyle w:val="Strong"/>
                  <w:color w:val="0000FF"/>
                  <w:u w:val="single"/>
                </w:rPr>
                <w:t>Join the meeting now</w:t>
              </w:r>
            </w:hyperlink>
          </w:p>
        </w:tc>
      </w:tr>
      <w:tr w:rsidR="00BF2221" w14:paraId="54C00664" w14:textId="77777777" w:rsidTr="008D5A9C">
        <w:trPr>
          <w:trHeight w:val="1085"/>
        </w:trPr>
        <w:tc>
          <w:tcPr>
            <w:tcW w:w="3113" w:type="dxa"/>
            <w:tcBorders>
              <w:top w:val="single" w:sz="4" w:space="0" w:color="4F81BD"/>
              <w:left w:val="single" w:sz="4" w:space="0" w:color="4F81BD"/>
              <w:bottom w:val="single" w:sz="4" w:space="0" w:color="4F81BD"/>
              <w:right w:val="single" w:sz="4" w:space="0" w:color="4F81BD"/>
            </w:tcBorders>
            <w:shd w:val="clear" w:color="auto" w:fill="DBE5F1"/>
            <w:hideMark/>
          </w:tcPr>
          <w:p w14:paraId="074ABB42" w14:textId="77777777" w:rsidR="00BF2221" w:rsidRDefault="00BF2221" w:rsidP="008D5A9C">
            <w:pPr>
              <w:spacing w:line="252" w:lineRule="auto"/>
              <w:ind w:left="4"/>
              <w:rPr>
                <w:lang w:eastAsia="en-ZA"/>
              </w:rPr>
            </w:pPr>
            <w:r>
              <w:rPr>
                <w:color w:val="0E1B8D"/>
                <w:lang w:eastAsia="en-ZA"/>
              </w:rPr>
              <w:t xml:space="preserve"> </w:t>
            </w:r>
          </w:p>
          <w:p w14:paraId="58FE846E" w14:textId="77777777" w:rsidR="00BF2221" w:rsidRDefault="00BF2221" w:rsidP="008D5A9C">
            <w:pPr>
              <w:spacing w:line="230" w:lineRule="auto"/>
              <w:ind w:left="4"/>
              <w:rPr>
                <w:lang w:eastAsia="en-ZA"/>
              </w:rPr>
            </w:pPr>
            <w:r>
              <w:rPr>
                <w:color w:val="0E1B8D"/>
                <w:lang w:eastAsia="en-ZA"/>
              </w:rPr>
              <w:t xml:space="preserve">Closing Date for questions / queries </w:t>
            </w:r>
          </w:p>
          <w:p w14:paraId="372B454E" w14:textId="77777777" w:rsidR="00BF2221" w:rsidRDefault="00BF2221" w:rsidP="008D5A9C">
            <w:pPr>
              <w:spacing w:line="252" w:lineRule="auto"/>
              <w:ind w:left="4"/>
              <w:rPr>
                <w:lang w:eastAsia="en-ZA"/>
              </w:rPr>
            </w:pPr>
            <w:r>
              <w:rPr>
                <w:color w:val="0E1B8D"/>
                <w:lang w:eastAsia="en-ZA"/>
              </w:rPr>
              <w:t xml:space="preserve"> </w:t>
            </w:r>
          </w:p>
        </w:tc>
        <w:tc>
          <w:tcPr>
            <w:tcW w:w="6381" w:type="dxa"/>
            <w:tcBorders>
              <w:top w:val="single" w:sz="4" w:space="0" w:color="4F81BD"/>
              <w:left w:val="single" w:sz="4" w:space="0" w:color="4F81BD"/>
              <w:bottom w:val="single" w:sz="4" w:space="0" w:color="4F81BD"/>
              <w:right w:val="single" w:sz="4" w:space="0" w:color="4F81BD"/>
            </w:tcBorders>
            <w:vAlign w:val="center"/>
            <w:hideMark/>
          </w:tcPr>
          <w:p w14:paraId="120E96E8" w14:textId="7525A4CE" w:rsidR="00BF2221" w:rsidRDefault="00C02FF6" w:rsidP="008D5A9C">
            <w:pPr>
              <w:spacing w:line="252" w:lineRule="auto"/>
              <w:ind w:left="5"/>
              <w:rPr>
                <w:lang w:eastAsia="en-ZA"/>
              </w:rPr>
            </w:pPr>
            <w:r w:rsidRPr="00C02FF6">
              <w:rPr>
                <w:color w:val="FF0000"/>
                <w:lang w:eastAsia="en-ZA"/>
              </w:rPr>
              <w:t>29</w:t>
            </w:r>
            <w:r w:rsidR="00BF2221" w:rsidRPr="00C02FF6">
              <w:rPr>
                <w:color w:val="FF0000"/>
                <w:lang w:eastAsia="en-ZA"/>
              </w:rPr>
              <w:t xml:space="preserve"> July 2024 at 16:30</w:t>
            </w:r>
            <w:r w:rsidR="00BF2221">
              <w:rPr>
                <w:color w:val="1F497D"/>
                <w:lang w:eastAsia="en-ZA"/>
              </w:rPr>
              <w:t xml:space="preserve"> </w:t>
            </w:r>
          </w:p>
        </w:tc>
      </w:tr>
      <w:tr w:rsidR="00BF2221" w14:paraId="6016F6E9" w14:textId="77777777" w:rsidTr="008D5A9C">
        <w:trPr>
          <w:trHeight w:val="816"/>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65C20870" w14:textId="77777777" w:rsidR="00BF2221" w:rsidRDefault="00BF2221" w:rsidP="008D5A9C">
            <w:pPr>
              <w:spacing w:line="252" w:lineRule="auto"/>
              <w:ind w:left="4"/>
              <w:rPr>
                <w:lang w:eastAsia="en-ZA"/>
              </w:rPr>
            </w:pPr>
            <w:r>
              <w:rPr>
                <w:color w:val="0E1B8D"/>
                <w:lang w:eastAsia="en-ZA"/>
              </w:rPr>
              <w:t xml:space="preserve">Bid Response Submission Address  </w:t>
            </w:r>
          </w:p>
        </w:tc>
        <w:tc>
          <w:tcPr>
            <w:tcW w:w="6381" w:type="dxa"/>
            <w:tcBorders>
              <w:top w:val="single" w:sz="4" w:space="0" w:color="4F81BD"/>
              <w:left w:val="single" w:sz="4" w:space="0" w:color="4F81BD"/>
              <w:bottom w:val="single" w:sz="4" w:space="0" w:color="4F81BD"/>
              <w:right w:val="single" w:sz="4" w:space="0" w:color="4F81BD"/>
            </w:tcBorders>
            <w:hideMark/>
          </w:tcPr>
          <w:p w14:paraId="5FCA8FEB" w14:textId="77777777" w:rsidR="00BF2221" w:rsidRDefault="00BF2221" w:rsidP="008D5A9C">
            <w:pPr>
              <w:spacing w:line="252" w:lineRule="auto"/>
              <w:ind w:left="5"/>
              <w:rPr>
                <w:lang w:eastAsia="en-ZA"/>
              </w:rPr>
            </w:pPr>
            <w:r>
              <w:rPr>
                <w:color w:val="1F497D"/>
                <w:lang w:eastAsia="en-ZA"/>
              </w:rPr>
              <w:t xml:space="preserve">Tender Office </w:t>
            </w:r>
          </w:p>
          <w:p w14:paraId="79002566" w14:textId="77777777" w:rsidR="00BF2221" w:rsidRDefault="00BF2221" w:rsidP="008D5A9C">
            <w:pPr>
              <w:spacing w:line="252" w:lineRule="auto"/>
              <w:ind w:left="5"/>
              <w:rPr>
                <w:lang w:eastAsia="en-ZA"/>
              </w:rPr>
            </w:pPr>
            <w:r>
              <w:rPr>
                <w:color w:val="1F497D"/>
                <w:lang w:eastAsia="en-ZA"/>
              </w:rPr>
              <w:t xml:space="preserve">459 Tsitsa Street, Erasmuskloof, Pretoria,  0105  </w:t>
            </w:r>
          </w:p>
          <w:p w14:paraId="15A7C400" w14:textId="77777777" w:rsidR="00BF2221" w:rsidRDefault="00BF2221" w:rsidP="008D5A9C">
            <w:pPr>
              <w:spacing w:line="252" w:lineRule="auto"/>
              <w:ind w:left="5"/>
              <w:rPr>
                <w:lang w:eastAsia="en-ZA"/>
              </w:rPr>
            </w:pPr>
            <w:r>
              <w:rPr>
                <w:color w:val="1F497D"/>
                <w:lang w:eastAsia="en-ZA"/>
              </w:rPr>
              <w:t xml:space="preserve"> </w:t>
            </w:r>
          </w:p>
        </w:tc>
      </w:tr>
      <w:tr w:rsidR="00BF2221" w14:paraId="3283B32F" w14:textId="77777777" w:rsidTr="008D5A9C">
        <w:trPr>
          <w:trHeight w:val="1085"/>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6C0B2A59" w14:textId="77777777" w:rsidR="00BF2221" w:rsidRDefault="00BF2221" w:rsidP="008D5A9C">
            <w:pPr>
              <w:spacing w:line="252" w:lineRule="auto"/>
              <w:ind w:left="4"/>
              <w:rPr>
                <w:lang w:eastAsia="en-ZA"/>
              </w:rPr>
            </w:pPr>
            <w:r>
              <w:rPr>
                <w:color w:val="0E1B8D"/>
                <w:lang w:eastAsia="en-ZA"/>
              </w:rPr>
              <w:t xml:space="preserve">RFB Closing Details and Time </w:t>
            </w:r>
          </w:p>
        </w:tc>
        <w:tc>
          <w:tcPr>
            <w:tcW w:w="6381" w:type="dxa"/>
            <w:tcBorders>
              <w:top w:val="single" w:sz="4" w:space="0" w:color="4F81BD"/>
              <w:left w:val="single" w:sz="4" w:space="0" w:color="4F81BD"/>
              <w:bottom w:val="single" w:sz="4" w:space="0" w:color="4F81BD"/>
              <w:right w:val="single" w:sz="4" w:space="0" w:color="4F81BD"/>
            </w:tcBorders>
            <w:hideMark/>
          </w:tcPr>
          <w:p w14:paraId="03649325" w14:textId="77777777" w:rsidR="00BF2221" w:rsidRDefault="00BF2221" w:rsidP="008D5A9C">
            <w:pPr>
              <w:spacing w:line="252" w:lineRule="auto"/>
              <w:ind w:left="5"/>
              <w:rPr>
                <w:lang w:eastAsia="en-ZA"/>
              </w:rPr>
            </w:pPr>
            <w:r>
              <w:rPr>
                <w:color w:val="1F497D"/>
                <w:lang w:eastAsia="en-ZA"/>
              </w:rPr>
              <w:t xml:space="preserve"> </w:t>
            </w:r>
          </w:p>
          <w:p w14:paraId="446D9AD4" w14:textId="3547B6C5" w:rsidR="00BF2221" w:rsidRPr="00C02FF6" w:rsidRDefault="00BF2221" w:rsidP="008D5A9C">
            <w:pPr>
              <w:spacing w:line="252" w:lineRule="auto"/>
              <w:ind w:left="5"/>
              <w:rPr>
                <w:lang w:eastAsia="en-ZA"/>
              </w:rPr>
            </w:pPr>
            <w:r w:rsidRPr="00C02FF6">
              <w:rPr>
                <w:color w:val="1F497D"/>
                <w:lang w:eastAsia="en-ZA"/>
              </w:rPr>
              <w:t xml:space="preserve">Date:  </w:t>
            </w:r>
            <w:r w:rsidR="00C02FF6" w:rsidRPr="00C02FF6">
              <w:rPr>
                <w:color w:val="1F497D"/>
                <w:lang w:eastAsia="en-ZA"/>
              </w:rPr>
              <w:t>0</w:t>
            </w:r>
            <w:r w:rsidR="00310B0D">
              <w:rPr>
                <w:color w:val="1F497D"/>
                <w:lang w:eastAsia="en-ZA"/>
              </w:rPr>
              <w:t>5</w:t>
            </w:r>
            <w:r w:rsidR="00C02FF6" w:rsidRPr="00C02FF6">
              <w:rPr>
                <w:color w:val="1F497D"/>
                <w:lang w:eastAsia="en-ZA"/>
              </w:rPr>
              <w:t xml:space="preserve"> August</w:t>
            </w:r>
            <w:r w:rsidRPr="00C02FF6">
              <w:rPr>
                <w:color w:val="1F497D"/>
                <w:lang w:eastAsia="en-ZA"/>
              </w:rPr>
              <w:t xml:space="preserve"> 2024 </w:t>
            </w:r>
          </w:p>
          <w:p w14:paraId="3BD98D2F" w14:textId="77777777" w:rsidR="00BF2221" w:rsidRDefault="00BF2221" w:rsidP="008D5A9C">
            <w:pPr>
              <w:spacing w:line="252" w:lineRule="auto"/>
              <w:ind w:left="5"/>
              <w:rPr>
                <w:lang w:eastAsia="en-ZA"/>
              </w:rPr>
            </w:pPr>
            <w:r w:rsidRPr="00C02FF6">
              <w:rPr>
                <w:color w:val="1F497D"/>
                <w:lang w:eastAsia="en-ZA"/>
              </w:rPr>
              <w:t>Time: 11:00 (South African Time)</w:t>
            </w:r>
            <w:r>
              <w:rPr>
                <w:color w:val="1F497D"/>
                <w:lang w:eastAsia="en-ZA"/>
              </w:rPr>
              <w:t xml:space="preserve"> </w:t>
            </w:r>
          </w:p>
          <w:p w14:paraId="240A1992" w14:textId="77777777" w:rsidR="00BF2221" w:rsidRDefault="00BF2221" w:rsidP="008D5A9C">
            <w:pPr>
              <w:spacing w:line="252" w:lineRule="auto"/>
              <w:ind w:left="5"/>
              <w:rPr>
                <w:lang w:eastAsia="en-ZA"/>
              </w:rPr>
            </w:pPr>
            <w:r>
              <w:rPr>
                <w:color w:val="1F497D"/>
                <w:lang w:eastAsia="en-ZA"/>
              </w:rPr>
              <w:t xml:space="preserve"> </w:t>
            </w:r>
          </w:p>
        </w:tc>
      </w:tr>
      <w:tr w:rsidR="00BF2221" w14:paraId="406F1556" w14:textId="77777777" w:rsidTr="008D5A9C">
        <w:trPr>
          <w:trHeight w:val="575"/>
        </w:trPr>
        <w:tc>
          <w:tcPr>
            <w:tcW w:w="311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17DCDF2" w14:textId="77777777" w:rsidR="00BF2221" w:rsidRDefault="00BF2221" w:rsidP="008D5A9C">
            <w:pPr>
              <w:spacing w:line="252" w:lineRule="auto"/>
              <w:ind w:left="4"/>
              <w:rPr>
                <w:lang w:eastAsia="en-ZA"/>
              </w:rPr>
            </w:pPr>
            <w:r>
              <w:rPr>
                <w:color w:val="0E1B8D"/>
                <w:lang w:eastAsia="en-ZA"/>
              </w:rPr>
              <w:t xml:space="preserve">RFB Validity Period </w:t>
            </w:r>
          </w:p>
        </w:tc>
        <w:tc>
          <w:tcPr>
            <w:tcW w:w="6381" w:type="dxa"/>
            <w:tcBorders>
              <w:top w:val="single" w:sz="4" w:space="0" w:color="4F81BD"/>
              <w:left w:val="single" w:sz="4" w:space="0" w:color="4F81BD"/>
              <w:bottom w:val="single" w:sz="4" w:space="0" w:color="4F81BD"/>
              <w:right w:val="single" w:sz="4" w:space="0" w:color="4F81BD"/>
            </w:tcBorders>
            <w:vAlign w:val="center"/>
            <w:hideMark/>
          </w:tcPr>
          <w:p w14:paraId="52527569" w14:textId="77777777" w:rsidR="00BF2221" w:rsidRDefault="00BF2221" w:rsidP="008D5A9C">
            <w:pPr>
              <w:spacing w:line="252" w:lineRule="auto"/>
              <w:ind w:left="5"/>
              <w:rPr>
                <w:lang w:eastAsia="en-ZA"/>
              </w:rPr>
            </w:pPr>
            <w:r>
              <w:rPr>
                <w:color w:val="1F497D"/>
                <w:lang w:eastAsia="en-ZA"/>
              </w:rPr>
              <w:t xml:space="preserve">200 Days from the Closing Date  </w:t>
            </w:r>
          </w:p>
        </w:tc>
      </w:tr>
    </w:tbl>
    <w:p w14:paraId="5172B109" w14:textId="77777777" w:rsidR="00BF2221" w:rsidRDefault="00BF2221" w:rsidP="00BF2221">
      <w:pPr>
        <w:jc w:val="left"/>
      </w:pPr>
    </w:p>
    <w:p w14:paraId="7CF6D38D" w14:textId="57401BAD" w:rsidR="005758C0" w:rsidRPr="00BF2221" w:rsidRDefault="00A22E66" w:rsidP="00BF2221">
      <w:pPr>
        <w:jc w:val="left"/>
        <w:rPr>
          <w:color w:val="4F81BD" w:themeColor="accent1"/>
          <w:sz w:val="40"/>
          <w:szCs w:val="40"/>
        </w:rPr>
      </w:pPr>
      <w:r w:rsidRPr="00BF2221">
        <w:rPr>
          <w:color w:val="4F81BD" w:themeColor="accent1"/>
          <w:sz w:val="40"/>
          <w:szCs w:val="40"/>
        </w:rPr>
        <w:lastRenderedPageBreak/>
        <w:t>Contents</w:t>
      </w:r>
    </w:p>
    <w:p w14:paraId="2230EB33" w14:textId="0F02C5A8" w:rsidR="002029E7" w:rsidRDefault="00A22E66">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61436998" w:history="1">
        <w:r w:rsidR="002029E7" w:rsidRPr="0035732F">
          <w:rPr>
            <w:rStyle w:val="Hyperlink"/>
            <w:noProof/>
          </w:rPr>
          <w:t>1.</w:t>
        </w:r>
        <w:r w:rsidR="002029E7">
          <w:rPr>
            <w:rFonts w:asciiTheme="minorHAnsi" w:eastAsiaTheme="minorEastAsia" w:hAnsiTheme="minorHAnsi" w:cstheme="minorBidi"/>
            <w:b w:val="0"/>
            <w:noProof/>
            <w:lang w:eastAsia="en-ZA"/>
          </w:rPr>
          <w:tab/>
        </w:r>
        <w:r w:rsidR="002029E7" w:rsidRPr="0035732F">
          <w:rPr>
            <w:rStyle w:val="Hyperlink"/>
            <w:noProof/>
          </w:rPr>
          <w:t>Introduction</w:t>
        </w:r>
        <w:r w:rsidR="002029E7">
          <w:rPr>
            <w:noProof/>
            <w:webHidden/>
          </w:rPr>
          <w:tab/>
        </w:r>
        <w:r w:rsidR="002029E7">
          <w:rPr>
            <w:noProof/>
            <w:webHidden/>
          </w:rPr>
          <w:fldChar w:fldCharType="begin"/>
        </w:r>
        <w:r w:rsidR="002029E7">
          <w:rPr>
            <w:noProof/>
            <w:webHidden/>
          </w:rPr>
          <w:instrText xml:space="preserve"> PAGEREF _Toc161436998 \h </w:instrText>
        </w:r>
        <w:r w:rsidR="002029E7">
          <w:rPr>
            <w:noProof/>
            <w:webHidden/>
          </w:rPr>
        </w:r>
        <w:r w:rsidR="002029E7">
          <w:rPr>
            <w:noProof/>
            <w:webHidden/>
          </w:rPr>
          <w:fldChar w:fldCharType="separate"/>
        </w:r>
        <w:r w:rsidR="002029E7">
          <w:rPr>
            <w:noProof/>
            <w:webHidden/>
          </w:rPr>
          <w:t>3</w:t>
        </w:r>
        <w:r w:rsidR="002029E7">
          <w:rPr>
            <w:noProof/>
            <w:webHidden/>
          </w:rPr>
          <w:fldChar w:fldCharType="end"/>
        </w:r>
      </w:hyperlink>
    </w:p>
    <w:p w14:paraId="49BBC2D7" w14:textId="18DCCF53" w:rsidR="002029E7" w:rsidRDefault="00000000">
      <w:pPr>
        <w:pStyle w:val="TOC2"/>
        <w:rPr>
          <w:rFonts w:asciiTheme="minorHAnsi" w:eastAsiaTheme="minorEastAsia" w:hAnsiTheme="minorHAnsi" w:cstheme="minorBidi"/>
          <w:noProof/>
          <w:lang w:eastAsia="en-ZA"/>
        </w:rPr>
      </w:pPr>
      <w:hyperlink w:anchor="_Toc161436999" w:history="1">
        <w:r w:rsidR="002029E7" w:rsidRPr="0035732F">
          <w:rPr>
            <w:rStyle w:val="Hyperlink"/>
            <w:rFonts w:cstheme="minorHAnsi"/>
            <w:noProof/>
          </w:rPr>
          <w:t>1.1</w:t>
        </w:r>
        <w:r w:rsidR="002029E7">
          <w:rPr>
            <w:rFonts w:asciiTheme="minorHAnsi" w:eastAsiaTheme="minorEastAsia" w:hAnsiTheme="minorHAnsi" w:cstheme="minorBidi"/>
            <w:noProof/>
            <w:lang w:eastAsia="en-ZA"/>
          </w:rPr>
          <w:tab/>
        </w:r>
        <w:r w:rsidR="002029E7" w:rsidRPr="0035732F">
          <w:rPr>
            <w:rStyle w:val="Hyperlink"/>
            <w:noProof/>
          </w:rPr>
          <w:t>Background</w:t>
        </w:r>
        <w:r w:rsidR="002029E7">
          <w:rPr>
            <w:noProof/>
            <w:webHidden/>
          </w:rPr>
          <w:tab/>
        </w:r>
        <w:r w:rsidR="002029E7">
          <w:rPr>
            <w:noProof/>
            <w:webHidden/>
          </w:rPr>
          <w:fldChar w:fldCharType="begin"/>
        </w:r>
        <w:r w:rsidR="002029E7">
          <w:rPr>
            <w:noProof/>
            <w:webHidden/>
          </w:rPr>
          <w:instrText xml:space="preserve"> PAGEREF _Toc161436999 \h </w:instrText>
        </w:r>
        <w:r w:rsidR="002029E7">
          <w:rPr>
            <w:noProof/>
            <w:webHidden/>
          </w:rPr>
        </w:r>
        <w:r w:rsidR="002029E7">
          <w:rPr>
            <w:noProof/>
            <w:webHidden/>
          </w:rPr>
          <w:fldChar w:fldCharType="separate"/>
        </w:r>
        <w:r w:rsidR="002029E7">
          <w:rPr>
            <w:noProof/>
            <w:webHidden/>
          </w:rPr>
          <w:t>3</w:t>
        </w:r>
        <w:r w:rsidR="002029E7">
          <w:rPr>
            <w:noProof/>
            <w:webHidden/>
          </w:rPr>
          <w:fldChar w:fldCharType="end"/>
        </w:r>
      </w:hyperlink>
    </w:p>
    <w:p w14:paraId="432E9E9A" w14:textId="42F67625" w:rsidR="002029E7" w:rsidRDefault="00000000">
      <w:pPr>
        <w:pStyle w:val="TOC1"/>
        <w:rPr>
          <w:rFonts w:asciiTheme="minorHAnsi" w:eastAsiaTheme="minorEastAsia" w:hAnsiTheme="minorHAnsi" w:cstheme="minorBidi"/>
          <w:b w:val="0"/>
          <w:noProof/>
          <w:lang w:eastAsia="en-ZA"/>
        </w:rPr>
      </w:pPr>
      <w:hyperlink w:anchor="_Toc161437000" w:history="1">
        <w:r w:rsidR="002029E7" w:rsidRPr="0035732F">
          <w:rPr>
            <w:rStyle w:val="Hyperlink"/>
            <w:noProof/>
          </w:rPr>
          <w:t>2.</w:t>
        </w:r>
        <w:r w:rsidR="002029E7">
          <w:rPr>
            <w:rFonts w:asciiTheme="minorHAnsi" w:eastAsiaTheme="minorEastAsia" w:hAnsiTheme="minorHAnsi" w:cstheme="minorBidi"/>
            <w:b w:val="0"/>
            <w:noProof/>
            <w:lang w:eastAsia="en-ZA"/>
          </w:rPr>
          <w:tab/>
        </w:r>
        <w:r w:rsidR="002029E7" w:rsidRPr="0035732F">
          <w:rPr>
            <w:rStyle w:val="Hyperlink"/>
            <w:noProof/>
          </w:rPr>
          <w:t>Scope of Bid</w:t>
        </w:r>
        <w:r w:rsidR="002029E7">
          <w:rPr>
            <w:noProof/>
            <w:webHidden/>
          </w:rPr>
          <w:tab/>
        </w:r>
        <w:r w:rsidR="002029E7">
          <w:rPr>
            <w:noProof/>
            <w:webHidden/>
          </w:rPr>
          <w:fldChar w:fldCharType="begin"/>
        </w:r>
        <w:r w:rsidR="002029E7">
          <w:rPr>
            <w:noProof/>
            <w:webHidden/>
          </w:rPr>
          <w:instrText xml:space="preserve"> PAGEREF _Toc161437000 \h </w:instrText>
        </w:r>
        <w:r w:rsidR="002029E7">
          <w:rPr>
            <w:noProof/>
            <w:webHidden/>
          </w:rPr>
        </w:r>
        <w:r w:rsidR="002029E7">
          <w:rPr>
            <w:noProof/>
            <w:webHidden/>
          </w:rPr>
          <w:fldChar w:fldCharType="separate"/>
        </w:r>
        <w:r w:rsidR="002029E7">
          <w:rPr>
            <w:noProof/>
            <w:webHidden/>
          </w:rPr>
          <w:t>3</w:t>
        </w:r>
        <w:r w:rsidR="002029E7">
          <w:rPr>
            <w:noProof/>
            <w:webHidden/>
          </w:rPr>
          <w:fldChar w:fldCharType="end"/>
        </w:r>
      </w:hyperlink>
    </w:p>
    <w:p w14:paraId="6E875462" w14:textId="10B47E42" w:rsidR="002029E7" w:rsidRDefault="00000000">
      <w:pPr>
        <w:pStyle w:val="TOC2"/>
        <w:rPr>
          <w:rFonts w:asciiTheme="minorHAnsi" w:eastAsiaTheme="minorEastAsia" w:hAnsiTheme="minorHAnsi" w:cstheme="minorBidi"/>
          <w:noProof/>
          <w:lang w:eastAsia="en-ZA"/>
        </w:rPr>
      </w:pPr>
      <w:hyperlink w:anchor="_Toc161437001" w:history="1">
        <w:r w:rsidR="002029E7" w:rsidRPr="0035732F">
          <w:rPr>
            <w:rStyle w:val="Hyperlink"/>
            <w:noProof/>
          </w:rPr>
          <w:t>2.1</w:t>
        </w:r>
        <w:r w:rsidR="002029E7">
          <w:rPr>
            <w:rFonts w:asciiTheme="minorHAnsi" w:eastAsiaTheme="minorEastAsia" w:hAnsiTheme="minorHAnsi" w:cstheme="minorBidi"/>
            <w:noProof/>
            <w:lang w:eastAsia="en-ZA"/>
          </w:rPr>
          <w:tab/>
        </w:r>
        <w:r w:rsidR="002029E7" w:rsidRPr="0035732F">
          <w:rPr>
            <w:rStyle w:val="Hyperlink"/>
            <w:noProof/>
          </w:rPr>
          <w:t>Scope of Work</w:t>
        </w:r>
        <w:r w:rsidR="002029E7">
          <w:rPr>
            <w:noProof/>
            <w:webHidden/>
          </w:rPr>
          <w:tab/>
        </w:r>
        <w:r w:rsidR="002029E7">
          <w:rPr>
            <w:noProof/>
            <w:webHidden/>
          </w:rPr>
          <w:fldChar w:fldCharType="begin"/>
        </w:r>
        <w:r w:rsidR="002029E7">
          <w:rPr>
            <w:noProof/>
            <w:webHidden/>
          </w:rPr>
          <w:instrText xml:space="preserve"> PAGEREF _Toc161437001 \h </w:instrText>
        </w:r>
        <w:r w:rsidR="002029E7">
          <w:rPr>
            <w:noProof/>
            <w:webHidden/>
          </w:rPr>
        </w:r>
        <w:r w:rsidR="002029E7">
          <w:rPr>
            <w:noProof/>
            <w:webHidden/>
          </w:rPr>
          <w:fldChar w:fldCharType="separate"/>
        </w:r>
        <w:r w:rsidR="002029E7">
          <w:rPr>
            <w:noProof/>
            <w:webHidden/>
          </w:rPr>
          <w:t>3</w:t>
        </w:r>
        <w:r w:rsidR="002029E7">
          <w:rPr>
            <w:noProof/>
            <w:webHidden/>
          </w:rPr>
          <w:fldChar w:fldCharType="end"/>
        </w:r>
      </w:hyperlink>
    </w:p>
    <w:p w14:paraId="58BD16A8" w14:textId="42CABDBE" w:rsidR="002029E7" w:rsidRDefault="00000000">
      <w:pPr>
        <w:pStyle w:val="TOC2"/>
        <w:rPr>
          <w:rFonts w:asciiTheme="minorHAnsi" w:eastAsiaTheme="minorEastAsia" w:hAnsiTheme="minorHAnsi" w:cstheme="minorBidi"/>
          <w:noProof/>
          <w:lang w:eastAsia="en-ZA"/>
        </w:rPr>
      </w:pPr>
      <w:hyperlink w:anchor="_Toc161437002" w:history="1">
        <w:r w:rsidR="002029E7" w:rsidRPr="0035732F">
          <w:rPr>
            <w:rStyle w:val="Hyperlink"/>
            <w:noProof/>
          </w:rPr>
          <w:t>2.2</w:t>
        </w:r>
        <w:r w:rsidR="002029E7">
          <w:rPr>
            <w:rFonts w:asciiTheme="minorHAnsi" w:eastAsiaTheme="minorEastAsia" w:hAnsiTheme="minorHAnsi" w:cstheme="minorBidi"/>
            <w:noProof/>
            <w:lang w:eastAsia="en-ZA"/>
          </w:rPr>
          <w:tab/>
        </w:r>
        <w:r w:rsidR="002029E7" w:rsidRPr="0035732F">
          <w:rPr>
            <w:rStyle w:val="Hyperlink"/>
            <w:noProof/>
          </w:rPr>
          <w:t>Delivery address</w:t>
        </w:r>
        <w:r w:rsidR="002029E7">
          <w:rPr>
            <w:noProof/>
            <w:webHidden/>
          </w:rPr>
          <w:tab/>
        </w:r>
        <w:r w:rsidR="002029E7">
          <w:rPr>
            <w:noProof/>
            <w:webHidden/>
          </w:rPr>
          <w:fldChar w:fldCharType="begin"/>
        </w:r>
        <w:r w:rsidR="002029E7">
          <w:rPr>
            <w:noProof/>
            <w:webHidden/>
          </w:rPr>
          <w:instrText xml:space="preserve"> PAGEREF _Toc161437002 \h </w:instrText>
        </w:r>
        <w:r w:rsidR="002029E7">
          <w:rPr>
            <w:noProof/>
            <w:webHidden/>
          </w:rPr>
        </w:r>
        <w:r w:rsidR="002029E7">
          <w:rPr>
            <w:noProof/>
            <w:webHidden/>
          </w:rPr>
          <w:fldChar w:fldCharType="separate"/>
        </w:r>
        <w:r w:rsidR="002029E7">
          <w:rPr>
            <w:noProof/>
            <w:webHidden/>
          </w:rPr>
          <w:t>3</w:t>
        </w:r>
        <w:r w:rsidR="002029E7">
          <w:rPr>
            <w:noProof/>
            <w:webHidden/>
          </w:rPr>
          <w:fldChar w:fldCharType="end"/>
        </w:r>
      </w:hyperlink>
    </w:p>
    <w:p w14:paraId="691B09F7" w14:textId="4DCB01E9" w:rsidR="002029E7" w:rsidRDefault="00000000">
      <w:pPr>
        <w:pStyle w:val="TOC2"/>
        <w:rPr>
          <w:rFonts w:asciiTheme="minorHAnsi" w:eastAsiaTheme="minorEastAsia" w:hAnsiTheme="minorHAnsi" w:cstheme="minorBidi"/>
          <w:noProof/>
          <w:lang w:eastAsia="en-ZA"/>
        </w:rPr>
      </w:pPr>
      <w:hyperlink w:anchor="_Toc161437003" w:history="1">
        <w:r w:rsidR="002029E7" w:rsidRPr="0035732F">
          <w:rPr>
            <w:rStyle w:val="Hyperlink"/>
            <w:noProof/>
          </w:rPr>
          <w:t>2.3</w:t>
        </w:r>
        <w:r w:rsidR="002029E7">
          <w:rPr>
            <w:rFonts w:asciiTheme="minorHAnsi" w:eastAsiaTheme="minorEastAsia" w:hAnsiTheme="minorHAnsi" w:cstheme="minorBidi"/>
            <w:noProof/>
            <w:lang w:eastAsia="en-ZA"/>
          </w:rPr>
          <w:tab/>
        </w:r>
        <w:r w:rsidR="002029E7" w:rsidRPr="0035732F">
          <w:rPr>
            <w:rStyle w:val="Hyperlink"/>
            <w:noProof/>
          </w:rPr>
          <w:t>Customer Infrastructure and environment requirements</w:t>
        </w:r>
        <w:r w:rsidR="002029E7">
          <w:rPr>
            <w:noProof/>
            <w:webHidden/>
          </w:rPr>
          <w:tab/>
        </w:r>
        <w:r w:rsidR="002029E7">
          <w:rPr>
            <w:noProof/>
            <w:webHidden/>
          </w:rPr>
          <w:fldChar w:fldCharType="begin"/>
        </w:r>
        <w:r w:rsidR="002029E7">
          <w:rPr>
            <w:noProof/>
            <w:webHidden/>
          </w:rPr>
          <w:instrText xml:space="preserve"> PAGEREF _Toc161437003 \h </w:instrText>
        </w:r>
        <w:r w:rsidR="002029E7">
          <w:rPr>
            <w:noProof/>
            <w:webHidden/>
          </w:rPr>
        </w:r>
        <w:r w:rsidR="002029E7">
          <w:rPr>
            <w:noProof/>
            <w:webHidden/>
          </w:rPr>
          <w:fldChar w:fldCharType="separate"/>
        </w:r>
        <w:r w:rsidR="002029E7">
          <w:rPr>
            <w:noProof/>
            <w:webHidden/>
          </w:rPr>
          <w:t>4</w:t>
        </w:r>
        <w:r w:rsidR="002029E7">
          <w:rPr>
            <w:noProof/>
            <w:webHidden/>
          </w:rPr>
          <w:fldChar w:fldCharType="end"/>
        </w:r>
      </w:hyperlink>
    </w:p>
    <w:p w14:paraId="4D5A27E4" w14:textId="4DF8C954" w:rsidR="002029E7" w:rsidRDefault="00000000">
      <w:pPr>
        <w:pStyle w:val="TOC1"/>
        <w:rPr>
          <w:rFonts w:asciiTheme="minorHAnsi" w:eastAsiaTheme="minorEastAsia" w:hAnsiTheme="minorHAnsi" w:cstheme="minorBidi"/>
          <w:b w:val="0"/>
          <w:noProof/>
          <w:lang w:eastAsia="en-ZA"/>
        </w:rPr>
      </w:pPr>
      <w:hyperlink w:anchor="_Toc161437004" w:history="1">
        <w:r w:rsidR="002029E7" w:rsidRPr="0035732F">
          <w:rPr>
            <w:rStyle w:val="Hyperlink"/>
            <w:noProof/>
          </w:rPr>
          <w:t>3.</w:t>
        </w:r>
        <w:r w:rsidR="002029E7">
          <w:rPr>
            <w:rFonts w:asciiTheme="minorHAnsi" w:eastAsiaTheme="minorEastAsia" w:hAnsiTheme="minorHAnsi" w:cstheme="minorBidi"/>
            <w:b w:val="0"/>
            <w:noProof/>
            <w:lang w:eastAsia="en-ZA"/>
          </w:rPr>
          <w:tab/>
        </w:r>
        <w:r w:rsidR="002029E7" w:rsidRPr="0035732F">
          <w:rPr>
            <w:rStyle w:val="Hyperlink"/>
            <w:noProof/>
          </w:rPr>
          <w:t>Requirements</w:t>
        </w:r>
        <w:r w:rsidR="002029E7">
          <w:rPr>
            <w:noProof/>
            <w:webHidden/>
          </w:rPr>
          <w:tab/>
        </w:r>
        <w:r w:rsidR="002029E7">
          <w:rPr>
            <w:noProof/>
            <w:webHidden/>
          </w:rPr>
          <w:fldChar w:fldCharType="begin"/>
        </w:r>
        <w:r w:rsidR="002029E7">
          <w:rPr>
            <w:noProof/>
            <w:webHidden/>
          </w:rPr>
          <w:instrText xml:space="preserve"> PAGEREF _Toc161437004 \h </w:instrText>
        </w:r>
        <w:r w:rsidR="002029E7">
          <w:rPr>
            <w:noProof/>
            <w:webHidden/>
          </w:rPr>
        </w:r>
        <w:r w:rsidR="002029E7">
          <w:rPr>
            <w:noProof/>
            <w:webHidden/>
          </w:rPr>
          <w:fldChar w:fldCharType="separate"/>
        </w:r>
        <w:r w:rsidR="002029E7">
          <w:rPr>
            <w:noProof/>
            <w:webHidden/>
          </w:rPr>
          <w:t>4</w:t>
        </w:r>
        <w:r w:rsidR="002029E7">
          <w:rPr>
            <w:noProof/>
            <w:webHidden/>
          </w:rPr>
          <w:fldChar w:fldCharType="end"/>
        </w:r>
      </w:hyperlink>
    </w:p>
    <w:p w14:paraId="16B92388" w14:textId="7684DC22" w:rsidR="002029E7" w:rsidRDefault="00000000">
      <w:pPr>
        <w:pStyle w:val="TOC2"/>
        <w:rPr>
          <w:rFonts w:asciiTheme="minorHAnsi" w:eastAsiaTheme="minorEastAsia" w:hAnsiTheme="minorHAnsi" w:cstheme="minorBidi"/>
          <w:noProof/>
          <w:lang w:eastAsia="en-ZA"/>
        </w:rPr>
      </w:pPr>
      <w:hyperlink w:anchor="_Toc161437005" w:history="1">
        <w:r w:rsidR="002029E7" w:rsidRPr="0035732F">
          <w:rPr>
            <w:rStyle w:val="Hyperlink"/>
            <w:noProof/>
          </w:rPr>
          <w:t>3.1</w:t>
        </w:r>
        <w:r w:rsidR="002029E7">
          <w:rPr>
            <w:rFonts w:asciiTheme="minorHAnsi" w:eastAsiaTheme="minorEastAsia" w:hAnsiTheme="minorHAnsi" w:cstheme="minorBidi"/>
            <w:noProof/>
            <w:lang w:eastAsia="en-ZA"/>
          </w:rPr>
          <w:tab/>
        </w:r>
        <w:r w:rsidR="002029E7" w:rsidRPr="0035732F">
          <w:rPr>
            <w:rStyle w:val="Hyperlink"/>
            <w:noProof/>
          </w:rPr>
          <w:t>Product / Service / Solution Requirements</w:t>
        </w:r>
        <w:r w:rsidR="002029E7">
          <w:rPr>
            <w:noProof/>
            <w:webHidden/>
          </w:rPr>
          <w:tab/>
        </w:r>
        <w:r w:rsidR="002029E7">
          <w:rPr>
            <w:noProof/>
            <w:webHidden/>
          </w:rPr>
          <w:fldChar w:fldCharType="begin"/>
        </w:r>
        <w:r w:rsidR="002029E7">
          <w:rPr>
            <w:noProof/>
            <w:webHidden/>
          </w:rPr>
          <w:instrText xml:space="preserve"> PAGEREF _Toc161437005 \h </w:instrText>
        </w:r>
        <w:r w:rsidR="002029E7">
          <w:rPr>
            <w:noProof/>
            <w:webHidden/>
          </w:rPr>
        </w:r>
        <w:r w:rsidR="002029E7">
          <w:rPr>
            <w:noProof/>
            <w:webHidden/>
          </w:rPr>
          <w:fldChar w:fldCharType="separate"/>
        </w:r>
        <w:r w:rsidR="002029E7">
          <w:rPr>
            <w:noProof/>
            <w:webHidden/>
          </w:rPr>
          <w:t>4</w:t>
        </w:r>
        <w:r w:rsidR="002029E7">
          <w:rPr>
            <w:noProof/>
            <w:webHidden/>
          </w:rPr>
          <w:fldChar w:fldCharType="end"/>
        </w:r>
      </w:hyperlink>
    </w:p>
    <w:p w14:paraId="5794D9BE" w14:textId="317E2BCE" w:rsidR="002029E7" w:rsidRDefault="00000000">
      <w:pPr>
        <w:pStyle w:val="TOC3"/>
        <w:rPr>
          <w:rFonts w:asciiTheme="minorHAnsi" w:eastAsiaTheme="minorEastAsia" w:hAnsiTheme="minorHAnsi" w:cstheme="minorBidi"/>
          <w:noProof/>
          <w:lang w:eastAsia="en-ZA"/>
        </w:rPr>
      </w:pPr>
      <w:hyperlink w:anchor="_Toc161437006" w:history="1">
        <w:r w:rsidR="002029E7" w:rsidRPr="0035732F">
          <w:rPr>
            <w:rStyle w:val="Hyperlink"/>
            <w:noProof/>
          </w:rPr>
          <w:t>3.1.1</w:t>
        </w:r>
        <w:r w:rsidR="002029E7">
          <w:rPr>
            <w:rFonts w:asciiTheme="minorHAnsi" w:eastAsiaTheme="minorEastAsia" w:hAnsiTheme="minorHAnsi" w:cstheme="minorBidi"/>
            <w:noProof/>
            <w:lang w:eastAsia="en-ZA"/>
          </w:rPr>
          <w:tab/>
        </w:r>
        <w:r w:rsidR="002029E7" w:rsidRPr="0035732F">
          <w:rPr>
            <w:rStyle w:val="Hyperlink"/>
            <w:noProof/>
          </w:rPr>
          <w:t>DOD require renewal of Veeam software assurance licenses for the following products/services Functional Requirements as indicated below:</w:t>
        </w:r>
        <w:r w:rsidR="002029E7">
          <w:rPr>
            <w:noProof/>
            <w:webHidden/>
          </w:rPr>
          <w:tab/>
        </w:r>
        <w:r w:rsidR="002029E7">
          <w:rPr>
            <w:noProof/>
            <w:webHidden/>
          </w:rPr>
          <w:fldChar w:fldCharType="begin"/>
        </w:r>
        <w:r w:rsidR="002029E7">
          <w:rPr>
            <w:noProof/>
            <w:webHidden/>
          </w:rPr>
          <w:instrText xml:space="preserve"> PAGEREF _Toc161437006 \h </w:instrText>
        </w:r>
        <w:r w:rsidR="002029E7">
          <w:rPr>
            <w:noProof/>
            <w:webHidden/>
          </w:rPr>
        </w:r>
        <w:r w:rsidR="002029E7">
          <w:rPr>
            <w:noProof/>
            <w:webHidden/>
          </w:rPr>
          <w:fldChar w:fldCharType="separate"/>
        </w:r>
        <w:r w:rsidR="002029E7">
          <w:rPr>
            <w:noProof/>
            <w:webHidden/>
          </w:rPr>
          <w:t>4</w:t>
        </w:r>
        <w:r w:rsidR="002029E7">
          <w:rPr>
            <w:noProof/>
            <w:webHidden/>
          </w:rPr>
          <w:fldChar w:fldCharType="end"/>
        </w:r>
      </w:hyperlink>
    </w:p>
    <w:p w14:paraId="047236DA" w14:textId="1E5081AE" w:rsidR="002029E7" w:rsidRDefault="00000000">
      <w:pPr>
        <w:pStyle w:val="TOC2"/>
        <w:rPr>
          <w:rFonts w:asciiTheme="minorHAnsi" w:eastAsiaTheme="minorEastAsia" w:hAnsiTheme="minorHAnsi" w:cstheme="minorBidi"/>
          <w:noProof/>
          <w:lang w:eastAsia="en-ZA"/>
        </w:rPr>
      </w:pPr>
      <w:hyperlink w:anchor="_Toc161437007" w:history="1">
        <w:r w:rsidR="002029E7" w:rsidRPr="0035732F">
          <w:rPr>
            <w:rStyle w:val="Hyperlink"/>
            <w:noProof/>
          </w:rPr>
          <w:t>3.2</w:t>
        </w:r>
        <w:r w:rsidR="002029E7">
          <w:rPr>
            <w:rFonts w:asciiTheme="minorHAnsi" w:eastAsiaTheme="minorEastAsia" w:hAnsiTheme="minorHAnsi" w:cstheme="minorBidi"/>
            <w:noProof/>
            <w:lang w:eastAsia="en-ZA"/>
          </w:rPr>
          <w:tab/>
        </w:r>
        <w:r w:rsidR="002029E7" w:rsidRPr="0035732F">
          <w:rPr>
            <w:rStyle w:val="Hyperlink"/>
            <w:noProof/>
          </w:rPr>
          <w:t>Service Elements</w:t>
        </w:r>
        <w:r w:rsidR="002029E7">
          <w:rPr>
            <w:noProof/>
            <w:webHidden/>
          </w:rPr>
          <w:tab/>
        </w:r>
        <w:r w:rsidR="002029E7">
          <w:rPr>
            <w:noProof/>
            <w:webHidden/>
          </w:rPr>
          <w:fldChar w:fldCharType="begin"/>
        </w:r>
        <w:r w:rsidR="002029E7">
          <w:rPr>
            <w:noProof/>
            <w:webHidden/>
          </w:rPr>
          <w:instrText xml:space="preserve"> PAGEREF _Toc161437007 \h </w:instrText>
        </w:r>
        <w:r w:rsidR="002029E7">
          <w:rPr>
            <w:noProof/>
            <w:webHidden/>
          </w:rPr>
        </w:r>
        <w:r w:rsidR="002029E7">
          <w:rPr>
            <w:noProof/>
            <w:webHidden/>
          </w:rPr>
          <w:fldChar w:fldCharType="separate"/>
        </w:r>
        <w:r w:rsidR="002029E7">
          <w:rPr>
            <w:noProof/>
            <w:webHidden/>
          </w:rPr>
          <w:t>8</w:t>
        </w:r>
        <w:r w:rsidR="002029E7">
          <w:rPr>
            <w:noProof/>
            <w:webHidden/>
          </w:rPr>
          <w:fldChar w:fldCharType="end"/>
        </w:r>
      </w:hyperlink>
    </w:p>
    <w:p w14:paraId="2CAF0118" w14:textId="79765D29" w:rsidR="002029E7" w:rsidRDefault="00000000">
      <w:pPr>
        <w:pStyle w:val="TOC3"/>
        <w:rPr>
          <w:rFonts w:asciiTheme="minorHAnsi" w:eastAsiaTheme="minorEastAsia" w:hAnsiTheme="minorHAnsi" w:cstheme="minorBidi"/>
          <w:noProof/>
          <w:lang w:eastAsia="en-ZA"/>
        </w:rPr>
      </w:pPr>
      <w:hyperlink w:anchor="_Toc161437008" w:history="1">
        <w:r w:rsidR="002029E7" w:rsidRPr="0035732F">
          <w:rPr>
            <w:rStyle w:val="Hyperlink"/>
            <w:noProof/>
          </w:rPr>
          <w:t>3.2.1</w:t>
        </w:r>
        <w:r w:rsidR="002029E7">
          <w:rPr>
            <w:rFonts w:asciiTheme="minorHAnsi" w:eastAsiaTheme="minorEastAsia" w:hAnsiTheme="minorHAnsi" w:cstheme="minorBidi"/>
            <w:noProof/>
            <w:lang w:eastAsia="en-ZA"/>
          </w:rPr>
          <w:tab/>
        </w:r>
        <w:r w:rsidR="002029E7" w:rsidRPr="0035732F">
          <w:rPr>
            <w:rStyle w:val="Hyperlink"/>
            <w:noProof/>
          </w:rPr>
          <w:t>Full Service Agreement</w:t>
        </w:r>
        <w:r w:rsidR="002029E7">
          <w:rPr>
            <w:noProof/>
            <w:webHidden/>
          </w:rPr>
          <w:tab/>
        </w:r>
        <w:r w:rsidR="002029E7">
          <w:rPr>
            <w:noProof/>
            <w:webHidden/>
          </w:rPr>
          <w:fldChar w:fldCharType="begin"/>
        </w:r>
        <w:r w:rsidR="002029E7">
          <w:rPr>
            <w:noProof/>
            <w:webHidden/>
          </w:rPr>
          <w:instrText xml:space="preserve"> PAGEREF _Toc161437008 \h </w:instrText>
        </w:r>
        <w:r w:rsidR="002029E7">
          <w:rPr>
            <w:noProof/>
            <w:webHidden/>
          </w:rPr>
        </w:r>
        <w:r w:rsidR="002029E7">
          <w:rPr>
            <w:noProof/>
            <w:webHidden/>
          </w:rPr>
          <w:fldChar w:fldCharType="separate"/>
        </w:r>
        <w:r w:rsidR="002029E7">
          <w:rPr>
            <w:noProof/>
            <w:webHidden/>
          </w:rPr>
          <w:t>8</w:t>
        </w:r>
        <w:r w:rsidR="002029E7">
          <w:rPr>
            <w:noProof/>
            <w:webHidden/>
          </w:rPr>
          <w:fldChar w:fldCharType="end"/>
        </w:r>
      </w:hyperlink>
    </w:p>
    <w:p w14:paraId="50C9BC86" w14:textId="0B05937B" w:rsidR="002029E7" w:rsidRDefault="00000000">
      <w:pPr>
        <w:pStyle w:val="TOC3"/>
        <w:rPr>
          <w:rFonts w:asciiTheme="minorHAnsi" w:eastAsiaTheme="minorEastAsia" w:hAnsiTheme="minorHAnsi" w:cstheme="minorBidi"/>
          <w:noProof/>
          <w:lang w:eastAsia="en-ZA"/>
        </w:rPr>
      </w:pPr>
      <w:hyperlink w:anchor="_Toc161437009" w:history="1">
        <w:r w:rsidR="002029E7" w:rsidRPr="0035732F">
          <w:rPr>
            <w:rStyle w:val="Hyperlink"/>
            <w:noProof/>
          </w:rPr>
          <w:t>3.2.2</w:t>
        </w:r>
        <w:r w:rsidR="002029E7">
          <w:rPr>
            <w:rFonts w:asciiTheme="minorHAnsi" w:eastAsiaTheme="minorEastAsia" w:hAnsiTheme="minorHAnsi" w:cstheme="minorBidi"/>
            <w:noProof/>
            <w:lang w:eastAsia="en-ZA"/>
          </w:rPr>
          <w:tab/>
        </w:r>
        <w:r w:rsidR="002029E7" w:rsidRPr="0035732F">
          <w:rPr>
            <w:rStyle w:val="Hyperlink"/>
            <w:noProof/>
          </w:rPr>
          <w:t>Response time and distance</w:t>
        </w:r>
        <w:r w:rsidR="002029E7">
          <w:rPr>
            <w:noProof/>
            <w:webHidden/>
          </w:rPr>
          <w:tab/>
        </w:r>
        <w:r w:rsidR="002029E7">
          <w:rPr>
            <w:noProof/>
            <w:webHidden/>
          </w:rPr>
          <w:fldChar w:fldCharType="begin"/>
        </w:r>
        <w:r w:rsidR="002029E7">
          <w:rPr>
            <w:noProof/>
            <w:webHidden/>
          </w:rPr>
          <w:instrText xml:space="preserve"> PAGEREF _Toc161437009 \h </w:instrText>
        </w:r>
        <w:r w:rsidR="002029E7">
          <w:rPr>
            <w:noProof/>
            <w:webHidden/>
          </w:rPr>
        </w:r>
        <w:r w:rsidR="002029E7">
          <w:rPr>
            <w:noProof/>
            <w:webHidden/>
          </w:rPr>
          <w:fldChar w:fldCharType="separate"/>
        </w:r>
        <w:r w:rsidR="002029E7">
          <w:rPr>
            <w:noProof/>
            <w:webHidden/>
          </w:rPr>
          <w:t>8</w:t>
        </w:r>
        <w:r w:rsidR="002029E7">
          <w:rPr>
            <w:noProof/>
            <w:webHidden/>
          </w:rPr>
          <w:fldChar w:fldCharType="end"/>
        </w:r>
      </w:hyperlink>
    </w:p>
    <w:p w14:paraId="66525378" w14:textId="251782A2" w:rsidR="002029E7" w:rsidRDefault="00000000">
      <w:pPr>
        <w:pStyle w:val="TOC3"/>
        <w:rPr>
          <w:rFonts w:asciiTheme="minorHAnsi" w:eastAsiaTheme="minorEastAsia" w:hAnsiTheme="minorHAnsi" w:cstheme="minorBidi"/>
          <w:noProof/>
          <w:lang w:eastAsia="en-ZA"/>
        </w:rPr>
      </w:pPr>
      <w:hyperlink w:anchor="_Toc161437010" w:history="1">
        <w:r w:rsidR="002029E7" w:rsidRPr="0035732F">
          <w:rPr>
            <w:rStyle w:val="Hyperlink"/>
            <w:noProof/>
          </w:rPr>
          <w:t>3.2.3</w:t>
        </w:r>
        <w:r w:rsidR="002029E7">
          <w:rPr>
            <w:rFonts w:asciiTheme="minorHAnsi" w:eastAsiaTheme="minorEastAsia" w:hAnsiTheme="minorHAnsi" w:cstheme="minorBidi"/>
            <w:noProof/>
            <w:lang w:eastAsia="en-ZA"/>
          </w:rPr>
          <w:tab/>
        </w:r>
        <w:r w:rsidR="002029E7" w:rsidRPr="0035732F">
          <w:rPr>
            <w:rStyle w:val="Hyperlink"/>
            <w:noProof/>
          </w:rPr>
          <w:t>Fault logging management</w:t>
        </w:r>
        <w:r w:rsidR="002029E7">
          <w:rPr>
            <w:noProof/>
            <w:webHidden/>
          </w:rPr>
          <w:tab/>
        </w:r>
        <w:r w:rsidR="002029E7">
          <w:rPr>
            <w:noProof/>
            <w:webHidden/>
          </w:rPr>
          <w:fldChar w:fldCharType="begin"/>
        </w:r>
        <w:r w:rsidR="002029E7">
          <w:rPr>
            <w:noProof/>
            <w:webHidden/>
          </w:rPr>
          <w:instrText xml:space="preserve"> PAGEREF _Toc161437010 \h </w:instrText>
        </w:r>
        <w:r w:rsidR="002029E7">
          <w:rPr>
            <w:noProof/>
            <w:webHidden/>
          </w:rPr>
        </w:r>
        <w:r w:rsidR="002029E7">
          <w:rPr>
            <w:noProof/>
            <w:webHidden/>
          </w:rPr>
          <w:fldChar w:fldCharType="separate"/>
        </w:r>
        <w:r w:rsidR="002029E7">
          <w:rPr>
            <w:noProof/>
            <w:webHidden/>
          </w:rPr>
          <w:t>8</w:t>
        </w:r>
        <w:r w:rsidR="002029E7">
          <w:rPr>
            <w:noProof/>
            <w:webHidden/>
          </w:rPr>
          <w:fldChar w:fldCharType="end"/>
        </w:r>
      </w:hyperlink>
    </w:p>
    <w:p w14:paraId="7F5906EB" w14:textId="30A5256A" w:rsidR="002029E7" w:rsidRDefault="00000000">
      <w:pPr>
        <w:pStyle w:val="TOC1"/>
        <w:rPr>
          <w:rFonts w:asciiTheme="minorHAnsi" w:eastAsiaTheme="minorEastAsia" w:hAnsiTheme="minorHAnsi" w:cstheme="minorBidi"/>
          <w:b w:val="0"/>
          <w:noProof/>
          <w:lang w:eastAsia="en-ZA"/>
        </w:rPr>
      </w:pPr>
      <w:hyperlink w:anchor="_Toc161437011" w:history="1">
        <w:r w:rsidR="002029E7" w:rsidRPr="0035732F">
          <w:rPr>
            <w:rStyle w:val="Hyperlink"/>
            <w:noProof/>
          </w:rPr>
          <w:t>4.</w:t>
        </w:r>
        <w:r w:rsidR="002029E7">
          <w:rPr>
            <w:rFonts w:asciiTheme="minorHAnsi" w:eastAsiaTheme="minorEastAsia" w:hAnsiTheme="minorHAnsi" w:cstheme="minorBidi"/>
            <w:b w:val="0"/>
            <w:noProof/>
            <w:lang w:eastAsia="en-ZA"/>
          </w:rPr>
          <w:tab/>
        </w:r>
        <w:r w:rsidR="002029E7" w:rsidRPr="0035732F">
          <w:rPr>
            <w:rStyle w:val="Hyperlink"/>
            <w:noProof/>
          </w:rPr>
          <w:t>Bid Evaluation Stages</w:t>
        </w:r>
        <w:r w:rsidR="002029E7">
          <w:rPr>
            <w:noProof/>
            <w:webHidden/>
          </w:rPr>
          <w:tab/>
        </w:r>
        <w:r w:rsidR="002029E7">
          <w:rPr>
            <w:noProof/>
            <w:webHidden/>
          </w:rPr>
          <w:fldChar w:fldCharType="begin"/>
        </w:r>
        <w:r w:rsidR="002029E7">
          <w:rPr>
            <w:noProof/>
            <w:webHidden/>
          </w:rPr>
          <w:instrText xml:space="preserve"> PAGEREF _Toc161437011 \h </w:instrText>
        </w:r>
        <w:r w:rsidR="002029E7">
          <w:rPr>
            <w:noProof/>
            <w:webHidden/>
          </w:rPr>
        </w:r>
        <w:r w:rsidR="002029E7">
          <w:rPr>
            <w:noProof/>
            <w:webHidden/>
          </w:rPr>
          <w:fldChar w:fldCharType="separate"/>
        </w:r>
        <w:r w:rsidR="002029E7">
          <w:rPr>
            <w:noProof/>
            <w:webHidden/>
          </w:rPr>
          <w:t>9</w:t>
        </w:r>
        <w:r w:rsidR="002029E7">
          <w:rPr>
            <w:noProof/>
            <w:webHidden/>
          </w:rPr>
          <w:fldChar w:fldCharType="end"/>
        </w:r>
      </w:hyperlink>
    </w:p>
    <w:p w14:paraId="156B6DE5" w14:textId="50BEB52F" w:rsidR="002029E7" w:rsidRDefault="00000000">
      <w:pPr>
        <w:pStyle w:val="TOC2"/>
        <w:rPr>
          <w:rFonts w:asciiTheme="minorHAnsi" w:eastAsiaTheme="minorEastAsia" w:hAnsiTheme="minorHAnsi" w:cstheme="minorBidi"/>
          <w:noProof/>
          <w:lang w:eastAsia="en-ZA"/>
        </w:rPr>
      </w:pPr>
      <w:hyperlink w:anchor="_Toc161437012" w:history="1">
        <w:r w:rsidR="002029E7" w:rsidRPr="0035732F">
          <w:rPr>
            <w:rStyle w:val="Hyperlink"/>
            <w:noProof/>
          </w:rPr>
          <w:t>4.1</w:t>
        </w:r>
        <w:r w:rsidR="002029E7">
          <w:rPr>
            <w:rFonts w:asciiTheme="minorHAnsi" w:eastAsiaTheme="minorEastAsia" w:hAnsiTheme="minorHAnsi" w:cstheme="minorBidi"/>
            <w:noProof/>
            <w:lang w:eastAsia="en-ZA"/>
          </w:rPr>
          <w:tab/>
        </w:r>
        <w:r w:rsidR="002029E7" w:rsidRPr="0035732F">
          <w:rPr>
            <w:rStyle w:val="Hyperlink"/>
            <w:noProof/>
          </w:rPr>
          <w:t>Administrative responsiveness (Stage 1)</w:t>
        </w:r>
        <w:r w:rsidR="002029E7">
          <w:rPr>
            <w:noProof/>
            <w:webHidden/>
          </w:rPr>
          <w:tab/>
        </w:r>
        <w:r w:rsidR="002029E7">
          <w:rPr>
            <w:noProof/>
            <w:webHidden/>
          </w:rPr>
          <w:fldChar w:fldCharType="begin"/>
        </w:r>
        <w:r w:rsidR="002029E7">
          <w:rPr>
            <w:noProof/>
            <w:webHidden/>
          </w:rPr>
          <w:instrText xml:space="preserve"> PAGEREF _Toc161437012 \h </w:instrText>
        </w:r>
        <w:r w:rsidR="002029E7">
          <w:rPr>
            <w:noProof/>
            <w:webHidden/>
          </w:rPr>
        </w:r>
        <w:r w:rsidR="002029E7">
          <w:rPr>
            <w:noProof/>
            <w:webHidden/>
          </w:rPr>
          <w:fldChar w:fldCharType="separate"/>
        </w:r>
        <w:r w:rsidR="002029E7">
          <w:rPr>
            <w:noProof/>
            <w:webHidden/>
          </w:rPr>
          <w:t>9</w:t>
        </w:r>
        <w:r w:rsidR="002029E7">
          <w:rPr>
            <w:noProof/>
            <w:webHidden/>
          </w:rPr>
          <w:fldChar w:fldCharType="end"/>
        </w:r>
      </w:hyperlink>
    </w:p>
    <w:p w14:paraId="55639BDE" w14:textId="6990CC88" w:rsidR="002029E7" w:rsidRDefault="00000000">
      <w:pPr>
        <w:pStyle w:val="TOC3"/>
        <w:rPr>
          <w:rFonts w:asciiTheme="minorHAnsi" w:eastAsiaTheme="minorEastAsia" w:hAnsiTheme="minorHAnsi" w:cstheme="minorBidi"/>
          <w:noProof/>
          <w:lang w:eastAsia="en-ZA"/>
        </w:rPr>
      </w:pPr>
      <w:hyperlink w:anchor="_Toc161437013" w:history="1">
        <w:r w:rsidR="002029E7" w:rsidRPr="0035732F">
          <w:rPr>
            <w:rStyle w:val="Hyperlink"/>
            <w:noProof/>
          </w:rPr>
          <w:t>4.1.1</w:t>
        </w:r>
        <w:r w:rsidR="002029E7">
          <w:rPr>
            <w:rFonts w:asciiTheme="minorHAnsi" w:eastAsiaTheme="minorEastAsia" w:hAnsiTheme="minorHAnsi" w:cstheme="minorBidi"/>
            <w:noProof/>
            <w:lang w:eastAsia="en-ZA"/>
          </w:rPr>
          <w:tab/>
        </w:r>
        <w:r w:rsidR="002029E7" w:rsidRPr="0035732F">
          <w:rPr>
            <w:rStyle w:val="Hyperlink"/>
            <w:noProof/>
          </w:rPr>
          <w:t>Attendance of briefing session</w:t>
        </w:r>
        <w:r w:rsidR="002029E7">
          <w:rPr>
            <w:noProof/>
            <w:webHidden/>
          </w:rPr>
          <w:tab/>
        </w:r>
        <w:r w:rsidR="002029E7">
          <w:rPr>
            <w:noProof/>
            <w:webHidden/>
          </w:rPr>
          <w:fldChar w:fldCharType="begin"/>
        </w:r>
        <w:r w:rsidR="002029E7">
          <w:rPr>
            <w:noProof/>
            <w:webHidden/>
          </w:rPr>
          <w:instrText xml:space="preserve"> PAGEREF _Toc161437013 \h </w:instrText>
        </w:r>
        <w:r w:rsidR="002029E7">
          <w:rPr>
            <w:noProof/>
            <w:webHidden/>
          </w:rPr>
        </w:r>
        <w:r w:rsidR="002029E7">
          <w:rPr>
            <w:noProof/>
            <w:webHidden/>
          </w:rPr>
          <w:fldChar w:fldCharType="separate"/>
        </w:r>
        <w:r w:rsidR="002029E7">
          <w:rPr>
            <w:noProof/>
            <w:webHidden/>
          </w:rPr>
          <w:t>9</w:t>
        </w:r>
        <w:r w:rsidR="002029E7">
          <w:rPr>
            <w:noProof/>
            <w:webHidden/>
          </w:rPr>
          <w:fldChar w:fldCharType="end"/>
        </w:r>
      </w:hyperlink>
    </w:p>
    <w:p w14:paraId="695F7DE5" w14:textId="77111C19" w:rsidR="002029E7" w:rsidRDefault="00000000">
      <w:pPr>
        <w:pStyle w:val="TOC2"/>
        <w:rPr>
          <w:rFonts w:asciiTheme="minorHAnsi" w:eastAsiaTheme="minorEastAsia" w:hAnsiTheme="minorHAnsi" w:cstheme="minorBidi"/>
          <w:noProof/>
          <w:lang w:eastAsia="en-ZA"/>
        </w:rPr>
      </w:pPr>
      <w:hyperlink w:anchor="_Toc161437014" w:history="1">
        <w:r w:rsidR="002029E7" w:rsidRPr="0035732F">
          <w:rPr>
            <w:rStyle w:val="Hyperlink"/>
            <w:noProof/>
          </w:rPr>
          <w:t>4.2</w:t>
        </w:r>
        <w:r w:rsidR="002029E7">
          <w:rPr>
            <w:rFonts w:asciiTheme="minorHAnsi" w:eastAsiaTheme="minorEastAsia" w:hAnsiTheme="minorHAnsi" w:cstheme="minorBidi"/>
            <w:noProof/>
            <w:lang w:eastAsia="en-ZA"/>
          </w:rPr>
          <w:tab/>
        </w:r>
        <w:r w:rsidR="002029E7" w:rsidRPr="0035732F">
          <w:rPr>
            <w:rStyle w:val="Hyperlink"/>
            <w:noProof/>
          </w:rPr>
          <w:t>Technical returnable documents</w:t>
        </w:r>
        <w:r w:rsidR="002029E7">
          <w:rPr>
            <w:noProof/>
            <w:webHidden/>
          </w:rPr>
          <w:tab/>
        </w:r>
        <w:r w:rsidR="002029E7">
          <w:rPr>
            <w:noProof/>
            <w:webHidden/>
          </w:rPr>
          <w:fldChar w:fldCharType="begin"/>
        </w:r>
        <w:r w:rsidR="002029E7">
          <w:rPr>
            <w:noProof/>
            <w:webHidden/>
          </w:rPr>
          <w:instrText xml:space="preserve"> PAGEREF _Toc161437014 \h </w:instrText>
        </w:r>
        <w:r w:rsidR="002029E7">
          <w:rPr>
            <w:noProof/>
            <w:webHidden/>
          </w:rPr>
        </w:r>
        <w:r w:rsidR="002029E7">
          <w:rPr>
            <w:noProof/>
            <w:webHidden/>
          </w:rPr>
          <w:fldChar w:fldCharType="separate"/>
        </w:r>
        <w:r w:rsidR="002029E7">
          <w:rPr>
            <w:noProof/>
            <w:webHidden/>
          </w:rPr>
          <w:t>9</w:t>
        </w:r>
        <w:r w:rsidR="002029E7">
          <w:rPr>
            <w:noProof/>
            <w:webHidden/>
          </w:rPr>
          <w:fldChar w:fldCharType="end"/>
        </w:r>
      </w:hyperlink>
    </w:p>
    <w:p w14:paraId="0F6DA9C3" w14:textId="7645558B" w:rsidR="002029E7" w:rsidRDefault="00000000">
      <w:pPr>
        <w:pStyle w:val="TOC3"/>
        <w:rPr>
          <w:rFonts w:asciiTheme="minorHAnsi" w:eastAsiaTheme="minorEastAsia" w:hAnsiTheme="minorHAnsi" w:cstheme="minorBidi"/>
          <w:noProof/>
          <w:lang w:eastAsia="en-ZA"/>
        </w:rPr>
      </w:pPr>
      <w:hyperlink w:anchor="_Toc161437015" w:history="1">
        <w:r w:rsidR="002029E7" w:rsidRPr="0035732F">
          <w:rPr>
            <w:rStyle w:val="Hyperlink"/>
            <w:noProof/>
          </w:rPr>
          <w:t>4.2.1</w:t>
        </w:r>
        <w:r w:rsidR="002029E7">
          <w:rPr>
            <w:rFonts w:asciiTheme="minorHAnsi" w:eastAsiaTheme="minorEastAsia" w:hAnsiTheme="minorHAnsi" w:cstheme="minorBidi"/>
            <w:noProof/>
            <w:lang w:eastAsia="en-ZA"/>
          </w:rPr>
          <w:tab/>
        </w:r>
        <w:r w:rsidR="002029E7" w:rsidRPr="0035732F">
          <w:rPr>
            <w:rStyle w:val="Hyperlink"/>
            <w:noProof/>
          </w:rPr>
          <w:t>Instruction and evaluation criteria</w:t>
        </w:r>
        <w:r w:rsidR="002029E7">
          <w:rPr>
            <w:noProof/>
            <w:webHidden/>
          </w:rPr>
          <w:tab/>
        </w:r>
        <w:r w:rsidR="002029E7">
          <w:rPr>
            <w:noProof/>
            <w:webHidden/>
          </w:rPr>
          <w:fldChar w:fldCharType="begin"/>
        </w:r>
        <w:r w:rsidR="002029E7">
          <w:rPr>
            <w:noProof/>
            <w:webHidden/>
          </w:rPr>
          <w:instrText xml:space="preserve"> PAGEREF _Toc161437015 \h </w:instrText>
        </w:r>
        <w:r w:rsidR="002029E7">
          <w:rPr>
            <w:noProof/>
            <w:webHidden/>
          </w:rPr>
        </w:r>
        <w:r w:rsidR="002029E7">
          <w:rPr>
            <w:noProof/>
            <w:webHidden/>
          </w:rPr>
          <w:fldChar w:fldCharType="separate"/>
        </w:r>
        <w:r w:rsidR="002029E7">
          <w:rPr>
            <w:noProof/>
            <w:webHidden/>
          </w:rPr>
          <w:t>9</w:t>
        </w:r>
        <w:r w:rsidR="002029E7">
          <w:rPr>
            <w:noProof/>
            <w:webHidden/>
          </w:rPr>
          <w:fldChar w:fldCharType="end"/>
        </w:r>
      </w:hyperlink>
    </w:p>
    <w:p w14:paraId="7D166312" w14:textId="543CA8CA" w:rsidR="002029E7" w:rsidRDefault="00000000">
      <w:pPr>
        <w:pStyle w:val="TOC3"/>
        <w:rPr>
          <w:rFonts w:asciiTheme="minorHAnsi" w:eastAsiaTheme="minorEastAsia" w:hAnsiTheme="minorHAnsi" w:cstheme="minorBidi"/>
          <w:noProof/>
          <w:lang w:eastAsia="en-ZA"/>
        </w:rPr>
      </w:pPr>
      <w:hyperlink w:anchor="_Toc161437016" w:history="1">
        <w:r w:rsidR="002029E7" w:rsidRPr="0035732F">
          <w:rPr>
            <w:rStyle w:val="Hyperlink"/>
            <w:noProof/>
          </w:rPr>
          <w:t>4.2.2</w:t>
        </w:r>
        <w:r w:rsidR="002029E7">
          <w:rPr>
            <w:rFonts w:asciiTheme="minorHAnsi" w:eastAsiaTheme="minorEastAsia" w:hAnsiTheme="minorHAnsi" w:cstheme="minorBidi"/>
            <w:noProof/>
            <w:lang w:eastAsia="en-ZA"/>
          </w:rPr>
          <w:tab/>
        </w:r>
        <w:r w:rsidR="002029E7" w:rsidRPr="0035732F">
          <w:rPr>
            <w:rStyle w:val="Hyperlink"/>
            <w:noProof/>
          </w:rPr>
          <w:t>Technical mandatory requirements (Stage 2)</w:t>
        </w:r>
        <w:r w:rsidR="002029E7">
          <w:rPr>
            <w:noProof/>
            <w:webHidden/>
          </w:rPr>
          <w:tab/>
        </w:r>
        <w:r w:rsidR="002029E7">
          <w:rPr>
            <w:noProof/>
            <w:webHidden/>
          </w:rPr>
          <w:fldChar w:fldCharType="begin"/>
        </w:r>
        <w:r w:rsidR="002029E7">
          <w:rPr>
            <w:noProof/>
            <w:webHidden/>
          </w:rPr>
          <w:instrText xml:space="preserve"> PAGEREF _Toc161437016 \h </w:instrText>
        </w:r>
        <w:r w:rsidR="002029E7">
          <w:rPr>
            <w:noProof/>
            <w:webHidden/>
          </w:rPr>
        </w:r>
        <w:r w:rsidR="002029E7">
          <w:rPr>
            <w:noProof/>
            <w:webHidden/>
          </w:rPr>
          <w:fldChar w:fldCharType="separate"/>
        </w:r>
        <w:r w:rsidR="002029E7">
          <w:rPr>
            <w:noProof/>
            <w:webHidden/>
          </w:rPr>
          <w:t>10</w:t>
        </w:r>
        <w:r w:rsidR="002029E7">
          <w:rPr>
            <w:noProof/>
            <w:webHidden/>
          </w:rPr>
          <w:fldChar w:fldCharType="end"/>
        </w:r>
      </w:hyperlink>
    </w:p>
    <w:p w14:paraId="5EE3A372" w14:textId="66B48C05" w:rsidR="002029E7" w:rsidRDefault="00000000">
      <w:pPr>
        <w:pStyle w:val="TOC2"/>
        <w:rPr>
          <w:rFonts w:asciiTheme="minorHAnsi" w:eastAsiaTheme="minorEastAsia" w:hAnsiTheme="minorHAnsi" w:cstheme="minorBidi"/>
          <w:noProof/>
          <w:lang w:eastAsia="en-ZA"/>
        </w:rPr>
      </w:pPr>
      <w:hyperlink w:anchor="_Toc161437017" w:history="1">
        <w:r w:rsidR="002029E7" w:rsidRPr="0035732F">
          <w:rPr>
            <w:rStyle w:val="Hyperlink"/>
            <w:noProof/>
          </w:rPr>
          <w:t>4.3</w:t>
        </w:r>
        <w:r w:rsidR="002029E7">
          <w:rPr>
            <w:rFonts w:asciiTheme="minorHAnsi" w:eastAsiaTheme="minorEastAsia" w:hAnsiTheme="minorHAnsi" w:cstheme="minorBidi"/>
            <w:noProof/>
            <w:lang w:eastAsia="en-ZA"/>
          </w:rPr>
          <w:tab/>
        </w:r>
        <w:r w:rsidR="002029E7" w:rsidRPr="0035732F">
          <w:rPr>
            <w:rStyle w:val="Hyperlink"/>
            <w:noProof/>
          </w:rPr>
          <w:t>Special Conditions of Contract Verification (Stage 3)</w:t>
        </w:r>
        <w:r w:rsidR="002029E7">
          <w:rPr>
            <w:noProof/>
            <w:webHidden/>
          </w:rPr>
          <w:tab/>
        </w:r>
        <w:r w:rsidR="002029E7">
          <w:rPr>
            <w:noProof/>
            <w:webHidden/>
          </w:rPr>
          <w:fldChar w:fldCharType="begin"/>
        </w:r>
        <w:r w:rsidR="002029E7">
          <w:rPr>
            <w:noProof/>
            <w:webHidden/>
          </w:rPr>
          <w:instrText xml:space="preserve"> PAGEREF _Toc161437017 \h </w:instrText>
        </w:r>
        <w:r w:rsidR="002029E7">
          <w:rPr>
            <w:noProof/>
            <w:webHidden/>
          </w:rPr>
        </w:r>
        <w:r w:rsidR="002029E7">
          <w:rPr>
            <w:noProof/>
            <w:webHidden/>
          </w:rPr>
          <w:fldChar w:fldCharType="separate"/>
        </w:r>
        <w:r w:rsidR="002029E7">
          <w:rPr>
            <w:noProof/>
            <w:webHidden/>
          </w:rPr>
          <w:t>11</w:t>
        </w:r>
        <w:r w:rsidR="002029E7">
          <w:rPr>
            <w:noProof/>
            <w:webHidden/>
          </w:rPr>
          <w:fldChar w:fldCharType="end"/>
        </w:r>
      </w:hyperlink>
    </w:p>
    <w:p w14:paraId="5E023AA2" w14:textId="4B9D4817" w:rsidR="002029E7" w:rsidRDefault="00000000">
      <w:pPr>
        <w:pStyle w:val="TOC3"/>
        <w:rPr>
          <w:rFonts w:asciiTheme="minorHAnsi" w:eastAsiaTheme="minorEastAsia" w:hAnsiTheme="minorHAnsi" w:cstheme="minorBidi"/>
          <w:noProof/>
          <w:lang w:eastAsia="en-ZA"/>
        </w:rPr>
      </w:pPr>
      <w:hyperlink w:anchor="_Toc161437018" w:history="1">
        <w:r w:rsidR="002029E7" w:rsidRPr="0035732F">
          <w:rPr>
            <w:rStyle w:val="Hyperlink"/>
            <w:noProof/>
          </w:rPr>
          <w:t>4.3.1</w:t>
        </w:r>
        <w:r w:rsidR="002029E7">
          <w:rPr>
            <w:rFonts w:asciiTheme="minorHAnsi" w:eastAsiaTheme="minorEastAsia" w:hAnsiTheme="minorHAnsi" w:cstheme="minorBidi"/>
            <w:noProof/>
            <w:lang w:eastAsia="en-ZA"/>
          </w:rPr>
          <w:tab/>
        </w:r>
        <w:r w:rsidR="002029E7" w:rsidRPr="0035732F">
          <w:rPr>
            <w:rStyle w:val="Hyperlink"/>
            <w:noProof/>
          </w:rPr>
          <w:t>Special Conditions of Contract</w:t>
        </w:r>
        <w:r w:rsidR="002029E7">
          <w:rPr>
            <w:noProof/>
            <w:webHidden/>
          </w:rPr>
          <w:tab/>
        </w:r>
        <w:r w:rsidR="002029E7">
          <w:rPr>
            <w:noProof/>
            <w:webHidden/>
          </w:rPr>
          <w:fldChar w:fldCharType="begin"/>
        </w:r>
        <w:r w:rsidR="002029E7">
          <w:rPr>
            <w:noProof/>
            <w:webHidden/>
          </w:rPr>
          <w:instrText xml:space="preserve"> PAGEREF _Toc161437018 \h </w:instrText>
        </w:r>
        <w:r w:rsidR="002029E7">
          <w:rPr>
            <w:noProof/>
            <w:webHidden/>
          </w:rPr>
        </w:r>
        <w:r w:rsidR="002029E7">
          <w:rPr>
            <w:noProof/>
            <w:webHidden/>
          </w:rPr>
          <w:fldChar w:fldCharType="separate"/>
        </w:r>
        <w:r w:rsidR="002029E7">
          <w:rPr>
            <w:noProof/>
            <w:webHidden/>
          </w:rPr>
          <w:t>11</w:t>
        </w:r>
        <w:r w:rsidR="002029E7">
          <w:rPr>
            <w:noProof/>
            <w:webHidden/>
          </w:rPr>
          <w:fldChar w:fldCharType="end"/>
        </w:r>
      </w:hyperlink>
    </w:p>
    <w:p w14:paraId="16903A1D" w14:textId="2FCB55BC" w:rsidR="002029E7" w:rsidRDefault="00000000">
      <w:pPr>
        <w:pStyle w:val="TOC3"/>
        <w:rPr>
          <w:rFonts w:asciiTheme="minorHAnsi" w:eastAsiaTheme="minorEastAsia" w:hAnsiTheme="minorHAnsi" w:cstheme="minorBidi"/>
          <w:noProof/>
          <w:lang w:eastAsia="en-ZA"/>
        </w:rPr>
      </w:pPr>
      <w:hyperlink w:anchor="_Toc161437019" w:history="1">
        <w:r w:rsidR="002029E7" w:rsidRPr="0035732F">
          <w:rPr>
            <w:rStyle w:val="Hyperlink"/>
            <w:noProof/>
          </w:rPr>
          <w:t>4.3.2</w:t>
        </w:r>
        <w:r w:rsidR="002029E7">
          <w:rPr>
            <w:rFonts w:asciiTheme="minorHAnsi" w:eastAsiaTheme="minorEastAsia" w:hAnsiTheme="minorHAnsi" w:cstheme="minorBidi"/>
            <w:noProof/>
            <w:lang w:eastAsia="en-ZA"/>
          </w:rPr>
          <w:tab/>
        </w:r>
        <w:r w:rsidR="002029E7" w:rsidRPr="0035732F">
          <w:rPr>
            <w:rStyle w:val="Hyperlink"/>
            <w:noProof/>
          </w:rPr>
          <w:t>Declaration of compliance and acceptance SCC</w:t>
        </w:r>
        <w:r w:rsidR="002029E7">
          <w:rPr>
            <w:noProof/>
            <w:webHidden/>
          </w:rPr>
          <w:tab/>
        </w:r>
        <w:r w:rsidR="002029E7">
          <w:rPr>
            <w:noProof/>
            <w:webHidden/>
          </w:rPr>
          <w:fldChar w:fldCharType="begin"/>
        </w:r>
        <w:r w:rsidR="002029E7">
          <w:rPr>
            <w:noProof/>
            <w:webHidden/>
          </w:rPr>
          <w:instrText xml:space="preserve"> PAGEREF _Toc161437019 \h </w:instrText>
        </w:r>
        <w:r w:rsidR="002029E7">
          <w:rPr>
            <w:noProof/>
            <w:webHidden/>
          </w:rPr>
        </w:r>
        <w:r w:rsidR="002029E7">
          <w:rPr>
            <w:noProof/>
            <w:webHidden/>
          </w:rPr>
          <w:fldChar w:fldCharType="separate"/>
        </w:r>
        <w:r w:rsidR="002029E7">
          <w:rPr>
            <w:noProof/>
            <w:webHidden/>
          </w:rPr>
          <w:t>15</w:t>
        </w:r>
        <w:r w:rsidR="002029E7">
          <w:rPr>
            <w:noProof/>
            <w:webHidden/>
          </w:rPr>
          <w:fldChar w:fldCharType="end"/>
        </w:r>
      </w:hyperlink>
    </w:p>
    <w:p w14:paraId="3612152C" w14:textId="05F88BF2" w:rsidR="002029E7" w:rsidRDefault="00000000">
      <w:pPr>
        <w:pStyle w:val="TOC1"/>
        <w:rPr>
          <w:rFonts w:asciiTheme="minorHAnsi" w:eastAsiaTheme="minorEastAsia" w:hAnsiTheme="minorHAnsi" w:cstheme="minorBidi"/>
          <w:b w:val="0"/>
          <w:noProof/>
          <w:lang w:eastAsia="en-ZA"/>
        </w:rPr>
      </w:pPr>
      <w:hyperlink w:anchor="_Toc161437020" w:history="1">
        <w:r w:rsidR="002029E7" w:rsidRPr="0035732F">
          <w:rPr>
            <w:rStyle w:val="Hyperlink"/>
            <w:noProof/>
          </w:rPr>
          <w:t>5.</w:t>
        </w:r>
        <w:r w:rsidR="002029E7">
          <w:rPr>
            <w:rFonts w:asciiTheme="minorHAnsi" w:eastAsiaTheme="minorEastAsia" w:hAnsiTheme="minorHAnsi" w:cstheme="minorBidi"/>
            <w:b w:val="0"/>
            <w:noProof/>
            <w:lang w:eastAsia="en-ZA"/>
          </w:rPr>
          <w:tab/>
        </w:r>
        <w:r w:rsidR="002029E7" w:rsidRPr="0035732F">
          <w:rPr>
            <w:rStyle w:val="Hyperlink"/>
            <w:noProof/>
          </w:rPr>
          <w:t>Price and Preference Points Evaluation (Stage 4)</w:t>
        </w:r>
        <w:r w:rsidR="002029E7">
          <w:rPr>
            <w:noProof/>
            <w:webHidden/>
          </w:rPr>
          <w:tab/>
        </w:r>
        <w:r w:rsidR="002029E7">
          <w:rPr>
            <w:noProof/>
            <w:webHidden/>
          </w:rPr>
          <w:fldChar w:fldCharType="begin"/>
        </w:r>
        <w:r w:rsidR="002029E7">
          <w:rPr>
            <w:noProof/>
            <w:webHidden/>
          </w:rPr>
          <w:instrText xml:space="preserve"> PAGEREF _Toc161437020 \h </w:instrText>
        </w:r>
        <w:r w:rsidR="002029E7">
          <w:rPr>
            <w:noProof/>
            <w:webHidden/>
          </w:rPr>
        </w:r>
        <w:r w:rsidR="002029E7">
          <w:rPr>
            <w:noProof/>
            <w:webHidden/>
          </w:rPr>
          <w:fldChar w:fldCharType="separate"/>
        </w:r>
        <w:r w:rsidR="002029E7">
          <w:rPr>
            <w:noProof/>
            <w:webHidden/>
          </w:rPr>
          <w:t>16</w:t>
        </w:r>
        <w:r w:rsidR="002029E7">
          <w:rPr>
            <w:noProof/>
            <w:webHidden/>
          </w:rPr>
          <w:fldChar w:fldCharType="end"/>
        </w:r>
      </w:hyperlink>
    </w:p>
    <w:p w14:paraId="6EC2FA05" w14:textId="27E9269F" w:rsidR="002029E7" w:rsidRDefault="00000000">
      <w:pPr>
        <w:pStyle w:val="TOC1"/>
        <w:rPr>
          <w:rFonts w:asciiTheme="minorHAnsi" w:eastAsiaTheme="minorEastAsia" w:hAnsiTheme="minorHAnsi" w:cstheme="minorBidi"/>
          <w:b w:val="0"/>
          <w:noProof/>
          <w:lang w:eastAsia="en-ZA"/>
        </w:rPr>
      </w:pPr>
      <w:hyperlink w:anchor="_Toc161437021" w:history="1">
        <w:r w:rsidR="002029E7" w:rsidRPr="0035732F">
          <w:rPr>
            <w:rStyle w:val="Hyperlink"/>
            <w:noProof/>
            <w14:scene3d>
              <w14:camera w14:prst="orthographicFront"/>
              <w14:lightRig w14:rig="threePt" w14:dir="t">
                <w14:rot w14:lat="0" w14:lon="0" w14:rev="0"/>
              </w14:lightRig>
            </w14:scene3d>
          </w:rPr>
          <w:t>Annex A:</w:t>
        </w:r>
        <w:r w:rsidR="002029E7" w:rsidRPr="0035732F">
          <w:rPr>
            <w:rStyle w:val="Hyperlink"/>
            <w:noProof/>
          </w:rPr>
          <w:t xml:space="preserve"> Bidder substantiating evidence</w:t>
        </w:r>
        <w:r w:rsidR="002029E7">
          <w:rPr>
            <w:noProof/>
            <w:webHidden/>
          </w:rPr>
          <w:tab/>
        </w:r>
        <w:r w:rsidR="002029E7">
          <w:rPr>
            <w:noProof/>
            <w:webHidden/>
          </w:rPr>
          <w:fldChar w:fldCharType="begin"/>
        </w:r>
        <w:r w:rsidR="002029E7">
          <w:rPr>
            <w:noProof/>
            <w:webHidden/>
          </w:rPr>
          <w:instrText xml:space="preserve"> PAGEREF _Toc161437021 \h </w:instrText>
        </w:r>
        <w:r w:rsidR="002029E7">
          <w:rPr>
            <w:noProof/>
            <w:webHidden/>
          </w:rPr>
        </w:r>
        <w:r w:rsidR="002029E7">
          <w:rPr>
            <w:noProof/>
            <w:webHidden/>
          </w:rPr>
          <w:fldChar w:fldCharType="separate"/>
        </w:r>
        <w:r w:rsidR="002029E7">
          <w:rPr>
            <w:noProof/>
            <w:webHidden/>
          </w:rPr>
          <w:t>19</w:t>
        </w:r>
        <w:r w:rsidR="002029E7">
          <w:rPr>
            <w:noProof/>
            <w:webHidden/>
          </w:rPr>
          <w:fldChar w:fldCharType="end"/>
        </w:r>
      </w:hyperlink>
    </w:p>
    <w:p w14:paraId="48FE8521" w14:textId="22A48ACE" w:rsidR="002029E7" w:rsidRDefault="00000000">
      <w:pPr>
        <w:pStyle w:val="TOC1"/>
        <w:rPr>
          <w:rFonts w:asciiTheme="minorHAnsi" w:eastAsiaTheme="minorEastAsia" w:hAnsiTheme="minorHAnsi" w:cstheme="minorBidi"/>
          <w:b w:val="0"/>
          <w:noProof/>
          <w:lang w:eastAsia="en-ZA"/>
        </w:rPr>
      </w:pPr>
      <w:hyperlink w:anchor="_Toc161437022" w:history="1">
        <w:r w:rsidR="002029E7" w:rsidRPr="0035732F">
          <w:rPr>
            <w:rStyle w:val="Hyperlink"/>
            <w:noProof/>
          </w:rPr>
          <w:t>6.</w:t>
        </w:r>
        <w:r w:rsidR="002029E7">
          <w:rPr>
            <w:rFonts w:asciiTheme="minorHAnsi" w:eastAsiaTheme="minorEastAsia" w:hAnsiTheme="minorHAnsi" w:cstheme="minorBidi"/>
            <w:b w:val="0"/>
            <w:noProof/>
            <w:lang w:eastAsia="en-ZA"/>
          </w:rPr>
          <w:tab/>
        </w:r>
        <w:r w:rsidR="002029E7" w:rsidRPr="0035732F">
          <w:rPr>
            <w:rStyle w:val="Hyperlink"/>
            <w:noProof/>
          </w:rPr>
          <w:t>Technical Mandatory Requirement Evidence</w:t>
        </w:r>
        <w:r w:rsidR="002029E7">
          <w:rPr>
            <w:noProof/>
            <w:webHidden/>
          </w:rPr>
          <w:tab/>
        </w:r>
        <w:r w:rsidR="002029E7">
          <w:rPr>
            <w:noProof/>
            <w:webHidden/>
          </w:rPr>
          <w:fldChar w:fldCharType="begin"/>
        </w:r>
        <w:r w:rsidR="002029E7">
          <w:rPr>
            <w:noProof/>
            <w:webHidden/>
          </w:rPr>
          <w:instrText xml:space="preserve"> PAGEREF _Toc161437022 \h </w:instrText>
        </w:r>
        <w:r w:rsidR="002029E7">
          <w:rPr>
            <w:noProof/>
            <w:webHidden/>
          </w:rPr>
        </w:r>
        <w:r w:rsidR="002029E7">
          <w:rPr>
            <w:noProof/>
            <w:webHidden/>
          </w:rPr>
          <w:fldChar w:fldCharType="separate"/>
        </w:r>
        <w:r w:rsidR="002029E7">
          <w:rPr>
            <w:noProof/>
            <w:webHidden/>
          </w:rPr>
          <w:t>19</w:t>
        </w:r>
        <w:r w:rsidR="002029E7">
          <w:rPr>
            <w:noProof/>
            <w:webHidden/>
          </w:rPr>
          <w:fldChar w:fldCharType="end"/>
        </w:r>
      </w:hyperlink>
    </w:p>
    <w:p w14:paraId="674631CE" w14:textId="354AA08F" w:rsidR="002029E7" w:rsidRDefault="00000000">
      <w:pPr>
        <w:pStyle w:val="TOC2"/>
        <w:rPr>
          <w:rFonts w:asciiTheme="minorHAnsi" w:eastAsiaTheme="minorEastAsia" w:hAnsiTheme="minorHAnsi" w:cstheme="minorBidi"/>
          <w:noProof/>
          <w:lang w:eastAsia="en-ZA"/>
        </w:rPr>
      </w:pPr>
      <w:hyperlink w:anchor="_Toc161437023" w:history="1">
        <w:r w:rsidR="002029E7" w:rsidRPr="0035732F">
          <w:rPr>
            <w:rStyle w:val="Hyperlink"/>
            <w:noProof/>
          </w:rPr>
          <w:t>6.1</w:t>
        </w:r>
        <w:r w:rsidR="002029E7">
          <w:rPr>
            <w:rFonts w:asciiTheme="minorHAnsi" w:eastAsiaTheme="minorEastAsia" w:hAnsiTheme="minorHAnsi" w:cstheme="minorBidi"/>
            <w:noProof/>
            <w:lang w:eastAsia="en-ZA"/>
          </w:rPr>
          <w:tab/>
        </w:r>
        <w:r w:rsidR="002029E7" w:rsidRPr="0035732F">
          <w:rPr>
            <w:rStyle w:val="Hyperlink"/>
            <w:noProof/>
          </w:rPr>
          <w:t>Bidder Certification / Affiliation Requirements</w:t>
        </w:r>
        <w:r w:rsidR="002029E7">
          <w:rPr>
            <w:noProof/>
            <w:webHidden/>
          </w:rPr>
          <w:tab/>
        </w:r>
        <w:r w:rsidR="002029E7">
          <w:rPr>
            <w:noProof/>
            <w:webHidden/>
          </w:rPr>
          <w:fldChar w:fldCharType="begin"/>
        </w:r>
        <w:r w:rsidR="002029E7">
          <w:rPr>
            <w:noProof/>
            <w:webHidden/>
          </w:rPr>
          <w:instrText xml:space="preserve"> PAGEREF _Toc161437023 \h </w:instrText>
        </w:r>
        <w:r w:rsidR="002029E7">
          <w:rPr>
            <w:noProof/>
            <w:webHidden/>
          </w:rPr>
        </w:r>
        <w:r w:rsidR="002029E7">
          <w:rPr>
            <w:noProof/>
            <w:webHidden/>
          </w:rPr>
          <w:fldChar w:fldCharType="separate"/>
        </w:r>
        <w:r w:rsidR="002029E7">
          <w:rPr>
            <w:noProof/>
            <w:webHidden/>
          </w:rPr>
          <w:t>19</w:t>
        </w:r>
        <w:r w:rsidR="002029E7">
          <w:rPr>
            <w:noProof/>
            <w:webHidden/>
          </w:rPr>
          <w:fldChar w:fldCharType="end"/>
        </w:r>
      </w:hyperlink>
    </w:p>
    <w:p w14:paraId="0AF19E7B" w14:textId="6FEE64CD" w:rsidR="002029E7" w:rsidRDefault="00000000">
      <w:pPr>
        <w:pStyle w:val="TOC2"/>
        <w:rPr>
          <w:rFonts w:asciiTheme="minorHAnsi" w:eastAsiaTheme="minorEastAsia" w:hAnsiTheme="minorHAnsi" w:cstheme="minorBidi"/>
          <w:noProof/>
          <w:lang w:eastAsia="en-ZA"/>
        </w:rPr>
      </w:pPr>
      <w:hyperlink w:anchor="_Toc161437024" w:history="1">
        <w:r w:rsidR="002029E7" w:rsidRPr="0035732F">
          <w:rPr>
            <w:rStyle w:val="Hyperlink"/>
            <w:noProof/>
          </w:rPr>
          <w:t>6.2</w:t>
        </w:r>
        <w:r w:rsidR="002029E7">
          <w:rPr>
            <w:rFonts w:asciiTheme="minorHAnsi" w:eastAsiaTheme="minorEastAsia" w:hAnsiTheme="minorHAnsi" w:cstheme="minorBidi"/>
            <w:noProof/>
            <w:lang w:eastAsia="en-ZA"/>
          </w:rPr>
          <w:tab/>
        </w:r>
        <w:r w:rsidR="002029E7" w:rsidRPr="0035732F">
          <w:rPr>
            <w:rStyle w:val="Hyperlink"/>
            <w:noProof/>
          </w:rPr>
          <w:t>Bidder Experience and Capability Requirements</w:t>
        </w:r>
        <w:r w:rsidR="002029E7">
          <w:rPr>
            <w:noProof/>
            <w:webHidden/>
          </w:rPr>
          <w:tab/>
        </w:r>
        <w:r w:rsidR="002029E7">
          <w:rPr>
            <w:noProof/>
            <w:webHidden/>
          </w:rPr>
          <w:fldChar w:fldCharType="begin"/>
        </w:r>
        <w:r w:rsidR="002029E7">
          <w:rPr>
            <w:noProof/>
            <w:webHidden/>
          </w:rPr>
          <w:instrText xml:space="preserve"> PAGEREF _Toc161437024 \h </w:instrText>
        </w:r>
        <w:r w:rsidR="002029E7">
          <w:rPr>
            <w:noProof/>
            <w:webHidden/>
          </w:rPr>
        </w:r>
        <w:r w:rsidR="002029E7">
          <w:rPr>
            <w:noProof/>
            <w:webHidden/>
          </w:rPr>
          <w:fldChar w:fldCharType="separate"/>
        </w:r>
        <w:r w:rsidR="002029E7">
          <w:rPr>
            <w:noProof/>
            <w:webHidden/>
          </w:rPr>
          <w:t>19</w:t>
        </w:r>
        <w:r w:rsidR="002029E7">
          <w:rPr>
            <w:noProof/>
            <w:webHidden/>
          </w:rPr>
          <w:fldChar w:fldCharType="end"/>
        </w:r>
      </w:hyperlink>
    </w:p>
    <w:p w14:paraId="725984B6" w14:textId="6C49C33D" w:rsidR="002029E7" w:rsidRDefault="00000000">
      <w:pPr>
        <w:pStyle w:val="TOC1"/>
        <w:rPr>
          <w:rFonts w:asciiTheme="minorHAnsi" w:eastAsiaTheme="minorEastAsia" w:hAnsiTheme="minorHAnsi" w:cstheme="minorBidi"/>
          <w:b w:val="0"/>
          <w:noProof/>
          <w:lang w:eastAsia="en-ZA"/>
        </w:rPr>
      </w:pPr>
      <w:hyperlink w:anchor="_Toc161437025" w:history="1">
        <w:r w:rsidR="002029E7" w:rsidRPr="0035732F">
          <w:rPr>
            <w:rStyle w:val="Hyperlink"/>
            <w:noProof/>
          </w:rPr>
          <w:t>7.</w:t>
        </w:r>
        <w:r w:rsidR="002029E7">
          <w:rPr>
            <w:rFonts w:asciiTheme="minorHAnsi" w:eastAsiaTheme="minorEastAsia" w:hAnsiTheme="minorHAnsi" w:cstheme="minorBidi"/>
            <w:b w:val="0"/>
            <w:noProof/>
            <w:lang w:eastAsia="en-ZA"/>
          </w:rPr>
          <w:tab/>
        </w:r>
        <w:r w:rsidR="002029E7" w:rsidRPr="0035732F">
          <w:rPr>
            <w:rStyle w:val="Hyperlink"/>
            <w:noProof/>
          </w:rPr>
          <w:t>Preference Points Preferential Goals Evidence</w:t>
        </w:r>
        <w:r w:rsidR="002029E7">
          <w:rPr>
            <w:noProof/>
            <w:webHidden/>
          </w:rPr>
          <w:tab/>
        </w:r>
        <w:r w:rsidR="002029E7">
          <w:rPr>
            <w:noProof/>
            <w:webHidden/>
          </w:rPr>
          <w:fldChar w:fldCharType="begin"/>
        </w:r>
        <w:r w:rsidR="002029E7">
          <w:rPr>
            <w:noProof/>
            <w:webHidden/>
          </w:rPr>
          <w:instrText xml:space="preserve"> PAGEREF _Toc161437025 \h </w:instrText>
        </w:r>
        <w:r w:rsidR="002029E7">
          <w:rPr>
            <w:noProof/>
            <w:webHidden/>
          </w:rPr>
        </w:r>
        <w:r w:rsidR="002029E7">
          <w:rPr>
            <w:noProof/>
            <w:webHidden/>
          </w:rPr>
          <w:fldChar w:fldCharType="separate"/>
        </w:r>
        <w:r w:rsidR="002029E7">
          <w:rPr>
            <w:noProof/>
            <w:webHidden/>
          </w:rPr>
          <w:t>19</w:t>
        </w:r>
        <w:r w:rsidR="002029E7">
          <w:rPr>
            <w:noProof/>
            <w:webHidden/>
          </w:rPr>
          <w:fldChar w:fldCharType="end"/>
        </w:r>
      </w:hyperlink>
    </w:p>
    <w:p w14:paraId="260E5EF0" w14:textId="67397456" w:rsidR="005758C0" w:rsidRDefault="00A22E66">
      <w:r>
        <w:rPr>
          <w:rFonts w:asciiTheme="minorHAnsi" w:hAnsiTheme="minorHAnsi"/>
          <w:b/>
          <w:bCs/>
          <w:caps/>
          <w:sz w:val="20"/>
        </w:rPr>
        <w:fldChar w:fldCharType="end"/>
      </w:r>
    </w:p>
    <w:p w14:paraId="11075035" w14:textId="21D98846" w:rsidR="005758C0" w:rsidRDefault="005758C0">
      <w:pPr>
        <w:sectPr w:rsidR="005758C0" w:rsidSect="00A07FD6">
          <w:footerReference w:type="default" r:id="rId12"/>
          <w:pgSz w:w="11906" w:h="16838"/>
          <w:pgMar w:top="1276" w:right="1134" w:bottom="993" w:left="1134" w:header="709" w:footer="584" w:gutter="0"/>
          <w:cols w:space="708"/>
          <w:docGrid w:linePitch="360"/>
        </w:sectPr>
      </w:pPr>
    </w:p>
    <w:p w14:paraId="609CBCE5" w14:textId="44238494" w:rsidR="005758C0" w:rsidRPr="00284048" w:rsidRDefault="00284048" w:rsidP="002029E7">
      <w:pPr>
        <w:pStyle w:val="Heading1"/>
        <w:jc w:val="both"/>
        <w:rPr>
          <w:sz w:val="24"/>
          <w:szCs w:val="24"/>
        </w:rPr>
      </w:pPr>
      <w:bookmarkStart w:id="0" w:name="_Toc161436998"/>
      <w:bookmarkStart w:id="1" w:name="_Toc394778358"/>
      <w:bookmarkStart w:id="2" w:name="_Toc505652265"/>
      <w:bookmarkStart w:id="3" w:name="_Toc394775451"/>
      <w:bookmarkStart w:id="4" w:name="_Toc498843318"/>
      <w:r w:rsidRPr="00284048">
        <w:rPr>
          <w:sz w:val="24"/>
          <w:szCs w:val="24"/>
        </w:rPr>
        <w:lastRenderedPageBreak/>
        <w:t>INTRODUCTION</w:t>
      </w:r>
      <w:bookmarkEnd w:id="0"/>
    </w:p>
    <w:p w14:paraId="2D868155" w14:textId="3AF62667" w:rsidR="00EB6E43" w:rsidRPr="00EB6E43" w:rsidRDefault="00A22E66" w:rsidP="00852A83">
      <w:pPr>
        <w:pStyle w:val="ListParagraph"/>
        <w:ind w:left="567" w:right="140"/>
        <w:rPr>
          <w:rFonts w:cstheme="minorHAnsi"/>
          <w:szCs w:val="24"/>
        </w:rPr>
      </w:pPr>
      <w:r>
        <w:rPr>
          <w:rFonts w:cstheme="minorHAnsi"/>
          <w:szCs w:val="24"/>
        </w:rPr>
        <w:t xml:space="preserve">The purpose of this RFB is to invite </w:t>
      </w:r>
      <w:r w:rsidR="00284048">
        <w:rPr>
          <w:rFonts w:cstheme="minorHAnsi"/>
          <w:szCs w:val="24"/>
        </w:rPr>
        <w:t>bidders</w:t>
      </w:r>
      <w:r w:rsidR="00EB6E43">
        <w:rPr>
          <w:rFonts w:cstheme="minorHAnsi"/>
          <w:szCs w:val="24"/>
        </w:rPr>
        <w:t xml:space="preserve"> </w:t>
      </w:r>
      <w:r>
        <w:rPr>
          <w:rFonts w:cstheme="minorHAnsi"/>
          <w:szCs w:val="24"/>
        </w:rPr>
        <w:t xml:space="preserve">to submit </w:t>
      </w:r>
      <w:r w:rsidR="00EB6E43">
        <w:rPr>
          <w:rFonts w:cstheme="minorHAnsi"/>
          <w:szCs w:val="24"/>
        </w:rPr>
        <w:t xml:space="preserve">bid for the </w:t>
      </w:r>
      <w:r w:rsidR="00EB6E43" w:rsidRPr="00852A83">
        <w:rPr>
          <w:rFonts w:cstheme="minorHAnsi"/>
          <w:szCs w:val="24"/>
        </w:rPr>
        <w:t xml:space="preserve">renewal of Veeam Backup Software Assurance </w:t>
      </w:r>
      <w:r w:rsidR="00783F60" w:rsidRPr="00852A83">
        <w:rPr>
          <w:rFonts w:cstheme="minorHAnsi"/>
          <w:szCs w:val="24"/>
        </w:rPr>
        <w:t>L</w:t>
      </w:r>
      <w:r w:rsidR="00EB6E43" w:rsidRPr="00852A83">
        <w:rPr>
          <w:rFonts w:cstheme="minorHAnsi"/>
          <w:szCs w:val="24"/>
        </w:rPr>
        <w:t xml:space="preserve">icenses for </w:t>
      </w:r>
      <w:r w:rsidR="00783F60" w:rsidRPr="00852A83">
        <w:rPr>
          <w:rFonts w:cstheme="minorHAnsi"/>
          <w:szCs w:val="24"/>
        </w:rPr>
        <w:t>Hyper C</w:t>
      </w:r>
      <w:r w:rsidR="00EB6E43" w:rsidRPr="00852A83">
        <w:rPr>
          <w:rFonts w:cstheme="minorHAnsi"/>
          <w:szCs w:val="24"/>
        </w:rPr>
        <w:t xml:space="preserve">onverged </w:t>
      </w:r>
      <w:r w:rsidR="00783F60" w:rsidRPr="00852A83">
        <w:rPr>
          <w:rFonts w:cstheme="minorHAnsi"/>
          <w:szCs w:val="24"/>
        </w:rPr>
        <w:t>I</w:t>
      </w:r>
      <w:r w:rsidR="00EB6E43" w:rsidRPr="00852A83">
        <w:rPr>
          <w:rFonts w:cstheme="minorHAnsi"/>
          <w:szCs w:val="24"/>
        </w:rPr>
        <w:t>nfrastructure (</w:t>
      </w:r>
      <w:r w:rsidR="00783F60" w:rsidRPr="00852A83">
        <w:rPr>
          <w:rFonts w:cstheme="minorHAnsi"/>
          <w:szCs w:val="24"/>
        </w:rPr>
        <w:t>HCI</w:t>
      </w:r>
      <w:r w:rsidR="00EB6E43" w:rsidRPr="00852A83">
        <w:rPr>
          <w:rFonts w:cstheme="minorHAnsi"/>
          <w:szCs w:val="24"/>
        </w:rPr>
        <w:t>) for a period of three (3) years.</w:t>
      </w:r>
      <w:r w:rsidR="00EB6E43" w:rsidRPr="00EB6E43">
        <w:rPr>
          <w:rFonts w:cstheme="minorHAnsi"/>
          <w:szCs w:val="24"/>
        </w:rPr>
        <w:t xml:space="preserve"> </w:t>
      </w:r>
    </w:p>
    <w:p w14:paraId="54CC98C8" w14:textId="0EAB0133" w:rsidR="005758C0" w:rsidRPr="00284048" w:rsidRDefault="00783F60" w:rsidP="002029E7">
      <w:pPr>
        <w:pStyle w:val="Heading2"/>
        <w:jc w:val="both"/>
        <w:rPr>
          <w:rFonts w:asciiTheme="minorHAnsi" w:hAnsiTheme="minorHAnsi" w:cstheme="minorHAnsi"/>
          <w:sz w:val="24"/>
          <w:szCs w:val="24"/>
        </w:rPr>
      </w:pPr>
      <w:r w:rsidRPr="00284048">
        <w:rPr>
          <w:sz w:val="24"/>
          <w:szCs w:val="24"/>
        </w:rPr>
        <w:t xml:space="preserve"> </w:t>
      </w:r>
      <w:bookmarkStart w:id="5" w:name="_Toc161436999"/>
      <w:r w:rsidR="008864A1" w:rsidRPr="00284048">
        <w:rPr>
          <w:sz w:val="24"/>
          <w:szCs w:val="24"/>
        </w:rPr>
        <w:t>Background</w:t>
      </w:r>
      <w:bookmarkEnd w:id="5"/>
    </w:p>
    <w:p w14:paraId="5C5C8B54" w14:textId="5D6775F6" w:rsidR="005758C0" w:rsidRPr="00783F60" w:rsidRDefault="00A22E66" w:rsidP="00852A83">
      <w:pPr>
        <w:pStyle w:val="ListParagraph"/>
        <w:numPr>
          <w:ilvl w:val="0"/>
          <w:numId w:val="24"/>
        </w:numPr>
        <w:ind w:left="567" w:right="140" w:hanging="567"/>
        <w:rPr>
          <w:rFonts w:cstheme="minorHAnsi"/>
          <w:szCs w:val="24"/>
        </w:rPr>
      </w:pPr>
      <w:r w:rsidRPr="00783F60">
        <w:rPr>
          <w:rFonts w:cstheme="minorHAnsi"/>
          <w:szCs w:val="24"/>
        </w:rPr>
        <w:t xml:space="preserve">Hyper Converged Infrastructure </w:t>
      </w:r>
      <w:r w:rsidRPr="00783F60">
        <w:rPr>
          <w:rFonts w:cstheme="minorHAnsi"/>
          <w:b/>
          <w:szCs w:val="24"/>
        </w:rPr>
        <w:t>(HCI)</w:t>
      </w:r>
      <w:r w:rsidRPr="00783F60">
        <w:rPr>
          <w:rFonts w:cstheme="minorHAnsi"/>
          <w:szCs w:val="24"/>
        </w:rPr>
        <w:t xml:space="preserve"> is </w:t>
      </w:r>
      <w:r w:rsidR="00783F60" w:rsidRPr="00783F60">
        <w:rPr>
          <w:rFonts w:cstheme="minorHAnsi"/>
          <w:szCs w:val="24"/>
        </w:rPr>
        <w:t>a software</w:t>
      </w:r>
      <w:r w:rsidRPr="00783F60">
        <w:rPr>
          <w:rFonts w:cstheme="minorHAnsi"/>
          <w:szCs w:val="24"/>
        </w:rPr>
        <w:t xml:space="preserve"> defined IT infrastructure that virtualises all the elements of the DOD’s conventional Midrange hardware systems. These licences enable backups of all Department of Defence systems hosted on Hyper Converged Infrastructure (HCI) for both primary and secondary data centres. </w:t>
      </w:r>
    </w:p>
    <w:p w14:paraId="6559EAB5" w14:textId="129CB08C" w:rsidR="005758C0" w:rsidRPr="00783F60" w:rsidRDefault="00A22E66" w:rsidP="00284048">
      <w:pPr>
        <w:pStyle w:val="ListParagraph"/>
        <w:numPr>
          <w:ilvl w:val="0"/>
          <w:numId w:val="24"/>
        </w:numPr>
        <w:ind w:left="567" w:hanging="567"/>
        <w:rPr>
          <w:rFonts w:cstheme="minorHAnsi"/>
          <w:color w:val="000000"/>
          <w:szCs w:val="24"/>
          <w:lang w:val="en-US" w:eastAsia="en-ZA"/>
        </w:rPr>
      </w:pPr>
      <w:r w:rsidRPr="00783F60">
        <w:rPr>
          <w:rFonts w:cstheme="minorHAnsi"/>
          <w:szCs w:val="24"/>
        </w:rPr>
        <w:t xml:space="preserve">Veeam software is deployed by the </w:t>
      </w:r>
      <w:r w:rsidR="008864A1" w:rsidRPr="00783F60">
        <w:rPr>
          <w:rFonts w:cstheme="minorHAnsi"/>
          <w:szCs w:val="24"/>
        </w:rPr>
        <w:t xml:space="preserve">SITA </w:t>
      </w:r>
      <w:r w:rsidRPr="00783F60">
        <w:rPr>
          <w:rFonts w:cstheme="minorHAnsi"/>
          <w:szCs w:val="24"/>
        </w:rPr>
        <w:t xml:space="preserve">in </w:t>
      </w:r>
      <w:r w:rsidR="00783F60" w:rsidRPr="00783F60">
        <w:rPr>
          <w:rFonts w:cstheme="minorHAnsi"/>
          <w:szCs w:val="24"/>
        </w:rPr>
        <w:t>PCDC (</w:t>
      </w:r>
      <w:r w:rsidRPr="00783F60">
        <w:rPr>
          <w:rFonts w:cstheme="minorHAnsi"/>
          <w:szCs w:val="24"/>
        </w:rPr>
        <w:t xml:space="preserve">Centurion) and </w:t>
      </w:r>
      <w:r w:rsidR="00783F60" w:rsidRPr="00783F60">
        <w:rPr>
          <w:rFonts w:cstheme="minorHAnsi"/>
          <w:szCs w:val="24"/>
        </w:rPr>
        <w:t>SCDC (</w:t>
      </w:r>
      <w:r w:rsidRPr="00783F60">
        <w:rPr>
          <w:rFonts w:cstheme="minorHAnsi"/>
          <w:szCs w:val="24"/>
        </w:rPr>
        <w:t xml:space="preserve">Loftus) on the HCI. The Veeam software is essential for backup and recovery purposes for all DOD HCI application systems that were migrated from the midrange production servers in </w:t>
      </w:r>
      <w:r w:rsidR="00783F60" w:rsidRPr="00783F60">
        <w:rPr>
          <w:rFonts w:cstheme="minorHAnsi"/>
          <w:szCs w:val="24"/>
        </w:rPr>
        <w:t>PCDC (</w:t>
      </w:r>
      <w:r w:rsidRPr="00783F60">
        <w:rPr>
          <w:rFonts w:cstheme="minorHAnsi"/>
          <w:szCs w:val="24"/>
        </w:rPr>
        <w:t xml:space="preserve">Centurion) primary data Centre. </w:t>
      </w:r>
    </w:p>
    <w:p w14:paraId="458E0FC0" w14:textId="25D51535" w:rsidR="005758C0" w:rsidRPr="00783F60" w:rsidRDefault="00A22E66" w:rsidP="00284048">
      <w:pPr>
        <w:pStyle w:val="ListParagraph"/>
        <w:numPr>
          <w:ilvl w:val="0"/>
          <w:numId w:val="24"/>
        </w:numPr>
        <w:ind w:left="567" w:hanging="567"/>
        <w:rPr>
          <w:rFonts w:cstheme="minorHAnsi"/>
          <w:szCs w:val="24"/>
        </w:rPr>
      </w:pPr>
      <w:r w:rsidRPr="00783F60">
        <w:rPr>
          <w:rFonts w:cstheme="minorHAnsi"/>
          <w:szCs w:val="24"/>
        </w:rPr>
        <w:t>Veeam products are highly specialised software</w:t>
      </w:r>
      <w:r w:rsidR="00783F60" w:rsidRPr="00783F60">
        <w:rPr>
          <w:rFonts w:cstheme="minorHAnsi"/>
          <w:szCs w:val="24"/>
        </w:rPr>
        <w:t>, support</w:t>
      </w:r>
      <w:r w:rsidRPr="00783F60">
        <w:rPr>
          <w:rFonts w:cstheme="minorHAnsi"/>
          <w:szCs w:val="24"/>
        </w:rPr>
        <w:t xml:space="preserve"> and maintenance </w:t>
      </w:r>
      <w:r w:rsidR="008864A1" w:rsidRPr="00783F60">
        <w:rPr>
          <w:rFonts w:cstheme="minorHAnsi"/>
          <w:szCs w:val="24"/>
        </w:rPr>
        <w:t xml:space="preserve">and </w:t>
      </w:r>
      <w:r w:rsidRPr="00783F60">
        <w:rPr>
          <w:rFonts w:cstheme="minorHAnsi"/>
          <w:szCs w:val="24"/>
        </w:rPr>
        <w:t>are only available through the O</w:t>
      </w:r>
      <w:r w:rsidR="008864A1" w:rsidRPr="00783F60">
        <w:rPr>
          <w:rFonts w:cstheme="minorHAnsi"/>
          <w:szCs w:val="24"/>
        </w:rPr>
        <w:t>S</w:t>
      </w:r>
      <w:r w:rsidRPr="00783F60">
        <w:rPr>
          <w:rFonts w:cstheme="minorHAnsi"/>
          <w:szCs w:val="24"/>
        </w:rPr>
        <w:t xml:space="preserve">M, Veeam. Current SITA </w:t>
      </w:r>
      <w:r w:rsidR="008864A1" w:rsidRPr="00783F60">
        <w:rPr>
          <w:rFonts w:cstheme="minorHAnsi"/>
          <w:szCs w:val="24"/>
        </w:rPr>
        <w:t>ITI H</w:t>
      </w:r>
      <w:r w:rsidRPr="00783F60">
        <w:rPr>
          <w:rFonts w:cstheme="minorHAnsi"/>
          <w:szCs w:val="24"/>
        </w:rPr>
        <w:t>osting</w:t>
      </w:r>
      <w:r w:rsidR="008864A1" w:rsidRPr="00783F60">
        <w:rPr>
          <w:rFonts w:cstheme="minorHAnsi"/>
          <w:szCs w:val="24"/>
        </w:rPr>
        <w:t xml:space="preserve"> DOD</w:t>
      </w:r>
      <w:r w:rsidRPr="00783F60">
        <w:rPr>
          <w:rFonts w:cstheme="minorHAnsi"/>
          <w:szCs w:val="24"/>
        </w:rPr>
        <w:t xml:space="preserve"> support team members are already trained and experienced in utilising the current software product.</w:t>
      </w:r>
    </w:p>
    <w:p w14:paraId="75FF0519" w14:textId="515968E7" w:rsidR="005758C0" w:rsidRPr="00783F60" w:rsidRDefault="00A22E66" w:rsidP="00284048">
      <w:pPr>
        <w:pStyle w:val="ListParagraph"/>
        <w:numPr>
          <w:ilvl w:val="0"/>
          <w:numId w:val="24"/>
        </w:numPr>
        <w:ind w:left="567" w:hanging="567"/>
        <w:rPr>
          <w:rFonts w:cstheme="minorHAnsi"/>
        </w:rPr>
      </w:pPr>
      <w:r w:rsidRPr="00783F60">
        <w:rPr>
          <w:rFonts w:cstheme="minorHAnsi"/>
        </w:rPr>
        <w:t>The primary benefit to SITA of an agreement</w:t>
      </w:r>
      <w:r w:rsidR="008864A1" w:rsidRPr="00783F60">
        <w:rPr>
          <w:rFonts w:cstheme="minorHAnsi"/>
        </w:rPr>
        <w:t>,</w:t>
      </w:r>
      <w:r w:rsidRPr="00783F60">
        <w:rPr>
          <w:rFonts w:cstheme="minorHAnsi"/>
        </w:rPr>
        <w:t xml:space="preserve"> is to leverage economies of scale to obtain favourable pricing by having one agreement to cover all software assurance licenses as stated in Annexure C</w:t>
      </w:r>
      <w:r w:rsidR="008864A1" w:rsidRPr="00783F60">
        <w:rPr>
          <w:rFonts w:cstheme="minorHAnsi"/>
        </w:rPr>
        <w:t>,</w:t>
      </w:r>
      <w:r w:rsidRPr="00783F60">
        <w:rPr>
          <w:rFonts w:cstheme="minorHAnsi"/>
        </w:rPr>
        <w:t xml:space="preserve"> and being used </w:t>
      </w:r>
      <w:r w:rsidR="008864A1" w:rsidRPr="00783F60">
        <w:rPr>
          <w:rFonts w:cstheme="minorHAnsi"/>
        </w:rPr>
        <w:t>by</w:t>
      </w:r>
      <w:r w:rsidRPr="00783F60">
        <w:rPr>
          <w:rFonts w:cstheme="minorHAnsi"/>
        </w:rPr>
        <w:t xml:space="preserve"> the </w:t>
      </w:r>
      <w:r w:rsidRPr="00783F60">
        <w:rPr>
          <w:rFonts w:cstheme="minorHAnsi"/>
          <w:szCs w:val="24"/>
        </w:rPr>
        <w:t xml:space="preserve">DOD in </w:t>
      </w:r>
      <w:r w:rsidR="00783F60" w:rsidRPr="00783F60">
        <w:rPr>
          <w:rFonts w:cstheme="minorHAnsi"/>
          <w:szCs w:val="24"/>
        </w:rPr>
        <w:t>PCDC (</w:t>
      </w:r>
      <w:r w:rsidRPr="00783F60">
        <w:rPr>
          <w:rFonts w:cstheme="minorHAnsi"/>
          <w:szCs w:val="24"/>
        </w:rPr>
        <w:t xml:space="preserve">Centurion) and </w:t>
      </w:r>
      <w:r w:rsidR="00783F60" w:rsidRPr="00783F60">
        <w:rPr>
          <w:rFonts w:cstheme="minorHAnsi"/>
          <w:szCs w:val="24"/>
        </w:rPr>
        <w:t>SCDC (</w:t>
      </w:r>
      <w:r w:rsidRPr="00783F60">
        <w:rPr>
          <w:rFonts w:cstheme="minorHAnsi"/>
          <w:szCs w:val="24"/>
        </w:rPr>
        <w:t xml:space="preserve">Loftus) </w:t>
      </w:r>
      <w:r w:rsidRPr="00783F60">
        <w:rPr>
          <w:rFonts w:cstheme="minorHAnsi"/>
        </w:rPr>
        <w:t xml:space="preserve">Data Centres. Entering into such an agreement also has the advantage that discounts are granted and the price for the software is fixed for the contract period, allowing SITA to make more accurate financial planning. Longer-term agreements also have more favourable pricing.                  </w:t>
      </w:r>
    </w:p>
    <w:p w14:paraId="537393CE" w14:textId="77777777" w:rsidR="005758C0" w:rsidRDefault="005758C0" w:rsidP="002029E7">
      <w:pPr>
        <w:rPr>
          <w:rFonts w:asciiTheme="minorHAnsi" w:hAnsiTheme="minorHAnsi" w:cstheme="minorHAnsi"/>
          <w:szCs w:val="24"/>
        </w:rPr>
      </w:pPr>
    </w:p>
    <w:p w14:paraId="13FA2C44" w14:textId="05841466" w:rsidR="005758C0" w:rsidRPr="00284048" w:rsidRDefault="00284048" w:rsidP="002029E7">
      <w:pPr>
        <w:pStyle w:val="Heading1"/>
        <w:jc w:val="both"/>
        <w:rPr>
          <w:sz w:val="24"/>
          <w:szCs w:val="24"/>
        </w:rPr>
      </w:pPr>
      <w:bookmarkStart w:id="6" w:name="_Toc161437000"/>
      <w:r w:rsidRPr="00284048">
        <w:rPr>
          <w:sz w:val="24"/>
          <w:szCs w:val="24"/>
        </w:rPr>
        <w:t>SCOPE OF BID</w:t>
      </w:r>
      <w:bookmarkEnd w:id="6"/>
    </w:p>
    <w:p w14:paraId="7F80EBCA" w14:textId="77777777" w:rsidR="005758C0" w:rsidRPr="00284048" w:rsidRDefault="00A22E66" w:rsidP="002029E7">
      <w:pPr>
        <w:pStyle w:val="Heading2"/>
        <w:jc w:val="both"/>
        <w:rPr>
          <w:sz w:val="24"/>
          <w:szCs w:val="24"/>
        </w:rPr>
      </w:pPr>
      <w:bookmarkStart w:id="7" w:name="_Toc161437001"/>
      <w:r w:rsidRPr="00284048">
        <w:rPr>
          <w:sz w:val="24"/>
          <w:szCs w:val="24"/>
        </w:rPr>
        <w:t>Scope of Work</w:t>
      </w:r>
      <w:bookmarkEnd w:id="7"/>
    </w:p>
    <w:p w14:paraId="0FE2A257" w14:textId="7618A4A6" w:rsidR="005758C0" w:rsidRDefault="00A22E66" w:rsidP="002029E7">
      <w:pPr>
        <w:ind w:left="567"/>
        <w:rPr>
          <w:rFonts w:cs="Calibri Light"/>
        </w:rPr>
      </w:pPr>
      <w:r>
        <w:t>Scope of this RFB is to provide a to renew the Veeam software assurance licenses associated with the Hyper Converged Infrastructure (HCI) platforms that have been implemented and Hosted at the DOD Data Centres for Three</w:t>
      </w:r>
      <w:r>
        <w:rPr>
          <w:rFonts w:cs="Calibri Light"/>
        </w:rPr>
        <w:t xml:space="preserve"> (03) year</w:t>
      </w:r>
      <w:r w:rsidR="008864A1">
        <w:rPr>
          <w:rFonts w:cs="Calibri Light"/>
        </w:rPr>
        <w:t>s</w:t>
      </w:r>
      <w:r>
        <w:rPr>
          <w:rFonts w:cs="Calibri Light"/>
        </w:rPr>
        <w:t>.</w:t>
      </w:r>
    </w:p>
    <w:p w14:paraId="047AA41F" w14:textId="77777777" w:rsidR="005758C0" w:rsidRDefault="00A22E66" w:rsidP="002029E7">
      <w:pPr>
        <w:ind w:left="567"/>
        <w:rPr>
          <w:szCs w:val="24"/>
          <w:highlight w:val="yellow"/>
        </w:rPr>
      </w:pPr>
      <w:r>
        <w:t>. These services include the following:</w:t>
      </w:r>
    </w:p>
    <w:p w14:paraId="6FF6FBCC" w14:textId="77777777" w:rsidR="005758C0" w:rsidRDefault="00A22E66" w:rsidP="002029E7">
      <w:pPr>
        <w:pStyle w:val="ListParagraph"/>
        <w:numPr>
          <w:ilvl w:val="0"/>
          <w:numId w:val="3"/>
        </w:numPr>
        <w:shd w:val="clear" w:color="auto" w:fill="FFFFFF" w:themeFill="background1"/>
        <w:spacing w:after="120" w:line="240" w:lineRule="auto"/>
        <w:ind w:left="927"/>
        <w:outlineLvl w:val="9"/>
      </w:pPr>
      <w:r>
        <w:t>Provide technical support services to address incidents and troubleshoot software issues, including providing fixes to resolve software bugs and assisting with the implementation of new releases, as needed.</w:t>
      </w:r>
    </w:p>
    <w:p w14:paraId="7126A656" w14:textId="77777777" w:rsidR="005758C0" w:rsidRDefault="00A22E66" w:rsidP="002029E7">
      <w:pPr>
        <w:pStyle w:val="ListParagraph"/>
        <w:numPr>
          <w:ilvl w:val="0"/>
          <w:numId w:val="3"/>
        </w:numPr>
        <w:spacing w:after="120" w:line="240" w:lineRule="auto"/>
        <w:ind w:left="927"/>
        <w:outlineLvl w:val="9"/>
      </w:pPr>
      <w:r>
        <w:t>Provide enhancements, patches, upgrades, new releases and versions of the Software to maintain the Software on supported versions and to ensure that the Software can function under new releases of the system software for which the Software was developed.</w:t>
      </w:r>
    </w:p>
    <w:p w14:paraId="72C81A5D" w14:textId="77777777" w:rsidR="005758C0" w:rsidRDefault="00A22E66" w:rsidP="002029E7">
      <w:pPr>
        <w:pStyle w:val="ListParagraph"/>
        <w:numPr>
          <w:ilvl w:val="0"/>
          <w:numId w:val="3"/>
        </w:numPr>
        <w:spacing w:after="120" w:line="240" w:lineRule="auto"/>
        <w:ind w:left="927"/>
        <w:outlineLvl w:val="9"/>
      </w:pPr>
      <w:r>
        <w:t>Provide additional software licenses as needed during the term of the Agreement to ensure that SITA meets Veeam licensing requirements.</w:t>
      </w:r>
    </w:p>
    <w:p w14:paraId="01A85BFF" w14:textId="77777777" w:rsidR="005758C0" w:rsidRDefault="00A22E66" w:rsidP="002029E7">
      <w:pPr>
        <w:pStyle w:val="ListParagraph"/>
        <w:numPr>
          <w:ilvl w:val="0"/>
          <w:numId w:val="3"/>
        </w:numPr>
        <w:spacing w:after="120" w:line="240" w:lineRule="auto"/>
        <w:ind w:left="927"/>
        <w:outlineLvl w:val="9"/>
        <w:rPr>
          <w:lang w:eastAsia="en-GB"/>
        </w:rPr>
      </w:pPr>
      <w:r>
        <w:rPr>
          <w:lang w:eastAsia="en-GB"/>
        </w:rPr>
        <w:t>Provide firmware upgrades to the software when released by Veeam and repair before failure occurs.</w:t>
      </w:r>
    </w:p>
    <w:p w14:paraId="32DE0301" w14:textId="77777777" w:rsidR="005758C0" w:rsidRDefault="00A22E66" w:rsidP="00852A83">
      <w:pPr>
        <w:pStyle w:val="Heading2"/>
        <w:ind w:left="142" w:firstLine="0"/>
        <w:jc w:val="both"/>
      </w:pPr>
      <w:bookmarkStart w:id="8" w:name="_Toc161437002"/>
      <w:r>
        <w:t>Delivery address</w:t>
      </w:r>
      <w:bookmarkEnd w:id="8"/>
    </w:p>
    <w:p w14:paraId="0A260E24" w14:textId="77777777" w:rsidR="005758C0" w:rsidRDefault="00A22E66" w:rsidP="00284048">
      <w:pPr>
        <w:ind w:firstLine="567"/>
        <w:rPr>
          <w:lang w:val="en-GB"/>
        </w:rPr>
      </w:pPr>
      <w:r>
        <w:rPr>
          <w:lang w:val="en-GB"/>
        </w:rPr>
        <w:t xml:space="preserve">The address where the required goods / services / works must be delivered </w:t>
      </w:r>
    </w:p>
    <w:tbl>
      <w:tblPr>
        <w:tblStyle w:val="TableGrid"/>
        <w:tblW w:w="5108" w:type="pct"/>
        <w:tblInd w:w="562" w:type="dxa"/>
        <w:tblLook w:val="04A0" w:firstRow="1" w:lastRow="0" w:firstColumn="1" w:lastColumn="0" w:noHBand="0" w:noVBand="1"/>
      </w:tblPr>
      <w:tblGrid>
        <w:gridCol w:w="993"/>
        <w:gridCol w:w="5302"/>
        <w:gridCol w:w="3541"/>
      </w:tblGrid>
      <w:tr w:rsidR="005758C0" w14:paraId="3580E790" w14:textId="77777777" w:rsidTr="00284048">
        <w:trPr>
          <w:trHeight w:val="408"/>
        </w:trPr>
        <w:tc>
          <w:tcPr>
            <w:tcW w:w="505" w:type="pct"/>
            <w:shd w:val="clear" w:color="auto" w:fill="C6D9F1" w:themeFill="text2" w:themeFillTint="33"/>
          </w:tcPr>
          <w:p w14:paraId="70F932B6" w14:textId="77777777" w:rsidR="005758C0" w:rsidRDefault="00A22E66" w:rsidP="002029E7">
            <w:pPr>
              <w:spacing w:after="0" w:line="240" w:lineRule="auto"/>
              <w:rPr>
                <w:rFonts w:asciiTheme="minorHAnsi" w:hAnsiTheme="minorHAnsi"/>
                <w:b/>
              </w:rPr>
            </w:pPr>
            <w:r>
              <w:rPr>
                <w:rFonts w:asciiTheme="minorHAnsi" w:hAnsiTheme="minorHAnsi"/>
                <w:b/>
              </w:rPr>
              <w:t>No</w:t>
            </w:r>
          </w:p>
        </w:tc>
        <w:tc>
          <w:tcPr>
            <w:tcW w:w="2695" w:type="pct"/>
            <w:shd w:val="clear" w:color="auto" w:fill="DBE5F1" w:themeFill="accent1" w:themeFillTint="33"/>
          </w:tcPr>
          <w:p w14:paraId="231B5815" w14:textId="77777777" w:rsidR="005758C0" w:rsidRDefault="00A22E66" w:rsidP="002029E7">
            <w:pPr>
              <w:spacing w:after="0" w:line="240" w:lineRule="auto"/>
              <w:rPr>
                <w:rFonts w:asciiTheme="minorHAnsi" w:hAnsiTheme="minorHAnsi"/>
                <w:b/>
              </w:rPr>
            </w:pPr>
            <w:r>
              <w:rPr>
                <w:rFonts w:asciiTheme="minorHAnsi" w:hAnsiTheme="minorHAnsi"/>
                <w:b/>
              </w:rPr>
              <w:t>Physical Address</w:t>
            </w:r>
          </w:p>
        </w:tc>
        <w:tc>
          <w:tcPr>
            <w:tcW w:w="1801" w:type="pct"/>
            <w:shd w:val="clear" w:color="auto" w:fill="DBE5F1" w:themeFill="accent1" w:themeFillTint="33"/>
          </w:tcPr>
          <w:p w14:paraId="6B0EE555" w14:textId="29252E50" w:rsidR="005758C0" w:rsidRDefault="00600588" w:rsidP="002029E7">
            <w:pPr>
              <w:spacing w:after="0" w:line="240" w:lineRule="auto"/>
              <w:rPr>
                <w:rFonts w:asciiTheme="minorHAnsi" w:hAnsiTheme="minorHAnsi"/>
                <w:b/>
              </w:rPr>
            </w:pPr>
            <w:r>
              <w:rPr>
                <w:rFonts w:asciiTheme="minorHAnsi" w:hAnsiTheme="minorHAnsi"/>
                <w:b/>
              </w:rPr>
              <w:t>Contact persons</w:t>
            </w:r>
          </w:p>
        </w:tc>
      </w:tr>
      <w:tr w:rsidR="005758C0" w14:paraId="21150D97" w14:textId="77777777" w:rsidTr="00284048">
        <w:trPr>
          <w:trHeight w:val="266"/>
        </w:trPr>
        <w:tc>
          <w:tcPr>
            <w:tcW w:w="505" w:type="pct"/>
            <w:shd w:val="clear" w:color="auto" w:fill="auto"/>
          </w:tcPr>
          <w:p w14:paraId="2D40588E" w14:textId="77777777" w:rsidR="005758C0" w:rsidRDefault="00A22E66" w:rsidP="002029E7">
            <w:pPr>
              <w:spacing w:after="0" w:line="240" w:lineRule="auto"/>
              <w:rPr>
                <w:rFonts w:asciiTheme="minorHAnsi" w:hAnsiTheme="minorHAnsi"/>
                <w:b/>
              </w:rPr>
            </w:pPr>
            <w:r>
              <w:rPr>
                <w:rFonts w:asciiTheme="minorHAnsi" w:hAnsiTheme="minorHAnsi"/>
                <w:b/>
              </w:rPr>
              <w:t>1.</w:t>
            </w:r>
          </w:p>
        </w:tc>
        <w:tc>
          <w:tcPr>
            <w:tcW w:w="2695" w:type="pct"/>
          </w:tcPr>
          <w:p w14:paraId="3412085F" w14:textId="3256273D" w:rsidR="005758C0" w:rsidRPr="00887C6C" w:rsidRDefault="008864A1" w:rsidP="00887C6C">
            <w:pPr>
              <w:rPr>
                <w:lang w:val="en-GB"/>
              </w:rPr>
            </w:pPr>
            <w:r w:rsidRPr="00887C6C">
              <w:rPr>
                <w:lang w:val="en-GB"/>
              </w:rPr>
              <w:t>459 Tsitsa Street, Erasmuskloof , Pretoria East , 0048</w:t>
            </w:r>
          </w:p>
        </w:tc>
        <w:tc>
          <w:tcPr>
            <w:tcW w:w="1801" w:type="pct"/>
          </w:tcPr>
          <w:p w14:paraId="32D7EFBE" w14:textId="2CF9FCBF" w:rsidR="005758C0" w:rsidRPr="00887C6C" w:rsidRDefault="00600588" w:rsidP="00887C6C">
            <w:pPr>
              <w:rPr>
                <w:lang w:val="en-GB"/>
              </w:rPr>
            </w:pPr>
            <w:r w:rsidRPr="00887C6C">
              <w:rPr>
                <w:lang w:val="en-GB"/>
              </w:rPr>
              <w:t>Dave van Staden / Vincent Semenya</w:t>
            </w:r>
          </w:p>
        </w:tc>
      </w:tr>
    </w:tbl>
    <w:p w14:paraId="3FB70ADC" w14:textId="77777777" w:rsidR="005758C0" w:rsidRDefault="005758C0" w:rsidP="002029E7">
      <w:pPr>
        <w:rPr>
          <w:lang w:val="en-GB"/>
        </w:rPr>
      </w:pPr>
    </w:p>
    <w:p w14:paraId="6C286BD1" w14:textId="77777777" w:rsidR="005758C0" w:rsidRPr="00852A83" w:rsidRDefault="00A22E66" w:rsidP="00852A83">
      <w:pPr>
        <w:pStyle w:val="Heading2"/>
        <w:ind w:left="142" w:firstLine="0"/>
        <w:jc w:val="both"/>
      </w:pPr>
      <w:bookmarkStart w:id="9" w:name="_Toc161437003"/>
      <w:r w:rsidRPr="00852A83">
        <w:lastRenderedPageBreak/>
        <w:t>Customer Infrastructure and environment requirements</w:t>
      </w:r>
      <w:bookmarkEnd w:id="9"/>
    </w:p>
    <w:p w14:paraId="3D87A0EA" w14:textId="1C8CF4C4" w:rsidR="005758C0" w:rsidRDefault="006945C0" w:rsidP="002029E7">
      <w:pPr>
        <w:pStyle w:val="Specification"/>
        <w:ind w:left="567"/>
        <w:jc w:val="both"/>
        <w:rPr>
          <w:rFonts w:asciiTheme="majorHAnsi" w:hAnsiTheme="majorHAnsi" w:cstheme="majorHAnsi"/>
          <w:sz w:val="22"/>
          <w:szCs w:val="22"/>
        </w:rPr>
      </w:pPr>
      <w:r>
        <w:rPr>
          <w:rFonts w:asciiTheme="majorHAnsi" w:hAnsiTheme="majorHAnsi" w:cstheme="majorHAnsi"/>
          <w:sz w:val="22"/>
          <w:szCs w:val="22"/>
        </w:rPr>
        <w:t>N/A</w:t>
      </w:r>
    </w:p>
    <w:p w14:paraId="172CCDFF" w14:textId="77777777" w:rsidR="00284048" w:rsidRDefault="00284048" w:rsidP="002029E7">
      <w:pPr>
        <w:pStyle w:val="Specification"/>
        <w:ind w:left="567"/>
        <w:jc w:val="both"/>
        <w:rPr>
          <w:rFonts w:asciiTheme="majorHAnsi" w:hAnsiTheme="majorHAnsi" w:cstheme="majorHAnsi"/>
          <w:sz w:val="22"/>
          <w:szCs w:val="22"/>
        </w:rPr>
      </w:pPr>
    </w:p>
    <w:p w14:paraId="173518C9" w14:textId="418CE477" w:rsidR="005758C0" w:rsidRDefault="00284048" w:rsidP="002029E7">
      <w:pPr>
        <w:pStyle w:val="Heading1"/>
        <w:jc w:val="both"/>
        <w:rPr>
          <w:sz w:val="24"/>
          <w:szCs w:val="24"/>
        </w:rPr>
      </w:pPr>
      <w:bookmarkStart w:id="10" w:name="_Toc161437004"/>
      <w:r w:rsidRPr="00284048">
        <w:rPr>
          <w:sz w:val="24"/>
          <w:szCs w:val="24"/>
        </w:rPr>
        <w:t>REQUIREMENTS</w:t>
      </w:r>
      <w:bookmarkEnd w:id="10"/>
    </w:p>
    <w:p w14:paraId="472D9CD6" w14:textId="1AE56563" w:rsidR="00284048" w:rsidRPr="00284048" w:rsidRDefault="00852A83" w:rsidP="00284048">
      <w:pPr>
        <w:rPr>
          <w:lang w:val="en-GB"/>
        </w:rPr>
      </w:pPr>
      <w:r>
        <w:rPr>
          <w:lang w:val="en-GB"/>
        </w:rPr>
        <w:t xml:space="preserve"> </w:t>
      </w:r>
    </w:p>
    <w:p w14:paraId="6B04A072" w14:textId="77777777" w:rsidR="005758C0" w:rsidRDefault="00A22E66" w:rsidP="00852A83">
      <w:pPr>
        <w:pStyle w:val="Heading2"/>
        <w:ind w:left="142" w:firstLine="0"/>
        <w:jc w:val="both"/>
      </w:pPr>
      <w:bookmarkStart w:id="11" w:name="_Toc161437005"/>
      <w:r w:rsidRPr="00852A83">
        <w:t>Product / Service / Solution Requirements</w:t>
      </w:r>
      <w:bookmarkEnd w:id="11"/>
    </w:p>
    <w:p w14:paraId="7B7ACFEC" w14:textId="77777777" w:rsidR="00852A83" w:rsidRPr="00852A83" w:rsidRDefault="00852A83" w:rsidP="00852A83"/>
    <w:p w14:paraId="2B8C35EB" w14:textId="77777777" w:rsidR="005758C0" w:rsidRDefault="00A22E66" w:rsidP="00852A83">
      <w:pPr>
        <w:pStyle w:val="Heading3"/>
        <w:ind w:left="851" w:hanging="709"/>
      </w:pPr>
      <w:bookmarkStart w:id="12" w:name="_Toc161437006"/>
      <w:r>
        <w:t>DOD require renewal of Veeam software assurance licenses for the following products/services Functional Requirements as indicated below:</w:t>
      </w:r>
      <w:bookmarkEnd w:id="12"/>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381"/>
        <w:gridCol w:w="2015"/>
        <w:gridCol w:w="1630"/>
        <w:gridCol w:w="3279"/>
      </w:tblGrid>
      <w:tr w:rsidR="00282F6F" w:rsidRPr="001319CA" w14:paraId="6024C948" w14:textId="77777777" w:rsidTr="00284048">
        <w:trPr>
          <w:trHeight w:val="634"/>
        </w:trPr>
        <w:tc>
          <w:tcPr>
            <w:tcW w:w="1051" w:type="dxa"/>
            <w:shd w:val="clear" w:color="000000" w:fill="B4C6E7"/>
            <w:hideMark/>
          </w:tcPr>
          <w:p w14:paraId="583DF741" w14:textId="77777777" w:rsidR="00282F6F" w:rsidRPr="00887C6C" w:rsidRDefault="00282F6F" w:rsidP="002029E7">
            <w:pPr>
              <w:spacing w:after="0" w:line="240" w:lineRule="auto"/>
              <w:rPr>
                <w:rFonts w:asciiTheme="majorHAnsi" w:eastAsia="Times New Roman" w:hAnsiTheme="majorHAnsi" w:cstheme="majorHAnsi"/>
                <w:b/>
                <w:bCs/>
                <w:color w:val="000000"/>
                <w:sz w:val="24"/>
                <w:szCs w:val="24"/>
                <w:lang w:val="en-US"/>
              </w:rPr>
            </w:pPr>
            <w:r w:rsidRPr="00887C6C">
              <w:rPr>
                <w:rFonts w:asciiTheme="majorHAnsi" w:eastAsia="Times New Roman" w:hAnsiTheme="majorHAnsi" w:cstheme="majorHAnsi"/>
                <w:b/>
                <w:bCs/>
                <w:color w:val="000000"/>
                <w:sz w:val="24"/>
                <w:szCs w:val="24"/>
                <w:lang w:val="en-US"/>
              </w:rPr>
              <w:t>Contract #</w:t>
            </w:r>
          </w:p>
        </w:tc>
        <w:tc>
          <w:tcPr>
            <w:tcW w:w="1381" w:type="dxa"/>
            <w:shd w:val="clear" w:color="000000" w:fill="B4C6E7"/>
            <w:hideMark/>
          </w:tcPr>
          <w:p w14:paraId="5C4350CD" w14:textId="77777777" w:rsidR="00282F6F" w:rsidRPr="00887C6C" w:rsidRDefault="00282F6F" w:rsidP="002029E7">
            <w:pPr>
              <w:spacing w:after="0" w:line="240" w:lineRule="auto"/>
              <w:rPr>
                <w:rFonts w:asciiTheme="majorHAnsi" w:eastAsia="Times New Roman" w:hAnsiTheme="majorHAnsi" w:cstheme="majorHAnsi"/>
                <w:b/>
                <w:bCs/>
                <w:color w:val="000000"/>
                <w:sz w:val="24"/>
                <w:szCs w:val="24"/>
                <w:lang w:val="en-US"/>
              </w:rPr>
            </w:pPr>
            <w:r w:rsidRPr="00887C6C">
              <w:rPr>
                <w:rFonts w:asciiTheme="majorHAnsi" w:eastAsia="Times New Roman" w:hAnsiTheme="majorHAnsi" w:cstheme="majorHAnsi"/>
                <w:b/>
                <w:bCs/>
                <w:color w:val="000000"/>
                <w:sz w:val="24"/>
                <w:szCs w:val="24"/>
                <w:lang w:val="en-US"/>
              </w:rPr>
              <w:t>Quantity</w:t>
            </w:r>
          </w:p>
        </w:tc>
        <w:tc>
          <w:tcPr>
            <w:tcW w:w="2015" w:type="dxa"/>
            <w:shd w:val="clear" w:color="000000" w:fill="B4C6E7"/>
            <w:hideMark/>
          </w:tcPr>
          <w:p w14:paraId="1D7FC0A9" w14:textId="77777777" w:rsidR="00282F6F" w:rsidRPr="00887C6C" w:rsidRDefault="00282F6F" w:rsidP="00E17D71">
            <w:pPr>
              <w:spacing w:after="0" w:line="240" w:lineRule="auto"/>
              <w:jc w:val="left"/>
              <w:rPr>
                <w:rFonts w:asciiTheme="majorHAnsi" w:eastAsia="Times New Roman" w:hAnsiTheme="majorHAnsi" w:cstheme="majorHAnsi"/>
                <w:b/>
                <w:bCs/>
                <w:color w:val="000000"/>
                <w:sz w:val="24"/>
                <w:szCs w:val="24"/>
                <w:lang w:val="en-US"/>
              </w:rPr>
            </w:pPr>
            <w:r w:rsidRPr="00887C6C">
              <w:rPr>
                <w:rFonts w:asciiTheme="majorHAnsi" w:eastAsia="Times New Roman" w:hAnsiTheme="majorHAnsi" w:cstheme="majorHAnsi"/>
                <w:b/>
                <w:bCs/>
                <w:color w:val="000000"/>
                <w:sz w:val="24"/>
                <w:szCs w:val="24"/>
                <w:lang w:val="en-US"/>
              </w:rPr>
              <w:t>Licensed Unit (+term)</w:t>
            </w:r>
          </w:p>
        </w:tc>
        <w:tc>
          <w:tcPr>
            <w:tcW w:w="1630" w:type="dxa"/>
            <w:shd w:val="clear" w:color="000000" w:fill="B4C6E7"/>
            <w:hideMark/>
          </w:tcPr>
          <w:p w14:paraId="490ED45B" w14:textId="77777777" w:rsidR="00282F6F" w:rsidRPr="00887C6C" w:rsidRDefault="00282F6F" w:rsidP="002029E7">
            <w:pPr>
              <w:spacing w:after="0" w:line="240" w:lineRule="auto"/>
              <w:rPr>
                <w:rFonts w:asciiTheme="majorHAnsi" w:eastAsia="Times New Roman" w:hAnsiTheme="majorHAnsi" w:cstheme="majorHAnsi"/>
                <w:b/>
                <w:bCs/>
                <w:color w:val="000000"/>
                <w:sz w:val="24"/>
                <w:szCs w:val="24"/>
                <w:lang w:val="en-US"/>
              </w:rPr>
            </w:pPr>
            <w:r w:rsidRPr="00887C6C">
              <w:rPr>
                <w:rFonts w:asciiTheme="majorHAnsi" w:eastAsia="Times New Roman" w:hAnsiTheme="majorHAnsi" w:cstheme="majorHAnsi"/>
                <w:b/>
                <w:bCs/>
                <w:color w:val="000000"/>
                <w:sz w:val="24"/>
                <w:szCs w:val="24"/>
                <w:lang w:val="en-US"/>
              </w:rPr>
              <w:t>Product SKU</w:t>
            </w:r>
          </w:p>
        </w:tc>
        <w:tc>
          <w:tcPr>
            <w:tcW w:w="3279" w:type="dxa"/>
            <w:shd w:val="clear" w:color="000000" w:fill="B4C6E7"/>
            <w:hideMark/>
          </w:tcPr>
          <w:p w14:paraId="58F59367" w14:textId="77777777" w:rsidR="00282F6F" w:rsidRPr="00887C6C" w:rsidRDefault="00282F6F" w:rsidP="002029E7">
            <w:pPr>
              <w:spacing w:after="0" w:line="240" w:lineRule="auto"/>
              <w:rPr>
                <w:rFonts w:asciiTheme="majorHAnsi" w:eastAsia="Times New Roman" w:hAnsiTheme="majorHAnsi" w:cstheme="majorHAnsi"/>
                <w:b/>
                <w:bCs/>
                <w:color w:val="000000"/>
                <w:sz w:val="24"/>
                <w:szCs w:val="24"/>
                <w:lang w:val="en-US"/>
              </w:rPr>
            </w:pPr>
            <w:r w:rsidRPr="00887C6C">
              <w:rPr>
                <w:rFonts w:asciiTheme="majorHAnsi" w:eastAsia="Times New Roman" w:hAnsiTheme="majorHAnsi" w:cstheme="majorHAnsi"/>
                <w:b/>
                <w:bCs/>
                <w:color w:val="000000"/>
                <w:sz w:val="24"/>
                <w:szCs w:val="24"/>
                <w:lang w:val="en-US"/>
              </w:rPr>
              <w:t>Veeam Product Description</w:t>
            </w:r>
          </w:p>
        </w:tc>
      </w:tr>
      <w:tr w:rsidR="00282F6F" w:rsidRPr="001319CA" w14:paraId="2146E27C" w14:textId="77777777" w:rsidTr="00284048">
        <w:trPr>
          <w:trHeight w:val="1721"/>
        </w:trPr>
        <w:tc>
          <w:tcPr>
            <w:tcW w:w="1051" w:type="dxa"/>
            <w:vMerge w:val="restart"/>
            <w:shd w:val="clear" w:color="auto" w:fill="auto"/>
            <w:vAlign w:val="center"/>
            <w:hideMark/>
          </w:tcPr>
          <w:p w14:paraId="7E4ABA73" w14:textId="77777777" w:rsidR="00282F6F" w:rsidRPr="00E17D71" w:rsidRDefault="00282F6F" w:rsidP="00E17D71">
            <w:pPr>
              <w:pStyle w:val="NoSpacing"/>
              <w:jc w:val="both"/>
            </w:pPr>
            <w:r w:rsidRPr="00E17D71">
              <w:t>2626484</w:t>
            </w:r>
          </w:p>
        </w:tc>
        <w:tc>
          <w:tcPr>
            <w:tcW w:w="1381" w:type="dxa"/>
            <w:shd w:val="clear" w:color="auto" w:fill="auto"/>
            <w:vAlign w:val="bottom"/>
            <w:hideMark/>
          </w:tcPr>
          <w:p w14:paraId="13DFD22E" w14:textId="77777777" w:rsidR="00282F6F" w:rsidRPr="00E17D71" w:rsidRDefault="00282F6F" w:rsidP="00E17D71">
            <w:pPr>
              <w:pStyle w:val="NoSpacing"/>
              <w:jc w:val="both"/>
            </w:pPr>
            <w:r w:rsidRPr="00E17D71">
              <w:t>5</w:t>
            </w:r>
          </w:p>
        </w:tc>
        <w:tc>
          <w:tcPr>
            <w:tcW w:w="2015" w:type="dxa"/>
            <w:shd w:val="clear" w:color="auto" w:fill="auto"/>
            <w:vAlign w:val="bottom"/>
            <w:hideMark/>
          </w:tcPr>
          <w:p w14:paraId="0C8EE0B1" w14:textId="77777777" w:rsidR="00282F6F" w:rsidRPr="00E17D71" w:rsidRDefault="00282F6F" w:rsidP="00E17D71">
            <w:pPr>
              <w:pStyle w:val="NoSpacing"/>
              <w:jc w:val="both"/>
            </w:pPr>
            <w:r w:rsidRPr="00E17D71">
              <w:t>Bundles</w:t>
            </w:r>
          </w:p>
        </w:tc>
        <w:tc>
          <w:tcPr>
            <w:tcW w:w="1630" w:type="dxa"/>
            <w:shd w:val="clear" w:color="auto" w:fill="auto"/>
            <w:vAlign w:val="bottom"/>
            <w:hideMark/>
          </w:tcPr>
          <w:p w14:paraId="604E9FB2" w14:textId="77777777" w:rsidR="00282F6F" w:rsidRPr="00E17D71" w:rsidRDefault="00282F6F" w:rsidP="00E17D71">
            <w:pPr>
              <w:pStyle w:val="NoSpacing"/>
              <w:jc w:val="both"/>
            </w:pPr>
            <w:r w:rsidRPr="00E17D71">
              <w:t>P-FDNVUL-0I-SU3AR-00</w:t>
            </w:r>
          </w:p>
        </w:tc>
        <w:tc>
          <w:tcPr>
            <w:tcW w:w="3279" w:type="dxa"/>
            <w:shd w:val="clear" w:color="auto" w:fill="auto"/>
            <w:vAlign w:val="bottom"/>
            <w:hideMark/>
          </w:tcPr>
          <w:p w14:paraId="43514EC0" w14:textId="77777777" w:rsidR="00282F6F" w:rsidRPr="00E17D71" w:rsidRDefault="00282F6F" w:rsidP="00E17D71">
            <w:pPr>
              <w:pStyle w:val="NoSpacing"/>
              <w:jc w:val="both"/>
            </w:pPr>
            <w:r w:rsidRPr="00E17D71">
              <w:t>Veeam Data Platform Foundation Universal Subscription License. Includes Enterprise Plus Edition features. 3 Years Renewal Subscription Upfront Billing &amp; Production (24/7) Support. 10 instance pack. Public Sector.</w:t>
            </w:r>
          </w:p>
        </w:tc>
      </w:tr>
      <w:tr w:rsidR="00282F6F" w:rsidRPr="001319CA" w14:paraId="65134C9A" w14:textId="77777777" w:rsidTr="00284048">
        <w:trPr>
          <w:trHeight w:val="1406"/>
        </w:trPr>
        <w:tc>
          <w:tcPr>
            <w:tcW w:w="1051" w:type="dxa"/>
            <w:vMerge/>
            <w:vAlign w:val="center"/>
            <w:hideMark/>
          </w:tcPr>
          <w:p w14:paraId="376B7482" w14:textId="77777777" w:rsidR="00282F6F" w:rsidRPr="00E17D71" w:rsidRDefault="00282F6F" w:rsidP="00E17D71">
            <w:pPr>
              <w:pStyle w:val="NoSpacing"/>
              <w:jc w:val="both"/>
            </w:pPr>
          </w:p>
        </w:tc>
        <w:tc>
          <w:tcPr>
            <w:tcW w:w="1381" w:type="dxa"/>
            <w:shd w:val="clear" w:color="auto" w:fill="auto"/>
            <w:vAlign w:val="bottom"/>
            <w:hideMark/>
          </w:tcPr>
          <w:p w14:paraId="30616151" w14:textId="77777777" w:rsidR="00282F6F" w:rsidRPr="00E17D71" w:rsidRDefault="00282F6F" w:rsidP="00E17D71">
            <w:pPr>
              <w:pStyle w:val="NoSpacing"/>
              <w:jc w:val="both"/>
            </w:pPr>
            <w:r w:rsidRPr="00E17D71">
              <w:t>5</w:t>
            </w:r>
          </w:p>
        </w:tc>
        <w:tc>
          <w:tcPr>
            <w:tcW w:w="2015" w:type="dxa"/>
            <w:shd w:val="clear" w:color="auto" w:fill="auto"/>
            <w:vAlign w:val="bottom"/>
            <w:hideMark/>
          </w:tcPr>
          <w:p w14:paraId="22DF1BD9" w14:textId="77777777" w:rsidR="00282F6F" w:rsidRPr="00E17D71" w:rsidRDefault="00282F6F" w:rsidP="00E17D71">
            <w:pPr>
              <w:pStyle w:val="NoSpacing"/>
              <w:jc w:val="both"/>
            </w:pPr>
            <w:r w:rsidRPr="00E17D71">
              <w:t>Bundles</w:t>
            </w:r>
          </w:p>
        </w:tc>
        <w:tc>
          <w:tcPr>
            <w:tcW w:w="1630" w:type="dxa"/>
            <w:shd w:val="clear" w:color="auto" w:fill="auto"/>
            <w:vAlign w:val="bottom"/>
            <w:hideMark/>
          </w:tcPr>
          <w:p w14:paraId="643C08E1" w14:textId="77777777" w:rsidR="00282F6F" w:rsidRPr="00E17D71" w:rsidRDefault="00282F6F" w:rsidP="00E17D71">
            <w:pPr>
              <w:pStyle w:val="NoSpacing"/>
              <w:jc w:val="both"/>
            </w:pPr>
            <w:r w:rsidRPr="00E17D71">
              <w:t>V-FDNVUL-0I-SU1MR-00</w:t>
            </w:r>
          </w:p>
        </w:tc>
        <w:tc>
          <w:tcPr>
            <w:tcW w:w="3279" w:type="dxa"/>
            <w:shd w:val="clear" w:color="auto" w:fill="auto"/>
            <w:vAlign w:val="bottom"/>
            <w:hideMark/>
          </w:tcPr>
          <w:p w14:paraId="6E2D90A7" w14:textId="77777777" w:rsidR="00282F6F" w:rsidRPr="00E17D71" w:rsidRDefault="00282F6F" w:rsidP="00E17D71">
            <w:pPr>
              <w:pStyle w:val="NoSpacing"/>
              <w:jc w:val="both"/>
            </w:pPr>
            <w:r w:rsidRPr="00E17D71">
              <w:t>Veeam Data Platform Foundation Universal Subscription License. Includes Enterprise Plus Edition features. Subscription Upfront Billing 10 instance pack. &amp; Production (24/7) Support - Renewal Monthly Coterm.</w:t>
            </w:r>
          </w:p>
        </w:tc>
      </w:tr>
      <w:tr w:rsidR="00282F6F" w:rsidRPr="001319CA" w14:paraId="49D864AD" w14:textId="77777777" w:rsidTr="00284048">
        <w:trPr>
          <w:trHeight w:val="1769"/>
        </w:trPr>
        <w:tc>
          <w:tcPr>
            <w:tcW w:w="1051" w:type="dxa"/>
            <w:vMerge/>
            <w:vAlign w:val="center"/>
            <w:hideMark/>
          </w:tcPr>
          <w:p w14:paraId="306EAC8D" w14:textId="77777777" w:rsidR="00282F6F" w:rsidRPr="00E17D71" w:rsidRDefault="00282F6F" w:rsidP="00E17D71">
            <w:pPr>
              <w:pStyle w:val="NoSpacing"/>
              <w:jc w:val="both"/>
            </w:pPr>
          </w:p>
        </w:tc>
        <w:tc>
          <w:tcPr>
            <w:tcW w:w="1381" w:type="dxa"/>
            <w:shd w:val="clear" w:color="auto" w:fill="auto"/>
            <w:vAlign w:val="bottom"/>
            <w:hideMark/>
          </w:tcPr>
          <w:p w14:paraId="20DE79B0" w14:textId="77777777" w:rsidR="00282F6F" w:rsidRPr="00E17D71" w:rsidRDefault="00282F6F" w:rsidP="00E17D71">
            <w:pPr>
              <w:pStyle w:val="NoSpacing"/>
              <w:jc w:val="both"/>
            </w:pPr>
            <w:r w:rsidRPr="00E17D71">
              <w:t>5</w:t>
            </w:r>
          </w:p>
        </w:tc>
        <w:tc>
          <w:tcPr>
            <w:tcW w:w="2015" w:type="dxa"/>
            <w:shd w:val="clear" w:color="auto" w:fill="auto"/>
            <w:vAlign w:val="bottom"/>
            <w:hideMark/>
          </w:tcPr>
          <w:p w14:paraId="11EF0DF6" w14:textId="77777777" w:rsidR="00282F6F" w:rsidRPr="00E17D71" w:rsidRDefault="00282F6F" w:rsidP="00E17D71">
            <w:pPr>
              <w:pStyle w:val="NoSpacing"/>
              <w:jc w:val="both"/>
            </w:pPr>
            <w:r w:rsidRPr="00E17D71">
              <w:t>Bundles</w:t>
            </w:r>
          </w:p>
        </w:tc>
        <w:tc>
          <w:tcPr>
            <w:tcW w:w="1630" w:type="dxa"/>
            <w:shd w:val="clear" w:color="auto" w:fill="auto"/>
            <w:vAlign w:val="bottom"/>
            <w:hideMark/>
          </w:tcPr>
          <w:p w14:paraId="1AF7529D" w14:textId="77777777" w:rsidR="00282F6F" w:rsidRPr="00E17D71" w:rsidRDefault="00282F6F" w:rsidP="00E17D71">
            <w:pPr>
              <w:pStyle w:val="NoSpacing"/>
              <w:jc w:val="both"/>
            </w:pPr>
            <w:r w:rsidRPr="00E17D71">
              <w:t>P-ADVVUL-0I-SU3YP-U3</w:t>
            </w:r>
          </w:p>
        </w:tc>
        <w:tc>
          <w:tcPr>
            <w:tcW w:w="3279" w:type="dxa"/>
            <w:shd w:val="clear" w:color="auto" w:fill="auto"/>
            <w:vAlign w:val="bottom"/>
            <w:hideMark/>
          </w:tcPr>
          <w:p w14:paraId="1D290603" w14:textId="77777777" w:rsidR="00282F6F" w:rsidRPr="00E17D71" w:rsidRDefault="00282F6F" w:rsidP="00E17D71">
            <w:pPr>
              <w:pStyle w:val="NoSpacing"/>
              <w:jc w:val="both"/>
            </w:pPr>
            <w:r w:rsidRPr="00E17D71">
              <w:t>Upgrade from Veeam Data Platform Foundation Universal License to Veeam Data Platform Advanced Universal Subscription License. 10 instance pack. 3 Years Subscription Upfront Billing &amp; Production (24/7) Support. Public Sector.</w:t>
            </w:r>
          </w:p>
        </w:tc>
      </w:tr>
      <w:tr w:rsidR="00282F6F" w:rsidRPr="001319CA" w14:paraId="006B7BB1" w14:textId="77777777" w:rsidTr="00284048">
        <w:trPr>
          <w:trHeight w:val="674"/>
        </w:trPr>
        <w:tc>
          <w:tcPr>
            <w:tcW w:w="1051" w:type="dxa"/>
            <w:vMerge/>
            <w:vAlign w:val="center"/>
            <w:hideMark/>
          </w:tcPr>
          <w:p w14:paraId="0D9B148C" w14:textId="77777777" w:rsidR="00282F6F" w:rsidRPr="00E17D71" w:rsidRDefault="00282F6F" w:rsidP="00E17D71">
            <w:pPr>
              <w:pStyle w:val="NoSpacing"/>
              <w:jc w:val="both"/>
            </w:pPr>
          </w:p>
        </w:tc>
        <w:tc>
          <w:tcPr>
            <w:tcW w:w="1381" w:type="dxa"/>
            <w:shd w:val="clear" w:color="auto" w:fill="auto"/>
            <w:vAlign w:val="bottom"/>
            <w:hideMark/>
          </w:tcPr>
          <w:p w14:paraId="116FEE38" w14:textId="77777777" w:rsidR="00282F6F" w:rsidRPr="00E17D71" w:rsidRDefault="00282F6F" w:rsidP="00E17D71">
            <w:pPr>
              <w:pStyle w:val="NoSpacing"/>
              <w:jc w:val="both"/>
            </w:pPr>
            <w:r w:rsidRPr="00E17D71">
              <w:t>5</w:t>
            </w:r>
          </w:p>
        </w:tc>
        <w:tc>
          <w:tcPr>
            <w:tcW w:w="2015" w:type="dxa"/>
            <w:shd w:val="clear" w:color="auto" w:fill="auto"/>
            <w:vAlign w:val="bottom"/>
            <w:hideMark/>
          </w:tcPr>
          <w:p w14:paraId="0E128608" w14:textId="77777777" w:rsidR="00282F6F" w:rsidRPr="00E17D71" w:rsidRDefault="00282F6F" w:rsidP="00E17D71">
            <w:pPr>
              <w:pStyle w:val="NoSpacing"/>
              <w:jc w:val="both"/>
            </w:pPr>
            <w:r w:rsidRPr="00E17D71">
              <w:t>Bundles</w:t>
            </w:r>
          </w:p>
        </w:tc>
        <w:tc>
          <w:tcPr>
            <w:tcW w:w="1630" w:type="dxa"/>
            <w:shd w:val="clear" w:color="auto" w:fill="auto"/>
            <w:vAlign w:val="bottom"/>
            <w:hideMark/>
          </w:tcPr>
          <w:p w14:paraId="77AC9068" w14:textId="77777777" w:rsidR="00282F6F" w:rsidRPr="00E17D71" w:rsidRDefault="00282F6F" w:rsidP="00E17D71">
            <w:pPr>
              <w:pStyle w:val="NoSpacing"/>
              <w:jc w:val="both"/>
            </w:pPr>
            <w:r w:rsidRPr="00E17D71">
              <w:t>P-ADVVUL-0I-SU1MP-U3</w:t>
            </w:r>
          </w:p>
        </w:tc>
        <w:tc>
          <w:tcPr>
            <w:tcW w:w="3279" w:type="dxa"/>
            <w:shd w:val="clear" w:color="auto" w:fill="auto"/>
            <w:vAlign w:val="bottom"/>
            <w:hideMark/>
          </w:tcPr>
          <w:p w14:paraId="322CEC21" w14:textId="77777777" w:rsidR="00282F6F" w:rsidRPr="00E17D71" w:rsidRDefault="00282F6F" w:rsidP="00E17D71">
            <w:pPr>
              <w:pStyle w:val="NoSpacing"/>
              <w:jc w:val="both"/>
            </w:pPr>
            <w:r w:rsidRPr="00E17D71">
              <w:t>Upgrade from Veeam Data Platform Foundation Universal License to Veeam Data Platform Advanced Universal Subscription License. 10 instance pack. - One Month. Public Sector.</w:t>
            </w:r>
          </w:p>
        </w:tc>
      </w:tr>
      <w:tr w:rsidR="00282F6F" w:rsidRPr="001319CA" w14:paraId="2B4DE1F4" w14:textId="77777777" w:rsidTr="00284048">
        <w:trPr>
          <w:trHeight w:val="1704"/>
        </w:trPr>
        <w:tc>
          <w:tcPr>
            <w:tcW w:w="1051" w:type="dxa"/>
            <w:vMerge w:val="restart"/>
            <w:shd w:val="clear" w:color="auto" w:fill="auto"/>
            <w:vAlign w:val="center"/>
            <w:hideMark/>
          </w:tcPr>
          <w:p w14:paraId="3674F6A4" w14:textId="77777777" w:rsidR="00282F6F" w:rsidRPr="00E17D71" w:rsidRDefault="00282F6F" w:rsidP="00E17D71">
            <w:pPr>
              <w:pStyle w:val="NoSpacing"/>
              <w:jc w:val="both"/>
            </w:pPr>
            <w:r w:rsidRPr="00E17D71">
              <w:t>1564194</w:t>
            </w:r>
          </w:p>
        </w:tc>
        <w:tc>
          <w:tcPr>
            <w:tcW w:w="1381" w:type="dxa"/>
            <w:shd w:val="clear" w:color="auto" w:fill="auto"/>
            <w:vAlign w:val="bottom"/>
            <w:hideMark/>
          </w:tcPr>
          <w:p w14:paraId="4026B40A" w14:textId="77777777" w:rsidR="00282F6F" w:rsidRPr="00E17D71" w:rsidRDefault="00282F6F" w:rsidP="00E17D71">
            <w:pPr>
              <w:pStyle w:val="NoSpacing"/>
              <w:jc w:val="both"/>
            </w:pPr>
            <w:r w:rsidRPr="00E17D71">
              <w:t>4</w:t>
            </w:r>
          </w:p>
        </w:tc>
        <w:tc>
          <w:tcPr>
            <w:tcW w:w="2015" w:type="dxa"/>
            <w:shd w:val="clear" w:color="auto" w:fill="auto"/>
            <w:vAlign w:val="bottom"/>
            <w:hideMark/>
          </w:tcPr>
          <w:p w14:paraId="27D5CD5C" w14:textId="77777777" w:rsidR="00282F6F" w:rsidRPr="00E17D71" w:rsidRDefault="00282F6F" w:rsidP="00E17D71">
            <w:pPr>
              <w:pStyle w:val="NoSpacing"/>
              <w:jc w:val="both"/>
            </w:pPr>
            <w:r w:rsidRPr="00E17D71">
              <w:t>Migrated instances</w:t>
            </w:r>
          </w:p>
        </w:tc>
        <w:tc>
          <w:tcPr>
            <w:tcW w:w="1630" w:type="dxa"/>
            <w:shd w:val="clear" w:color="auto" w:fill="auto"/>
            <w:vAlign w:val="bottom"/>
            <w:hideMark/>
          </w:tcPr>
          <w:p w14:paraId="50340136" w14:textId="77777777" w:rsidR="00282F6F" w:rsidRPr="00E17D71" w:rsidRDefault="00282F6F" w:rsidP="00E17D71">
            <w:pPr>
              <w:pStyle w:val="NoSpacing"/>
              <w:jc w:val="both"/>
            </w:pPr>
            <w:r w:rsidRPr="00E17D71">
              <w:t>V-ADVVUL-MI-PE3YP-U3</w:t>
            </w:r>
          </w:p>
        </w:tc>
        <w:tc>
          <w:tcPr>
            <w:tcW w:w="3279" w:type="dxa"/>
            <w:shd w:val="clear" w:color="auto" w:fill="auto"/>
            <w:vAlign w:val="bottom"/>
            <w:hideMark/>
          </w:tcPr>
          <w:p w14:paraId="761F56B2" w14:textId="77777777" w:rsidR="00282F6F" w:rsidRPr="00E17D71" w:rsidRDefault="00282F6F" w:rsidP="00E17D71">
            <w:pPr>
              <w:pStyle w:val="NoSpacing"/>
              <w:jc w:val="both"/>
            </w:pPr>
            <w:r w:rsidRPr="00E17D71">
              <w:t>Upgrade from Veeam Data Platform Foundation to Veeam Data Platform Advanced Universal license - 3 Year Subscription Upfront Billing &amp; Production (24/7) Support</w:t>
            </w:r>
          </w:p>
        </w:tc>
      </w:tr>
      <w:tr w:rsidR="00282F6F" w:rsidRPr="001319CA" w14:paraId="6BF41C8C" w14:textId="77777777" w:rsidTr="00284048">
        <w:trPr>
          <w:trHeight w:val="711"/>
        </w:trPr>
        <w:tc>
          <w:tcPr>
            <w:tcW w:w="1051" w:type="dxa"/>
            <w:vMerge/>
            <w:vAlign w:val="center"/>
            <w:hideMark/>
          </w:tcPr>
          <w:p w14:paraId="65E207B5" w14:textId="77777777" w:rsidR="00282F6F" w:rsidRPr="00E17D71" w:rsidRDefault="00282F6F" w:rsidP="00E17D71">
            <w:pPr>
              <w:pStyle w:val="NoSpacing"/>
              <w:jc w:val="both"/>
            </w:pPr>
          </w:p>
        </w:tc>
        <w:tc>
          <w:tcPr>
            <w:tcW w:w="1381" w:type="dxa"/>
            <w:shd w:val="clear" w:color="auto" w:fill="auto"/>
            <w:vAlign w:val="bottom"/>
            <w:hideMark/>
          </w:tcPr>
          <w:p w14:paraId="2B4EA231" w14:textId="77777777" w:rsidR="00282F6F" w:rsidRPr="00E17D71" w:rsidRDefault="00282F6F" w:rsidP="00E17D71">
            <w:pPr>
              <w:pStyle w:val="NoSpacing"/>
              <w:jc w:val="both"/>
            </w:pPr>
            <w:r w:rsidRPr="00E17D71">
              <w:t>4</w:t>
            </w:r>
          </w:p>
        </w:tc>
        <w:tc>
          <w:tcPr>
            <w:tcW w:w="2015" w:type="dxa"/>
            <w:shd w:val="clear" w:color="auto" w:fill="auto"/>
            <w:vAlign w:val="bottom"/>
            <w:hideMark/>
          </w:tcPr>
          <w:p w14:paraId="02B0F9D0" w14:textId="77777777" w:rsidR="00282F6F" w:rsidRPr="00E17D71" w:rsidRDefault="00282F6F" w:rsidP="00E17D71">
            <w:pPr>
              <w:pStyle w:val="NoSpacing"/>
              <w:jc w:val="both"/>
            </w:pPr>
            <w:r w:rsidRPr="00E17D71">
              <w:t>Migrated instances</w:t>
            </w:r>
          </w:p>
        </w:tc>
        <w:tc>
          <w:tcPr>
            <w:tcW w:w="1630" w:type="dxa"/>
            <w:shd w:val="clear" w:color="auto" w:fill="auto"/>
            <w:vAlign w:val="bottom"/>
            <w:hideMark/>
          </w:tcPr>
          <w:p w14:paraId="5A6C4307" w14:textId="77777777" w:rsidR="00282F6F" w:rsidRPr="00E17D71" w:rsidRDefault="00282F6F" w:rsidP="00E17D71">
            <w:pPr>
              <w:pStyle w:val="NoSpacing"/>
              <w:jc w:val="both"/>
            </w:pPr>
            <w:r w:rsidRPr="00E17D71">
              <w:t>V-ADVVUL-MI-PE1MP-U3</w:t>
            </w:r>
          </w:p>
        </w:tc>
        <w:tc>
          <w:tcPr>
            <w:tcW w:w="3279" w:type="dxa"/>
            <w:shd w:val="clear" w:color="auto" w:fill="auto"/>
            <w:vAlign w:val="bottom"/>
            <w:hideMark/>
          </w:tcPr>
          <w:p w14:paraId="065452AB" w14:textId="77777777" w:rsidR="00282F6F" w:rsidRPr="00E17D71" w:rsidRDefault="00282F6F" w:rsidP="00E17D71">
            <w:pPr>
              <w:pStyle w:val="NoSpacing"/>
              <w:jc w:val="both"/>
            </w:pPr>
            <w:r w:rsidRPr="00E17D71">
              <w:t xml:space="preserve">Upgrade from Veeam Data Platform Foundation to Veeam Data Platform Advanced Universal </w:t>
            </w:r>
            <w:r w:rsidRPr="00E17D71">
              <w:lastRenderedPageBreak/>
              <w:t>license - 1 month with Production (24/7) Support.</w:t>
            </w:r>
          </w:p>
        </w:tc>
      </w:tr>
      <w:tr w:rsidR="00282F6F" w:rsidRPr="001319CA" w14:paraId="2010BA07" w14:textId="77777777" w:rsidTr="00284048">
        <w:trPr>
          <w:trHeight w:val="1562"/>
        </w:trPr>
        <w:tc>
          <w:tcPr>
            <w:tcW w:w="1051" w:type="dxa"/>
            <w:vMerge/>
            <w:vAlign w:val="center"/>
            <w:hideMark/>
          </w:tcPr>
          <w:p w14:paraId="0EF80A11" w14:textId="77777777" w:rsidR="00282F6F" w:rsidRPr="00E17D71" w:rsidRDefault="00282F6F" w:rsidP="00E17D71">
            <w:pPr>
              <w:pStyle w:val="NoSpacing"/>
              <w:jc w:val="both"/>
            </w:pPr>
          </w:p>
        </w:tc>
        <w:tc>
          <w:tcPr>
            <w:tcW w:w="1381" w:type="dxa"/>
            <w:shd w:val="clear" w:color="auto" w:fill="auto"/>
            <w:vAlign w:val="bottom"/>
            <w:hideMark/>
          </w:tcPr>
          <w:p w14:paraId="5CA6F488" w14:textId="77777777" w:rsidR="00282F6F" w:rsidRPr="00E17D71" w:rsidRDefault="00282F6F" w:rsidP="00E17D71">
            <w:pPr>
              <w:pStyle w:val="NoSpacing"/>
              <w:jc w:val="both"/>
            </w:pPr>
            <w:r w:rsidRPr="00E17D71">
              <w:t>4</w:t>
            </w:r>
          </w:p>
        </w:tc>
        <w:tc>
          <w:tcPr>
            <w:tcW w:w="2015" w:type="dxa"/>
            <w:shd w:val="clear" w:color="auto" w:fill="auto"/>
            <w:vAlign w:val="bottom"/>
            <w:hideMark/>
          </w:tcPr>
          <w:p w14:paraId="0BFFF4C1" w14:textId="77777777" w:rsidR="00282F6F" w:rsidRPr="00E17D71" w:rsidRDefault="00282F6F" w:rsidP="00E17D71">
            <w:pPr>
              <w:pStyle w:val="NoSpacing"/>
              <w:jc w:val="both"/>
            </w:pPr>
            <w:r w:rsidRPr="00E17D71">
              <w:t>Sockets</w:t>
            </w:r>
          </w:p>
        </w:tc>
        <w:tc>
          <w:tcPr>
            <w:tcW w:w="1630" w:type="dxa"/>
            <w:shd w:val="clear" w:color="auto" w:fill="auto"/>
            <w:vAlign w:val="bottom"/>
            <w:hideMark/>
          </w:tcPr>
          <w:p w14:paraId="755D4070" w14:textId="77777777" w:rsidR="00282F6F" w:rsidRPr="00E17D71" w:rsidRDefault="00282F6F" w:rsidP="00E17D71">
            <w:pPr>
              <w:pStyle w:val="NoSpacing"/>
              <w:jc w:val="both"/>
            </w:pPr>
            <w:r w:rsidRPr="00E17D71">
              <w:t>V-FDNVUL-1S-PE3MG-07</w:t>
            </w:r>
          </w:p>
        </w:tc>
        <w:tc>
          <w:tcPr>
            <w:tcW w:w="3279" w:type="dxa"/>
            <w:shd w:val="clear" w:color="auto" w:fill="auto"/>
            <w:vAlign w:val="bottom"/>
            <w:hideMark/>
          </w:tcPr>
          <w:p w14:paraId="157E0EF6" w14:textId="77777777" w:rsidR="00282F6F" w:rsidRPr="00E17D71" w:rsidRDefault="00282F6F" w:rsidP="00E17D71">
            <w:pPr>
              <w:pStyle w:val="NoSpacing"/>
              <w:jc w:val="both"/>
            </w:pPr>
            <w:r w:rsidRPr="00E17D71">
              <w:t>Simple Migration from Veeam Data Platform Foundation Enterprise to Veeam Data Platform Foundation Universal License. Includes Enterprise Plus Edition features. - 3 years with Production Support. 7 Instance pack.</w:t>
            </w:r>
          </w:p>
        </w:tc>
      </w:tr>
      <w:tr w:rsidR="00282F6F" w:rsidRPr="001319CA" w14:paraId="3501E3BB" w14:textId="77777777" w:rsidTr="00284048">
        <w:trPr>
          <w:trHeight w:val="1357"/>
        </w:trPr>
        <w:tc>
          <w:tcPr>
            <w:tcW w:w="1051" w:type="dxa"/>
            <w:vMerge w:val="restart"/>
            <w:shd w:val="clear" w:color="auto" w:fill="auto"/>
            <w:vAlign w:val="center"/>
            <w:hideMark/>
          </w:tcPr>
          <w:p w14:paraId="2A53FED8" w14:textId="77777777" w:rsidR="00282F6F" w:rsidRPr="00E17D71" w:rsidRDefault="00282F6F" w:rsidP="00E17D71">
            <w:pPr>
              <w:pStyle w:val="NoSpacing"/>
              <w:jc w:val="both"/>
            </w:pPr>
            <w:r w:rsidRPr="00E17D71">
              <w:t>2793759</w:t>
            </w:r>
          </w:p>
        </w:tc>
        <w:tc>
          <w:tcPr>
            <w:tcW w:w="1381" w:type="dxa"/>
            <w:shd w:val="clear" w:color="auto" w:fill="auto"/>
            <w:vAlign w:val="bottom"/>
            <w:hideMark/>
          </w:tcPr>
          <w:p w14:paraId="7364602F" w14:textId="77777777" w:rsidR="00282F6F" w:rsidRPr="00E17D71" w:rsidRDefault="00282F6F" w:rsidP="00E17D71">
            <w:pPr>
              <w:pStyle w:val="NoSpacing"/>
              <w:jc w:val="both"/>
            </w:pPr>
            <w:r w:rsidRPr="00E17D71">
              <w:t>4</w:t>
            </w:r>
          </w:p>
        </w:tc>
        <w:tc>
          <w:tcPr>
            <w:tcW w:w="2015" w:type="dxa"/>
            <w:shd w:val="clear" w:color="auto" w:fill="auto"/>
            <w:vAlign w:val="bottom"/>
            <w:hideMark/>
          </w:tcPr>
          <w:p w14:paraId="6CCAE25C" w14:textId="77777777" w:rsidR="00282F6F" w:rsidRPr="00E17D71" w:rsidRDefault="00282F6F" w:rsidP="00E17D71">
            <w:pPr>
              <w:pStyle w:val="NoSpacing"/>
              <w:jc w:val="both"/>
            </w:pPr>
            <w:r w:rsidRPr="00E17D71">
              <w:t>Migrated instances</w:t>
            </w:r>
          </w:p>
        </w:tc>
        <w:tc>
          <w:tcPr>
            <w:tcW w:w="1630" w:type="dxa"/>
            <w:shd w:val="clear" w:color="auto" w:fill="auto"/>
            <w:vAlign w:val="bottom"/>
            <w:hideMark/>
          </w:tcPr>
          <w:p w14:paraId="3E5AC3DB" w14:textId="77777777" w:rsidR="00282F6F" w:rsidRPr="00E17D71" w:rsidRDefault="00282F6F" w:rsidP="00E17D71">
            <w:pPr>
              <w:pStyle w:val="NoSpacing"/>
              <w:jc w:val="both"/>
            </w:pPr>
            <w:r w:rsidRPr="00E17D71">
              <w:t>V-ADVVUL-MI-PE3YP-U3</w:t>
            </w:r>
          </w:p>
        </w:tc>
        <w:tc>
          <w:tcPr>
            <w:tcW w:w="3279" w:type="dxa"/>
            <w:shd w:val="clear" w:color="auto" w:fill="auto"/>
            <w:vAlign w:val="bottom"/>
            <w:hideMark/>
          </w:tcPr>
          <w:p w14:paraId="3B1879B5" w14:textId="77777777" w:rsidR="00282F6F" w:rsidRPr="00E17D71" w:rsidRDefault="00282F6F" w:rsidP="00E17D71">
            <w:pPr>
              <w:pStyle w:val="NoSpacing"/>
              <w:jc w:val="both"/>
            </w:pPr>
            <w:r w:rsidRPr="00E17D71">
              <w:t>Upgrade from Veeam Data Platform Foundation to Veeam Data Platform Advanced Universal license - 3 Year Subscription Upfront Billing &amp; Production (24/7) Support</w:t>
            </w:r>
          </w:p>
        </w:tc>
      </w:tr>
      <w:tr w:rsidR="00282F6F" w:rsidRPr="001319CA" w14:paraId="4915FEB1" w14:textId="77777777" w:rsidTr="00284048">
        <w:trPr>
          <w:trHeight w:val="980"/>
        </w:trPr>
        <w:tc>
          <w:tcPr>
            <w:tcW w:w="1051" w:type="dxa"/>
            <w:vMerge/>
            <w:vAlign w:val="center"/>
            <w:hideMark/>
          </w:tcPr>
          <w:p w14:paraId="248A41A5" w14:textId="77777777" w:rsidR="00282F6F" w:rsidRPr="00E17D71" w:rsidRDefault="00282F6F" w:rsidP="00E17D71">
            <w:pPr>
              <w:pStyle w:val="NoSpacing"/>
              <w:jc w:val="both"/>
            </w:pPr>
          </w:p>
        </w:tc>
        <w:tc>
          <w:tcPr>
            <w:tcW w:w="1381" w:type="dxa"/>
            <w:shd w:val="clear" w:color="auto" w:fill="auto"/>
            <w:vAlign w:val="bottom"/>
            <w:hideMark/>
          </w:tcPr>
          <w:p w14:paraId="67052012" w14:textId="77777777" w:rsidR="00282F6F" w:rsidRPr="00E17D71" w:rsidRDefault="00282F6F" w:rsidP="00E17D71">
            <w:pPr>
              <w:pStyle w:val="NoSpacing"/>
              <w:jc w:val="both"/>
            </w:pPr>
            <w:r w:rsidRPr="00E17D71">
              <w:t>4</w:t>
            </w:r>
          </w:p>
        </w:tc>
        <w:tc>
          <w:tcPr>
            <w:tcW w:w="2015" w:type="dxa"/>
            <w:shd w:val="clear" w:color="auto" w:fill="auto"/>
            <w:vAlign w:val="bottom"/>
            <w:hideMark/>
          </w:tcPr>
          <w:p w14:paraId="4AAC372B" w14:textId="77777777" w:rsidR="00282F6F" w:rsidRPr="00E17D71" w:rsidRDefault="00282F6F" w:rsidP="00E17D71">
            <w:pPr>
              <w:pStyle w:val="NoSpacing"/>
              <w:jc w:val="both"/>
            </w:pPr>
            <w:r w:rsidRPr="00E17D71">
              <w:t>Migrated instances</w:t>
            </w:r>
          </w:p>
        </w:tc>
        <w:tc>
          <w:tcPr>
            <w:tcW w:w="1630" w:type="dxa"/>
            <w:shd w:val="clear" w:color="auto" w:fill="auto"/>
            <w:vAlign w:val="bottom"/>
            <w:hideMark/>
          </w:tcPr>
          <w:p w14:paraId="4BCD4449" w14:textId="77777777" w:rsidR="00282F6F" w:rsidRPr="00E17D71" w:rsidRDefault="00282F6F" w:rsidP="00E17D71">
            <w:pPr>
              <w:pStyle w:val="NoSpacing"/>
              <w:jc w:val="both"/>
            </w:pPr>
            <w:r w:rsidRPr="00E17D71">
              <w:t>V-ADVVUL-MI-PE1MP-U3</w:t>
            </w:r>
          </w:p>
        </w:tc>
        <w:tc>
          <w:tcPr>
            <w:tcW w:w="3279" w:type="dxa"/>
            <w:shd w:val="clear" w:color="auto" w:fill="auto"/>
            <w:vAlign w:val="bottom"/>
            <w:hideMark/>
          </w:tcPr>
          <w:p w14:paraId="1CC1924B" w14:textId="77777777" w:rsidR="00282F6F" w:rsidRPr="00E17D71" w:rsidRDefault="00282F6F" w:rsidP="00E17D71">
            <w:pPr>
              <w:pStyle w:val="NoSpacing"/>
              <w:jc w:val="both"/>
            </w:pPr>
            <w:r w:rsidRPr="00E17D71">
              <w:t>Upgrade from Veeam Data Platform Foundation to Veeam Data Platform Advanced Universal license - 1 month with Production (24/7) Support.</w:t>
            </w:r>
          </w:p>
        </w:tc>
      </w:tr>
      <w:tr w:rsidR="00282F6F" w:rsidRPr="001319CA" w14:paraId="48F986AA" w14:textId="77777777" w:rsidTr="00284048">
        <w:trPr>
          <w:trHeight w:val="1591"/>
        </w:trPr>
        <w:tc>
          <w:tcPr>
            <w:tcW w:w="1051" w:type="dxa"/>
            <w:vMerge/>
            <w:vAlign w:val="center"/>
            <w:hideMark/>
          </w:tcPr>
          <w:p w14:paraId="6BD8B606" w14:textId="77777777" w:rsidR="00282F6F" w:rsidRPr="00E17D71" w:rsidRDefault="00282F6F" w:rsidP="00E17D71">
            <w:pPr>
              <w:pStyle w:val="NoSpacing"/>
              <w:jc w:val="both"/>
            </w:pPr>
          </w:p>
        </w:tc>
        <w:tc>
          <w:tcPr>
            <w:tcW w:w="1381" w:type="dxa"/>
            <w:shd w:val="clear" w:color="auto" w:fill="auto"/>
            <w:vAlign w:val="bottom"/>
            <w:hideMark/>
          </w:tcPr>
          <w:p w14:paraId="73CBE954" w14:textId="77777777" w:rsidR="00282F6F" w:rsidRPr="00E17D71" w:rsidRDefault="00282F6F" w:rsidP="00E17D71">
            <w:pPr>
              <w:pStyle w:val="NoSpacing"/>
              <w:jc w:val="both"/>
            </w:pPr>
            <w:r w:rsidRPr="00E17D71">
              <w:t>4</w:t>
            </w:r>
          </w:p>
        </w:tc>
        <w:tc>
          <w:tcPr>
            <w:tcW w:w="2015" w:type="dxa"/>
            <w:shd w:val="clear" w:color="auto" w:fill="auto"/>
            <w:vAlign w:val="bottom"/>
            <w:hideMark/>
          </w:tcPr>
          <w:p w14:paraId="70C3441B" w14:textId="77777777" w:rsidR="00282F6F" w:rsidRPr="00E17D71" w:rsidRDefault="00282F6F" w:rsidP="00E17D71">
            <w:pPr>
              <w:pStyle w:val="NoSpacing"/>
              <w:jc w:val="both"/>
            </w:pPr>
            <w:r w:rsidRPr="00E17D71">
              <w:t>Sockets</w:t>
            </w:r>
          </w:p>
        </w:tc>
        <w:tc>
          <w:tcPr>
            <w:tcW w:w="1630" w:type="dxa"/>
            <w:shd w:val="clear" w:color="auto" w:fill="auto"/>
            <w:vAlign w:val="bottom"/>
            <w:hideMark/>
          </w:tcPr>
          <w:p w14:paraId="0E18C51C" w14:textId="77777777" w:rsidR="00282F6F" w:rsidRPr="00E17D71" w:rsidRDefault="00282F6F" w:rsidP="00E17D71">
            <w:pPr>
              <w:pStyle w:val="NoSpacing"/>
              <w:jc w:val="both"/>
            </w:pPr>
            <w:r w:rsidRPr="00E17D71">
              <w:t>V-FDNVUL-1S-PE3MG-07</w:t>
            </w:r>
          </w:p>
        </w:tc>
        <w:tc>
          <w:tcPr>
            <w:tcW w:w="3279" w:type="dxa"/>
            <w:shd w:val="clear" w:color="auto" w:fill="auto"/>
            <w:vAlign w:val="bottom"/>
            <w:hideMark/>
          </w:tcPr>
          <w:p w14:paraId="674E7C0A" w14:textId="77777777" w:rsidR="00282F6F" w:rsidRPr="00E17D71" w:rsidRDefault="00282F6F" w:rsidP="00E17D71">
            <w:pPr>
              <w:pStyle w:val="NoSpacing"/>
              <w:jc w:val="both"/>
            </w:pPr>
            <w:r w:rsidRPr="00E17D71">
              <w:t>Simple Migration from Veeam Data Platform Foundation Enterprise to Veeam Data Platform Foundation Universal License. Includes Enterprise Plus Edition features. - 3 years with Production Support. 7 Instance pack.</w:t>
            </w:r>
          </w:p>
        </w:tc>
      </w:tr>
      <w:tr w:rsidR="00282F6F" w:rsidRPr="001319CA" w14:paraId="0F65C57D" w14:textId="77777777" w:rsidTr="00284048">
        <w:trPr>
          <w:trHeight w:val="1402"/>
        </w:trPr>
        <w:tc>
          <w:tcPr>
            <w:tcW w:w="1051" w:type="dxa"/>
            <w:vMerge w:val="restart"/>
            <w:shd w:val="clear" w:color="auto" w:fill="auto"/>
            <w:vAlign w:val="center"/>
            <w:hideMark/>
          </w:tcPr>
          <w:p w14:paraId="27B00B57" w14:textId="77777777" w:rsidR="00282F6F" w:rsidRPr="00E17D71" w:rsidRDefault="00282F6F" w:rsidP="00E17D71">
            <w:pPr>
              <w:pStyle w:val="NoSpacing"/>
              <w:jc w:val="both"/>
            </w:pPr>
            <w:r w:rsidRPr="00E17D71">
              <w:t>2626498</w:t>
            </w:r>
          </w:p>
        </w:tc>
        <w:tc>
          <w:tcPr>
            <w:tcW w:w="1381" w:type="dxa"/>
            <w:shd w:val="clear" w:color="auto" w:fill="auto"/>
            <w:vAlign w:val="bottom"/>
            <w:hideMark/>
          </w:tcPr>
          <w:p w14:paraId="27AFCB71" w14:textId="77777777" w:rsidR="00282F6F" w:rsidRPr="00E17D71" w:rsidRDefault="00282F6F" w:rsidP="00E17D71">
            <w:pPr>
              <w:pStyle w:val="NoSpacing"/>
              <w:jc w:val="both"/>
            </w:pPr>
            <w:r w:rsidRPr="00E17D71">
              <w:t>22</w:t>
            </w:r>
          </w:p>
        </w:tc>
        <w:tc>
          <w:tcPr>
            <w:tcW w:w="2015" w:type="dxa"/>
            <w:shd w:val="clear" w:color="auto" w:fill="auto"/>
            <w:vAlign w:val="bottom"/>
            <w:hideMark/>
          </w:tcPr>
          <w:p w14:paraId="1E1C88CB" w14:textId="77777777" w:rsidR="00282F6F" w:rsidRPr="00E17D71" w:rsidRDefault="00282F6F" w:rsidP="00E17D71">
            <w:pPr>
              <w:pStyle w:val="NoSpacing"/>
              <w:jc w:val="both"/>
            </w:pPr>
            <w:r w:rsidRPr="00E17D71">
              <w:t>Migrated instances</w:t>
            </w:r>
          </w:p>
        </w:tc>
        <w:tc>
          <w:tcPr>
            <w:tcW w:w="1630" w:type="dxa"/>
            <w:shd w:val="clear" w:color="auto" w:fill="auto"/>
            <w:vAlign w:val="bottom"/>
            <w:hideMark/>
          </w:tcPr>
          <w:p w14:paraId="47B885F3" w14:textId="77777777" w:rsidR="00282F6F" w:rsidRPr="00E17D71" w:rsidRDefault="00282F6F" w:rsidP="00E17D71">
            <w:pPr>
              <w:pStyle w:val="NoSpacing"/>
              <w:jc w:val="both"/>
            </w:pPr>
            <w:r w:rsidRPr="00E17D71">
              <w:t>V-ADVVUL-MI-PE3YP-U3</w:t>
            </w:r>
          </w:p>
        </w:tc>
        <w:tc>
          <w:tcPr>
            <w:tcW w:w="3279" w:type="dxa"/>
            <w:shd w:val="clear" w:color="auto" w:fill="auto"/>
            <w:vAlign w:val="bottom"/>
            <w:hideMark/>
          </w:tcPr>
          <w:p w14:paraId="0CF78995" w14:textId="77777777" w:rsidR="00282F6F" w:rsidRPr="00E17D71" w:rsidRDefault="00282F6F" w:rsidP="00E17D71">
            <w:pPr>
              <w:pStyle w:val="NoSpacing"/>
              <w:jc w:val="both"/>
            </w:pPr>
            <w:r w:rsidRPr="00E17D71">
              <w:t>Upgrade from Veeam Data Platform Foundation to Veeam Data Platform Advanced Universal license - 3 Year Subscription Upfront Billing &amp; Production (24/7) Support</w:t>
            </w:r>
          </w:p>
        </w:tc>
      </w:tr>
      <w:tr w:rsidR="00282F6F" w:rsidRPr="001319CA" w14:paraId="06D5A4B6" w14:textId="77777777" w:rsidTr="00284048">
        <w:trPr>
          <w:trHeight w:val="1110"/>
        </w:trPr>
        <w:tc>
          <w:tcPr>
            <w:tcW w:w="1051" w:type="dxa"/>
            <w:vMerge/>
            <w:vAlign w:val="center"/>
            <w:hideMark/>
          </w:tcPr>
          <w:p w14:paraId="4E561444" w14:textId="77777777" w:rsidR="00282F6F" w:rsidRPr="00E17D71" w:rsidRDefault="00282F6F" w:rsidP="00E17D71">
            <w:pPr>
              <w:pStyle w:val="NoSpacing"/>
              <w:jc w:val="both"/>
            </w:pPr>
          </w:p>
        </w:tc>
        <w:tc>
          <w:tcPr>
            <w:tcW w:w="1381" w:type="dxa"/>
            <w:shd w:val="clear" w:color="auto" w:fill="auto"/>
            <w:vAlign w:val="bottom"/>
            <w:hideMark/>
          </w:tcPr>
          <w:p w14:paraId="575455F5" w14:textId="77777777" w:rsidR="00282F6F" w:rsidRPr="00E17D71" w:rsidRDefault="00282F6F" w:rsidP="00E17D71">
            <w:pPr>
              <w:pStyle w:val="NoSpacing"/>
              <w:jc w:val="both"/>
            </w:pPr>
            <w:r w:rsidRPr="00E17D71">
              <w:t>22</w:t>
            </w:r>
          </w:p>
        </w:tc>
        <w:tc>
          <w:tcPr>
            <w:tcW w:w="2015" w:type="dxa"/>
            <w:shd w:val="clear" w:color="auto" w:fill="auto"/>
            <w:vAlign w:val="bottom"/>
            <w:hideMark/>
          </w:tcPr>
          <w:p w14:paraId="59728F5D" w14:textId="77777777" w:rsidR="00282F6F" w:rsidRPr="00E17D71" w:rsidRDefault="00282F6F" w:rsidP="00E17D71">
            <w:pPr>
              <w:pStyle w:val="NoSpacing"/>
              <w:jc w:val="both"/>
            </w:pPr>
            <w:r w:rsidRPr="00E17D71">
              <w:t>Migrated instances</w:t>
            </w:r>
          </w:p>
        </w:tc>
        <w:tc>
          <w:tcPr>
            <w:tcW w:w="1630" w:type="dxa"/>
            <w:shd w:val="clear" w:color="auto" w:fill="auto"/>
            <w:vAlign w:val="bottom"/>
            <w:hideMark/>
          </w:tcPr>
          <w:p w14:paraId="1AF2CA30" w14:textId="77777777" w:rsidR="00282F6F" w:rsidRPr="00E17D71" w:rsidRDefault="00282F6F" w:rsidP="00E17D71">
            <w:pPr>
              <w:pStyle w:val="NoSpacing"/>
              <w:jc w:val="both"/>
            </w:pPr>
            <w:r w:rsidRPr="00E17D71">
              <w:t>V-ADVVUL-MI-PE1MP-U3</w:t>
            </w:r>
          </w:p>
        </w:tc>
        <w:tc>
          <w:tcPr>
            <w:tcW w:w="3279" w:type="dxa"/>
            <w:shd w:val="clear" w:color="auto" w:fill="auto"/>
            <w:vAlign w:val="bottom"/>
            <w:hideMark/>
          </w:tcPr>
          <w:p w14:paraId="6F436063" w14:textId="77777777" w:rsidR="00282F6F" w:rsidRPr="0096352C" w:rsidRDefault="00282F6F" w:rsidP="0096352C">
            <w:pPr>
              <w:pStyle w:val="NoSpacing"/>
              <w:jc w:val="both"/>
            </w:pPr>
            <w:r w:rsidRPr="0096352C">
              <w:t>Upgrade from Veeam Data Platform Foundation to Veeam Data Platform Advanced Universal license - 1 month with Production (24/7) Support.</w:t>
            </w:r>
          </w:p>
        </w:tc>
      </w:tr>
      <w:tr w:rsidR="00282F6F" w:rsidRPr="001319CA" w14:paraId="6DF56444" w14:textId="77777777" w:rsidTr="00284048">
        <w:trPr>
          <w:trHeight w:val="1693"/>
        </w:trPr>
        <w:tc>
          <w:tcPr>
            <w:tcW w:w="1051" w:type="dxa"/>
            <w:vMerge/>
            <w:vAlign w:val="center"/>
            <w:hideMark/>
          </w:tcPr>
          <w:p w14:paraId="4D1C9F93" w14:textId="77777777" w:rsidR="00282F6F" w:rsidRPr="00E17D71" w:rsidRDefault="00282F6F" w:rsidP="00E17D71">
            <w:pPr>
              <w:pStyle w:val="NoSpacing"/>
              <w:jc w:val="both"/>
            </w:pPr>
          </w:p>
        </w:tc>
        <w:tc>
          <w:tcPr>
            <w:tcW w:w="1381" w:type="dxa"/>
            <w:shd w:val="clear" w:color="auto" w:fill="auto"/>
            <w:vAlign w:val="bottom"/>
            <w:hideMark/>
          </w:tcPr>
          <w:p w14:paraId="5E22B2DA" w14:textId="77777777" w:rsidR="00282F6F" w:rsidRPr="00E17D71" w:rsidRDefault="00282F6F" w:rsidP="00E17D71">
            <w:pPr>
              <w:pStyle w:val="NoSpacing"/>
              <w:jc w:val="both"/>
            </w:pPr>
            <w:r w:rsidRPr="00E17D71">
              <w:t>88</w:t>
            </w:r>
          </w:p>
        </w:tc>
        <w:tc>
          <w:tcPr>
            <w:tcW w:w="2015" w:type="dxa"/>
            <w:shd w:val="clear" w:color="auto" w:fill="auto"/>
            <w:vAlign w:val="bottom"/>
            <w:hideMark/>
          </w:tcPr>
          <w:p w14:paraId="743436F9" w14:textId="77777777" w:rsidR="00282F6F" w:rsidRPr="00E17D71" w:rsidRDefault="00282F6F" w:rsidP="00E17D71">
            <w:pPr>
              <w:pStyle w:val="NoSpacing"/>
              <w:jc w:val="both"/>
            </w:pPr>
            <w:r w:rsidRPr="00E17D71">
              <w:t>22 Sockets * 4 Months</w:t>
            </w:r>
          </w:p>
        </w:tc>
        <w:tc>
          <w:tcPr>
            <w:tcW w:w="1630" w:type="dxa"/>
            <w:shd w:val="clear" w:color="auto" w:fill="auto"/>
            <w:vAlign w:val="bottom"/>
            <w:hideMark/>
          </w:tcPr>
          <w:p w14:paraId="122DF03C" w14:textId="77777777" w:rsidR="00282F6F" w:rsidRPr="00E17D71" w:rsidRDefault="00282F6F" w:rsidP="00E17D71">
            <w:pPr>
              <w:pStyle w:val="NoSpacing"/>
              <w:jc w:val="both"/>
            </w:pPr>
            <w:r w:rsidRPr="00E17D71">
              <w:t>V-FDNENT-VS-P01MR-00</w:t>
            </w:r>
          </w:p>
        </w:tc>
        <w:tc>
          <w:tcPr>
            <w:tcW w:w="3279" w:type="dxa"/>
            <w:shd w:val="clear" w:color="auto" w:fill="auto"/>
            <w:vAlign w:val="bottom"/>
            <w:hideMark/>
          </w:tcPr>
          <w:p w14:paraId="0765F85B" w14:textId="77777777" w:rsidR="00282F6F" w:rsidRPr="001319CA" w:rsidRDefault="00282F6F" w:rsidP="002029E7">
            <w:pPr>
              <w:pStyle w:val="NoSpacing"/>
              <w:jc w:val="both"/>
              <w:rPr>
                <w:lang w:val="en-US"/>
              </w:rPr>
            </w:pPr>
            <w:r w:rsidRPr="001319CA">
              <w:rPr>
                <w:lang w:val="en-US"/>
              </w:rPr>
              <w:t>Monthly Basic Maintenance Renewal - Veeam Data Platform Foundation Enterprise. For customers who own Veeam Data Platform Foundation Enterprise, Basic Support socket licensing prior to July 1st, 2022.</w:t>
            </w:r>
          </w:p>
        </w:tc>
      </w:tr>
      <w:tr w:rsidR="00282F6F" w:rsidRPr="001319CA" w14:paraId="05E2BFE0" w14:textId="77777777" w:rsidTr="00284048">
        <w:trPr>
          <w:trHeight w:val="1547"/>
        </w:trPr>
        <w:tc>
          <w:tcPr>
            <w:tcW w:w="1051" w:type="dxa"/>
            <w:vMerge/>
            <w:vAlign w:val="center"/>
            <w:hideMark/>
          </w:tcPr>
          <w:p w14:paraId="7A148128" w14:textId="77777777" w:rsidR="00282F6F" w:rsidRPr="00E17D71" w:rsidRDefault="00282F6F" w:rsidP="00E17D71">
            <w:pPr>
              <w:pStyle w:val="NoSpacing"/>
              <w:jc w:val="both"/>
            </w:pPr>
          </w:p>
        </w:tc>
        <w:tc>
          <w:tcPr>
            <w:tcW w:w="1381" w:type="dxa"/>
            <w:shd w:val="clear" w:color="auto" w:fill="auto"/>
            <w:vAlign w:val="bottom"/>
            <w:hideMark/>
          </w:tcPr>
          <w:p w14:paraId="7FABD07E" w14:textId="77777777" w:rsidR="00282F6F" w:rsidRPr="00E17D71" w:rsidRDefault="00282F6F" w:rsidP="00E17D71">
            <w:pPr>
              <w:pStyle w:val="NoSpacing"/>
              <w:jc w:val="both"/>
            </w:pPr>
            <w:r w:rsidRPr="00E17D71">
              <w:t>22</w:t>
            </w:r>
          </w:p>
        </w:tc>
        <w:tc>
          <w:tcPr>
            <w:tcW w:w="2015" w:type="dxa"/>
            <w:shd w:val="clear" w:color="auto" w:fill="auto"/>
            <w:vAlign w:val="bottom"/>
            <w:hideMark/>
          </w:tcPr>
          <w:p w14:paraId="7D6A6070" w14:textId="77777777" w:rsidR="00282F6F" w:rsidRPr="00E17D71" w:rsidRDefault="00282F6F" w:rsidP="00E17D71">
            <w:pPr>
              <w:pStyle w:val="NoSpacing"/>
              <w:jc w:val="both"/>
            </w:pPr>
            <w:r w:rsidRPr="00E17D71">
              <w:t>Sockets</w:t>
            </w:r>
          </w:p>
        </w:tc>
        <w:tc>
          <w:tcPr>
            <w:tcW w:w="1630" w:type="dxa"/>
            <w:shd w:val="clear" w:color="auto" w:fill="auto"/>
            <w:vAlign w:val="bottom"/>
            <w:hideMark/>
          </w:tcPr>
          <w:p w14:paraId="7502B3D4" w14:textId="77777777" w:rsidR="00282F6F" w:rsidRPr="00E17D71" w:rsidRDefault="00282F6F" w:rsidP="00E17D71">
            <w:pPr>
              <w:pStyle w:val="NoSpacing"/>
              <w:jc w:val="both"/>
            </w:pPr>
            <w:r w:rsidRPr="00E17D71">
              <w:t>V-FDNVUL-1S-PE3MG-07</w:t>
            </w:r>
          </w:p>
        </w:tc>
        <w:tc>
          <w:tcPr>
            <w:tcW w:w="3279" w:type="dxa"/>
            <w:shd w:val="clear" w:color="auto" w:fill="auto"/>
            <w:vAlign w:val="bottom"/>
            <w:hideMark/>
          </w:tcPr>
          <w:p w14:paraId="03B9B1B3" w14:textId="77777777" w:rsidR="00282F6F" w:rsidRPr="001319CA" w:rsidRDefault="00282F6F" w:rsidP="00887C6C">
            <w:pPr>
              <w:pStyle w:val="NoSpacing"/>
              <w:jc w:val="both"/>
              <w:rPr>
                <w:rFonts w:ascii="Calibri" w:eastAsia="Times New Roman" w:hAnsi="Calibri" w:cs="Calibri"/>
                <w:color w:val="000000"/>
                <w:lang w:val="en-US"/>
              </w:rPr>
            </w:pPr>
            <w:r w:rsidRPr="00887C6C">
              <w:rPr>
                <w:lang w:val="en-US"/>
              </w:rPr>
              <w:t>Simple Migration from Veeam Data Platform Foundation Enterprise to Veeam Data Platform Foundation Universal License. Includes Enterprise Plus Edition features. - 3 years with Production Support. 7 Instance pack.</w:t>
            </w:r>
          </w:p>
        </w:tc>
      </w:tr>
      <w:tr w:rsidR="00282F6F" w:rsidRPr="001319CA" w14:paraId="419AD760" w14:textId="77777777" w:rsidTr="00284048">
        <w:trPr>
          <w:trHeight w:val="1344"/>
        </w:trPr>
        <w:tc>
          <w:tcPr>
            <w:tcW w:w="1051" w:type="dxa"/>
            <w:vMerge/>
            <w:vAlign w:val="center"/>
            <w:hideMark/>
          </w:tcPr>
          <w:p w14:paraId="66E7AF6B" w14:textId="77777777" w:rsidR="00282F6F" w:rsidRPr="00E17D71" w:rsidRDefault="00282F6F" w:rsidP="00E17D71">
            <w:pPr>
              <w:pStyle w:val="NoSpacing"/>
              <w:jc w:val="both"/>
            </w:pPr>
          </w:p>
        </w:tc>
        <w:tc>
          <w:tcPr>
            <w:tcW w:w="1381" w:type="dxa"/>
            <w:shd w:val="clear" w:color="auto" w:fill="auto"/>
            <w:vAlign w:val="bottom"/>
            <w:hideMark/>
          </w:tcPr>
          <w:p w14:paraId="61417ACE" w14:textId="77777777" w:rsidR="00282F6F" w:rsidRPr="00E17D71" w:rsidRDefault="00282F6F" w:rsidP="00E17D71">
            <w:pPr>
              <w:pStyle w:val="NoSpacing"/>
              <w:jc w:val="both"/>
            </w:pPr>
            <w:r w:rsidRPr="00E17D71">
              <w:t>22</w:t>
            </w:r>
          </w:p>
        </w:tc>
        <w:tc>
          <w:tcPr>
            <w:tcW w:w="2015" w:type="dxa"/>
            <w:shd w:val="clear" w:color="auto" w:fill="auto"/>
            <w:vAlign w:val="bottom"/>
            <w:hideMark/>
          </w:tcPr>
          <w:p w14:paraId="28110FFF" w14:textId="77777777" w:rsidR="00282F6F" w:rsidRPr="00E17D71" w:rsidRDefault="00282F6F" w:rsidP="00E17D71">
            <w:pPr>
              <w:pStyle w:val="NoSpacing"/>
              <w:jc w:val="both"/>
            </w:pPr>
            <w:r w:rsidRPr="00E17D71">
              <w:t>Instance packs</w:t>
            </w:r>
          </w:p>
        </w:tc>
        <w:tc>
          <w:tcPr>
            <w:tcW w:w="1630" w:type="dxa"/>
            <w:shd w:val="clear" w:color="auto" w:fill="auto"/>
            <w:vAlign w:val="bottom"/>
            <w:hideMark/>
          </w:tcPr>
          <w:p w14:paraId="319F7757" w14:textId="77777777" w:rsidR="00282F6F" w:rsidRPr="00E17D71" w:rsidRDefault="00282F6F" w:rsidP="00E17D71">
            <w:pPr>
              <w:pStyle w:val="NoSpacing"/>
              <w:jc w:val="both"/>
            </w:pPr>
            <w:r w:rsidRPr="00E17D71">
              <w:t>V-FDNVUL-07-PE1MR-1S</w:t>
            </w:r>
          </w:p>
        </w:tc>
        <w:tc>
          <w:tcPr>
            <w:tcW w:w="3279" w:type="dxa"/>
            <w:shd w:val="clear" w:color="auto" w:fill="auto"/>
            <w:vAlign w:val="bottom"/>
            <w:hideMark/>
          </w:tcPr>
          <w:p w14:paraId="4DB205F1" w14:textId="77777777" w:rsidR="00282F6F" w:rsidRPr="001319CA" w:rsidRDefault="00282F6F" w:rsidP="00887C6C">
            <w:pPr>
              <w:pStyle w:val="NoSpacing"/>
              <w:jc w:val="both"/>
              <w:rPr>
                <w:rFonts w:ascii="Calibri" w:eastAsia="Times New Roman" w:hAnsi="Calibri" w:cs="Calibri"/>
                <w:color w:val="000000"/>
                <w:lang w:val="en-US"/>
              </w:rPr>
            </w:pPr>
            <w:r w:rsidRPr="00887C6C">
              <w:rPr>
                <w:lang w:val="en-US"/>
              </w:rPr>
              <w:t>Veeam Data Platform Foundation Universal License. Includes Enterprise Plus Edition features. - Subscription Upfront Billing &amp; Production (24/7) Support - Renewal Monthly Coterm. 7 Instance pack.</w:t>
            </w:r>
          </w:p>
        </w:tc>
      </w:tr>
    </w:tbl>
    <w:tbl>
      <w:tblPr>
        <w:tblpPr w:leftFromText="180" w:rightFromText="180" w:vertAnchor="text" w:horzAnchor="page" w:tblpX="1672" w:tblpY="32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656"/>
        <w:gridCol w:w="2421"/>
        <w:gridCol w:w="3146"/>
      </w:tblGrid>
      <w:tr w:rsidR="00282F6F" w:rsidRPr="00B66C3E" w14:paraId="3BEC7186" w14:textId="77777777" w:rsidTr="00852A83">
        <w:trPr>
          <w:trHeight w:val="673"/>
        </w:trPr>
        <w:tc>
          <w:tcPr>
            <w:tcW w:w="9209" w:type="dxa"/>
            <w:gridSpan w:val="4"/>
            <w:vMerge w:val="restart"/>
            <w:shd w:val="clear" w:color="000000" w:fill="B4C6E7"/>
            <w:noWrap/>
            <w:vAlign w:val="bottom"/>
            <w:hideMark/>
          </w:tcPr>
          <w:p w14:paraId="6C455C22" w14:textId="376BDF2E" w:rsidR="00282F6F" w:rsidRPr="00887C6C" w:rsidRDefault="00E17D71" w:rsidP="00284048">
            <w:pPr>
              <w:spacing w:after="0" w:line="240" w:lineRule="auto"/>
              <w:rPr>
                <w:rFonts w:asciiTheme="majorHAnsi" w:eastAsia="Times New Roman" w:hAnsiTheme="majorHAnsi" w:cstheme="majorHAnsi"/>
                <w:b/>
                <w:bCs/>
                <w:color w:val="000000"/>
                <w:lang w:val="en-US"/>
              </w:rPr>
            </w:pPr>
            <w:r w:rsidRPr="00887C6C">
              <w:rPr>
                <w:rFonts w:asciiTheme="majorHAnsi" w:eastAsia="Times New Roman" w:hAnsiTheme="majorHAnsi" w:cstheme="majorHAnsi"/>
                <w:b/>
                <w:bCs/>
                <w:color w:val="000000"/>
                <w:lang w:val="en-US"/>
              </w:rPr>
              <w:t>Additional Licenses</w:t>
            </w:r>
          </w:p>
        </w:tc>
      </w:tr>
      <w:tr w:rsidR="00282F6F" w:rsidRPr="00B66C3E" w14:paraId="427D4602" w14:textId="77777777" w:rsidTr="00852A83">
        <w:trPr>
          <w:trHeight w:val="422"/>
        </w:trPr>
        <w:tc>
          <w:tcPr>
            <w:tcW w:w="9209" w:type="dxa"/>
            <w:gridSpan w:val="4"/>
            <w:vMerge/>
            <w:vAlign w:val="center"/>
            <w:hideMark/>
          </w:tcPr>
          <w:p w14:paraId="78CBEE2E" w14:textId="77777777" w:rsidR="00282F6F" w:rsidRPr="00887C6C" w:rsidRDefault="00282F6F" w:rsidP="00284048">
            <w:pPr>
              <w:spacing w:after="0" w:line="240" w:lineRule="auto"/>
              <w:rPr>
                <w:rFonts w:asciiTheme="majorHAnsi" w:eastAsia="Times New Roman" w:hAnsiTheme="majorHAnsi" w:cstheme="majorHAnsi"/>
                <w:b/>
                <w:bCs/>
                <w:color w:val="000000"/>
                <w:lang w:val="en-US"/>
              </w:rPr>
            </w:pPr>
          </w:p>
        </w:tc>
      </w:tr>
      <w:tr w:rsidR="00282F6F" w:rsidRPr="00B66C3E" w14:paraId="47C60CBE" w14:textId="77777777" w:rsidTr="00852A83">
        <w:trPr>
          <w:trHeight w:val="279"/>
        </w:trPr>
        <w:tc>
          <w:tcPr>
            <w:tcW w:w="986" w:type="dxa"/>
            <w:shd w:val="clear" w:color="000000" w:fill="B4C6E7"/>
            <w:hideMark/>
          </w:tcPr>
          <w:p w14:paraId="5AF398C3" w14:textId="77777777" w:rsidR="00282F6F" w:rsidRPr="00887C6C" w:rsidRDefault="00282F6F" w:rsidP="00284048">
            <w:pPr>
              <w:spacing w:after="0" w:line="240" w:lineRule="auto"/>
              <w:rPr>
                <w:rFonts w:asciiTheme="majorHAnsi" w:eastAsia="Times New Roman" w:hAnsiTheme="majorHAnsi" w:cstheme="majorHAnsi"/>
                <w:b/>
                <w:bCs/>
                <w:color w:val="000000"/>
                <w:lang w:val="en-US"/>
              </w:rPr>
            </w:pPr>
            <w:r w:rsidRPr="00887C6C">
              <w:rPr>
                <w:rFonts w:asciiTheme="majorHAnsi" w:eastAsia="Times New Roman" w:hAnsiTheme="majorHAnsi" w:cstheme="majorHAnsi"/>
                <w:b/>
                <w:bCs/>
                <w:color w:val="000000"/>
                <w:lang w:val="en-US"/>
              </w:rPr>
              <w:t>Quantity</w:t>
            </w:r>
          </w:p>
        </w:tc>
        <w:tc>
          <w:tcPr>
            <w:tcW w:w="2656" w:type="dxa"/>
            <w:shd w:val="clear" w:color="000000" w:fill="B4C6E7"/>
            <w:hideMark/>
          </w:tcPr>
          <w:p w14:paraId="4E38491B" w14:textId="77777777" w:rsidR="00282F6F" w:rsidRPr="00887C6C" w:rsidRDefault="00282F6F" w:rsidP="00284048">
            <w:pPr>
              <w:spacing w:after="0" w:line="240" w:lineRule="auto"/>
              <w:rPr>
                <w:rFonts w:asciiTheme="majorHAnsi" w:eastAsia="Times New Roman" w:hAnsiTheme="majorHAnsi" w:cstheme="majorHAnsi"/>
                <w:b/>
                <w:bCs/>
                <w:color w:val="000000"/>
                <w:lang w:val="en-US"/>
              </w:rPr>
            </w:pPr>
            <w:r w:rsidRPr="00887C6C">
              <w:rPr>
                <w:rFonts w:asciiTheme="majorHAnsi" w:eastAsia="Times New Roman" w:hAnsiTheme="majorHAnsi" w:cstheme="majorHAnsi"/>
                <w:b/>
                <w:bCs/>
                <w:color w:val="000000"/>
                <w:lang w:val="en-US"/>
              </w:rPr>
              <w:t>Licensed Unit (+term)</w:t>
            </w:r>
          </w:p>
        </w:tc>
        <w:tc>
          <w:tcPr>
            <w:tcW w:w="2421" w:type="dxa"/>
            <w:shd w:val="clear" w:color="000000" w:fill="B4C6E7"/>
            <w:hideMark/>
          </w:tcPr>
          <w:p w14:paraId="60596999" w14:textId="77777777" w:rsidR="00282F6F" w:rsidRPr="00887C6C" w:rsidRDefault="00282F6F" w:rsidP="00284048">
            <w:pPr>
              <w:spacing w:after="0" w:line="240" w:lineRule="auto"/>
              <w:rPr>
                <w:rFonts w:asciiTheme="majorHAnsi" w:eastAsia="Times New Roman" w:hAnsiTheme="majorHAnsi" w:cstheme="majorHAnsi"/>
                <w:b/>
                <w:bCs/>
                <w:color w:val="000000"/>
                <w:lang w:val="en-US"/>
              </w:rPr>
            </w:pPr>
            <w:r w:rsidRPr="00887C6C">
              <w:rPr>
                <w:rFonts w:asciiTheme="majorHAnsi" w:eastAsia="Times New Roman" w:hAnsiTheme="majorHAnsi" w:cstheme="majorHAnsi"/>
                <w:b/>
                <w:bCs/>
                <w:color w:val="000000"/>
                <w:lang w:val="en-US"/>
              </w:rPr>
              <w:t>Product SKU</w:t>
            </w:r>
          </w:p>
        </w:tc>
        <w:tc>
          <w:tcPr>
            <w:tcW w:w="3146" w:type="dxa"/>
            <w:shd w:val="clear" w:color="000000" w:fill="B4C6E7"/>
            <w:hideMark/>
          </w:tcPr>
          <w:p w14:paraId="6134F5C9" w14:textId="77777777" w:rsidR="00282F6F" w:rsidRPr="00887C6C" w:rsidRDefault="00282F6F" w:rsidP="00284048">
            <w:pPr>
              <w:spacing w:after="0" w:line="240" w:lineRule="auto"/>
              <w:rPr>
                <w:rFonts w:asciiTheme="majorHAnsi" w:eastAsia="Times New Roman" w:hAnsiTheme="majorHAnsi" w:cstheme="majorHAnsi"/>
                <w:b/>
                <w:bCs/>
                <w:color w:val="000000"/>
                <w:lang w:val="en-US"/>
              </w:rPr>
            </w:pPr>
            <w:r w:rsidRPr="00887C6C">
              <w:rPr>
                <w:rFonts w:asciiTheme="majorHAnsi" w:eastAsia="Times New Roman" w:hAnsiTheme="majorHAnsi" w:cstheme="majorHAnsi"/>
                <w:b/>
                <w:bCs/>
                <w:color w:val="000000"/>
                <w:lang w:val="en-US"/>
              </w:rPr>
              <w:t>Veeam Product Description</w:t>
            </w:r>
          </w:p>
        </w:tc>
      </w:tr>
      <w:tr w:rsidR="00282F6F" w:rsidRPr="00B66C3E" w14:paraId="2753B21A" w14:textId="77777777" w:rsidTr="00852A83">
        <w:trPr>
          <w:trHeight w:val="1549"/>
        </w:trPr>
        <w:tc>
          <w:tcPr>
            <w:tcW w:w="986" w:type="dxa"/>
            <w:shd w:val="clear" w:color="auto" w:fill="auto"/>
            <w:hideMark/>
          </w:tcPr>
          <w:p w14:paraId="13E39E02" w14:textId="77777777" w:rsidR="00282F6F" w:rsidRPr="00887C6C" w:rsidRDefault="00282F6F" w:rsidP="00284048">
            <w:pPr>
              <w:spacing w:after="0" w:line="240" w:lineRule="auto"/>
              <w:rPr>
                <w:rFonts w:asciiTheme="minorHAnsi" w:eastAsiaTheme="minorEastAsia" w:hAnsiTheme="minorHAnsi" w:cstheme="minorBidi"/>
                <w:lang w:val="en-US"/>
              </w:rPr>
            </w:pPr>
            <w:r w:rsidRPr="00887C6C">
              <w:rPr>
                <w:rFonts w:asciiTheme="minorHAnsi" w:eastAsiaTheme="minorEastAsia" w:hAnsiTheme="minorHAnsi" w:cstheme="minorBidi"/>
                <w:lang w:val="en-US"/>
              </w:rPr>
              <w:t>17</w:t>
            </w:r>
          </w:p>
        </w:tc>
        <w:tc>
          <w:tcPr>
            <w:tcW w:w="2656" w:type="dxa"/>
            <w:shd w:val="clear" w:color="auto" w:fill="auto"/>
            <w:hideMark/>
          </w:tcPr>
          <w:p w14:paraId="1E31630F" w14:textId="77777777" w:rsidR="00282F6F" w:rsidRPr="00887C6C" w:rsidRDefault="00282F6F" w:rsidP="00284048">
            <w:pPr>
              <w:spacing w:after="0" w:line="240" w:lineRule="auto"/>
              <w:rPr>
                <w:rFonts w:asciiTheme="minorHAnsi" w:eastAsiaTheme="minorEastAsia" w:hAnsiTheme="minorHAnsi" w:cstheme="minorBidi"/>
                <w:lang w:val="en-US"/>
              </w:rPr>
            </w:pPr>
            <w:r w:rsidRPr="00887C6C">
              <w:rPr>
                <w:rFonts w:asciiTheme="minorHAnsi" w:eastAsiaTheme="minorEastAsia" w:hAnsiTheme="minorHAnsi" w:cstheme="minorBidi"/>
                <w:lang w:val="en-US"/>
              </w:rPr>
              <w:t>Bundles</w:t>
            </w:r>
          </w:p>
        </w:tc>
        <w:tc>
          <w:tcPr>
            <w:tcW w:w="2421" w:type="dxa"/>
            <w:shd w:val="clear" w:color="auto" w:fill="auto"/>
            <w:hideMark/>
          </w:tcPr>
          <w:p w14:paraId="67B1EFFE" w14:textId="77777777" w:rsidR="00282F6F" w:rsidRPr="00887C6C" w:rsidRDefault="00282F6F" w:rsidP="00284048">
            <w:pPr>
              <w:spacing w:after="0" w:line="240" w:lineRule="auto"/>
              <w:rPr>
                <w:rFonts w:asciiTheme="minorHAnsi" w:eastAsiaTheme="minorEastAsia" w:hAnsiTheme="minorHAnsi" w:cstheme="minorBidi"/>
                <w:lang w:val="en-US"/>
              </w:rPr>
            </w:pPr>
            <w:r w:rsidRPr="00887C6C">
              <w:rPr>
                <w:rFonts w:asciiTheme="minorHAnsi" w:eastAsiaTheme="minorEastAsia" w:hAnsiTheme="minorHAnsi" w:cstheme="minorBidi"/>
                <w:lang w:val="en-US"/>
              </w:rPr>
              <w:t>P-ADVVUL-0I-SU3YP-00</w:t>
            </w:r>
          </w:p>
        </w:tc>
        <w:tc>
          <w:tcPr>
            <w:tcW w:w="3146" w:type="dxa"/>
            <w:shd w:val="clear" w:color="auto" w:fill="auto"/>
            <w:hideMark/>
          </w:tcPr>
          <w:p w14:paraId="3050D04C" w14:textId="77777777" w:rsidR="00282F6F" w:rsidRPr="00B66C3E" w:rsidRDefault="00282F6F" w:rsidP="00284048">
            <w:pPr>
              <w:pStyle w:val="NoSpacing"/>
              <w:jc w:val="both"/>
              <w:rPr>
                <w:rFonts w:ascii="Calibri" w:eastAsia="Times New Roman" w:hAnsi="Calibri" w:cs="Calibri"/>
                <w:color w:val="000000"/>
                <w:lang w:val="en-US"/>
              </w:rPr>
            </w:pPr>
            <w:r w:rsidRPr="00887C6C">
              <w:rPr>
                <w:lang w:val="en-US"/>
              </w:rPr>
              <w:t>Veeam Data Platform Foundation Universal Subscription License. Includes Enterprise Plus Edition features. 10 instance pack. 3 Years Subscription Upfront Billing &amp; Production (24/7) Support. Public Sector.</w:t>
            </w:r>
          </w:p>
        </w:tc>
      </w:tr>
    </w:tbl>
    <w:p w14:paraId="360A4BE4" w14:textId="77777777" w:rsidR="00E17D71" w:rsidRDefault="00E17D71" w:rsidP="00E17D71">
      <w:pPr>
        <w:pStyle w:val="Heading2"/>
        <w:numPr>
          <w:ilvl w:val="0"/>
          <w:numId w:val="0"/>
        </w:numPr>
        <w:ind w:left="567"/>
        <w:jc w:val="both"/>
      </w:pPr>
      <w:bookmarkStart w:id="13" w:name="_Toc161437007"/>
    </w:p>
    <w:p w14:paraId="7A403CCB" w14:textId="1E797F03" w:rsidR="005758C0" w:rsidRDefault="00A22E66" w:rsidP="00852A83">
      <w:pPr>
        <w:pStyle w:val="Heading2"/>
        <w:ind w:left="142" w:firstLine="0"/>
        <w:jc w:val="both"/>
      </w:pPr>
      <w:r>
        <w:t>Service Elements</w:t>
      </w:r>
      <w:bookmarkEnd w:id="13"/>
    </w:p>
    <w:p w14:paraId="0D691F00" w14:textId="1083618F" w:rsidR="005758C0" w:rsidRDefault="00852A83" w:rsidP="00852A83">
      <w:pPr>
        <w:pStyle w:val="Heading3"/>
        <w:ind w:left="851" w:hanging="709"/>
      </w:pPr>
      <w:bookmarkStart w:id="14" w:name="_Toc161437008"/>
      <w:r>
        <w:t>Full-Service</w:t>
      </w:r>
      <w:r w:rsidR="00A22E66">
        <w:t xml:space="preserve"> Agreement</w:t>
      </w:r>
      <w:bookmarkEnd w:id="14"/>
    </w:p>
    <w:p w14:paraId="14D7022B" w14:textId="77777777" w:rsidR="005758C0" w:rsidRDefault="00A22E66" w:rsidP="002029E7">
      <w:pPr>
        <w:pStyle w:val="ListParagraph"/>
        <w:numPr>
          <w:ilvl w:val="0"/>
          <w:numId w:val="25"/>
        </w:numPr>
      </w:pPr>
      <w:r w:rsidRPr="00783F60">
        <w:rPr>
          <w:lang w:val="en-GB"/>
        </w:rPr>
        <w:t>Incident Priorities are defined as follows -</w:t>
      </w:r>
    </w:p>
    <w:p w14:paraId="177AE3D2" w14:textId="77777777" w:rsidR="005758C0" w:rsidRDefault="00A22E66" w:rsidP="002029E7">
      <w:pPr>
        <w:pStyle w:val="ListParagraph"/>
        <w:numPr>
          <w:ilvl w:val="0"/>
          <w:numId w:val="4"/>
        </w:numPr>
      </w:pPr>
      <w:r>
        <w:t>Priority 1 (Critical) - An Incident will be assigned a “Priority Level 1” if the Incident has the potential of having a high business impact on SITA Client e.g. an outage affecting a large and substantial number of SITA Client users performing critical functions.</w:t>
      </w:r>
    </w:p>
    <w:p w14:paraId="6082AB9B" w14:textId="77777777" w:rsidR="005758C0" w:rsidRDefault="00A22E66" w:rsidP="002029E7">
      <w:pPr>
        <w:pStyle w:val="ListParagraph"/>
        <w:numPr>
          <w:ilvl w:val="0"/>
          <w:numId w:val="4"/>
        </w:numPr>
      </w:pPr>
      <w:r>
        <w:t>Priority 2 (High) - An Incident will be assigned as “Priority Level 2” if it has the potential of a noticeable impact on SITA Client but does not rise to the level of a Priority 1 incident. Without limiting the generality of the foregoing, examples of Priority 2 incidents include outages that affect multiple SITA Client users performing non-critical functions.</w:t>
      </w:r>
    </w:p>
    <w:p w14:paraId="0FFE3B9E" w14:textId="77777777" w:rsidR="005758C0" w:rsidRDefault="00A22E66" w:rsidP="002029E7">
      <w:pPr>
        <w:pStyle w:val="ListParagraph"/>
        <w:numPr>
          <w:ilvl w:val="0"/>
          <w:numId w:val="4"/>
        </w:numPr>
      </w:pPr>
      <w:r>
        <w:t>Priority 3 (Medium) - An Incident will be assigned as “Priority Level 3” if the incident has the potential to have minimal impact on SITA Client or a significant impact on a single user. Without limiting the generality of the foregoing, examples of Priority 3 incidents include outages affecting a single SITA Client user.</w:t>
      </w:r>
    </w:p>
    <w:p w14:paraId="2741DBDD" w14:textId="77777777" w:rsidR="005758C0" w:rsidRDefault="00A22E66" w:rsidP="002029E7">
      <w:pPr>
        <w:pStyle w:val="ListParagraph"/>
        <w:numPr>
          <w:ilvl w:val="0"/>
          <w:numId w:val="4"/>
        </w:numPr>
      </w:pPr>
      <w:r>
        <w:t>Priority 4 (Low) -An Incident will be assigned as “Priority Level 4” if the incident is a trivial incident with little or no impact to SITA Client or a user that does not rise to the level of a Priority 1, Priority 2 or Priority 3 incident.</w:t>
      </w:r>
    </w:p>
    <w:p w14:paraId="6A2F6B6A" w14:textId="77777777" w:rsidR="005758C0" w:rsidRDefault="00A22E66" w:rsidP="00852A83">
      <w:pPr>
        <w:pStyle w:val="Heading3"/>
        <w:ind w:left="851" w:hanging="709"/>
      </w:pPr>
      <w:bookmarkStart w:id="15" w:name="_Toc161437009"/>
      <w:r>
        <w:t>Response time and distance</w:t>
      </w:r>
      <w:bookmarkEnd w:id="15"/>
    </w:p>
    <w:p w14:paraId="3838BF9D" w14:textId="77777777" w:rsidR="005758C0" w:rsidRDefault="00A22E66" w:rsidP="00284048">
      <w:pPr>
        <w:ind w:firstLine="567"/>
      </w:pPr>
      <w:r>
        <w:rPr>
          <w:lang w:val="en-GB"/>
        </w:rPr>
        <w:t>The below are committed Incidents Resolution Service Level per priority</w:t>
      </w:r>
    </w:p>
    <w:tbl>
      <w:tblPr>
        <w:tblStyle w:val="TableGrid"/>
        <w:tblW w:w="4711" w:type="pct"/>
        <w:tblInd w:w="562" w:type="dxa"/>
        <w:tblLook w:val="04A0" w:firstRow="1" w:lastRow="0" w:firstColumn="1" w:lastColumn="0" w:noHBand="0" w:noVBand="1"/>
      </w:tblPr>
      <w:tblGrid>
        <w:gridCol w:w="851"/>
        <w:gridCol w:w="2827"/>
        <w:gridCol w:w="2103"/>
        <w:gridCol w:w="3291"/>
      </w:tblGrid>
      <w:tr w:rsidR="005758C0" w14:paraId="7AF40B01" w14:textId="77777777" w:rsidTr="00284048">
        <w:trPr>
          <w:trHeight w:val="595"/>
          <w:tblHeader/>
        </w:trPr>
        <w:tc>
          <w:tcPr>
            <w:tcW w:w="469" w:type="pct"/>
            <w:shd w:val="clear" w:color="auto" w:fill="DBE5F1" w:themeFill="accent1" w:themeFillTint="33"/>
          </w:tcPr>
          <w:p w14:paraId="741BB868" w14:textId="77777777" w:rsidR="005758C0" w:rsidRDefault="00A22E66" w:rsidP="002029E7">
            <w:pPr>
              <w:spacing w:after="0" w:line="240" w:lineRule="auto"/>
              <w:rPr>
                <w:rFonts w:asciiTheme="minorHAnsi" w:hAnsiTheme="minorHAnsi"/>
                <w:b/>
                <w:szCs w:val="24"/>
              </w:rPr>
            </w:pPr>
            <w:r>
              <w:rPr>
                <w:rFonts w:asciiTheme="minorHAnsi" w:hAnsiTheme="minorHAnsi"/>
                <w:b/>
                <w:szCs w:val="24"/>
              </w:rPr>
              <w:t>SBS</w:t>
            </w:r>
          </w:p>
        </w:tc>
        <w:tc>
          <w:tcPr>
            <w:tcW w:w="1558" w:type="pct"/>
            <w:shd w:val="clear" w:color="auto" w:fill="DBE5F1" w:themeFill="accent1" w:themeFillTint="33"/>
          </w:tcPr>
          <w:p w14:paraId="667E6DD5" w14:textId="77777777" w:rsidR="005758C0" w:rsidRDefault="00A22E66" w:rsidP="002029E7">
            <w:pPr>
              <w:spacing w:after="0" w:line="240" w:lineRule="auto"/>
              <w:rPr>
                <w:rFonts w:asciiTheme="minorHAnsi" w:hAnsiTheme="minorHAnsi"/>
                <w:b/>
                <w:szCs w:val="24"/>
              </w:rPr>
            </w:pPr>
            <w:r>
              <w:rPr>
                <w:rFonts w:asciiTheme="minorHAnsi" w:hAnsiTheme="minorHAnsi"/>
                <w:b/>
                <w:szCs w:val="24"/>
              </w:rPr>
              <w:t>Service Element</w:t>
            </w:r>
          </w:p>
        </w:tc>
        <w:tc>
          <w:tcPr>
            <w:tcW w:w="1159" w:type="pct"/>
            <w:shd w:val="clear" w:color="auto" w:fill="DBE5F1" w:themeFill="accent1" w:themeFillTint="33"/>
          </w:tcPr>
          <w:p w14:paraId="1B486E8E" w14:textId="77777777" w:rsidR="005758C0" w:rsidRDefault="00A22E66" w:rsidP="002029E7">
            <w:pPr>
              <w:spacing w:after="0" w:line="240" w:lineRule="auto"/>
              <w:rPr>
                <w:rFonts w:asciiTheme="minorHAnsi" w:hAnsiTheme="minorHAnsi"/>
                <w:b/>
                <w:szCs w:val="24"/>
              </w:rPr>
            </w:pPr>
            <w:r>
              <w:rPr>
                <w:rFonts w:asciiTheme="minorHAnsi" w:hAnsiTheme="minorHAnsi"/>
                <w:b/>
                <w:szCs w:val="24"/>
              </w:rPr>
              <w:t>Service Grade</w:t>
            </w:r>
          </w:p>
        </w:tc>
        <w:tc>
          <w:tcPr>
            <w:tcW w:w="1815" w:type="pct"/>
            <w:shd w:val="clear" w:color="auto" w:fill="DBE5F1" w:themeFill="accent1" w:themeFillTint="33"/>
          </w:tcPr>
          <w:p w14:paraId="44C5FFD3" w14:textId="77777777" w:rsidR="005758C0" w:rsidRDefault="00A22E66" w:rsidP="002029E7">
            <w:pPr>
              <w:spacing w:after="0" w:line="240" w:lineRule="auto"/>
              <w:rPr>
                <w:rFonts w:asciiTheme="minorHAnsi" w:hAnsiTheme="minorHAnsi"/>
                <w:b/>
                <w:szCs w:val="24"/>
              </w:rPr>
            </w:pPr>
            <w:r>
              <w:rPr>
                <w:rFonts w:asciiTheme="minorHAnsi" w:hAnsiTheme="minorHAnsi"/>
                <w:b/>
                <w:szCs w:val="24"/>
              </w:rPr>
              <w:t>Service Level</w:t>
            </w:r>
          </w:p>
        </w:tc>
      </w:tr>
      <w:tr w:rsidR="005758C0" w14:paraId="602B7B88" w14:textId="77777777" w:rsidTr="00284048">
        <w:trPr>
          <w:trHeight w:val="540"/>
        </w:trPr>
        <w:tc>
          <w:tcPr>
            <w:tcW w:w="469" w:type="pct"/>
            <w:shd w:val="clear" w:color="auto" w:fill="DBE5F1" w:themeFill="accent1" w:themeFillTint="33"/>
          </w:tcPr>
          <w:p w14:paraId="7F571EE5" w14:textId="77777777" w:rsidR="005758C0" w:rsidRDefault="005758C0" w:rsidP="002029E7">
            <w:pPr>
              <w:pStyle w:val="ListParagraph"/>
              <w:numPr>
                <w:ilvl w:val="0"/>
                <w:numId w:val="5"/>
              </w:numPr>
              <w:spacing w:after="120" w:line="240" w:lineRule="auto"/>
              <w:ind w:left="284" w:hanging="284"/>
              <w:outlineLvl w:val="9"/>
            </w:pPr>
          </w:p>
        </w:tc>
        <w:tc>
          <w:tcPr>
            <w:tcW w:w="1558" w:type="pct"/>
          </w:tcPr>
          <w:p w14:paraId="4C492902" w14:textId="77777777" w:rsidR="005758C0" w:rsidRDefault="00A22E66" w:rsidP="002029E7">
            <w:pPr>
              <w:spacing w:after="0" w:line="240" w:lineRule="auto"/>
              <w:rPr>
                <w:rFonts w:asciiTheme="minorHAnsi" w:hAnsiTheme="minorHAnsi"/>
                <w:szCs w:val="24"/>
              </w:rPr>
            </w:pPr>
            <w:r>
              <w:rPr>
                <w:rFonts w:asciiTheme="minorHAnsi" w:hAnsiTheme="minorHAnsi"/>
                <w:szCs w:val="24"/>
              </w:rPr>
              <w:t>Call Centre</w:t>
            </w:r>
          </w:p>
        </w:tc>
        <w:tc>
          <w:tcPr>
            <w:tcW w:w="1159" w:type="pct"/>
          </w:tcPr>
          <w:p w14:paraId="2DB70845" w14:textId="77777777" w:rsidR="005758C0" w:rsidRDefault="00A22E66" w:rsidP="002029E7">
            <w:pPr>
              <w:spacing w:after="0" w:line="240" w:lineRule="auto"/>
              <w:rPr>
                <w:rFonts w:asciiTheme="minorHAnsi" w:hAnsiTheme="minorHAnsi"/>
                <w:szCs w:val="24"/>
              </w:rPr>
            </w:pPr>
            <w:r>
              <w:rPr>
                <w:rFonts w:asciiTheme="minorHAnsi" w:hAnsiTheme="minorHAnsi"/>
                <w:szCs w:val="24"/>
              </w:rPr>
              <w:t>Platinum</w:t>
            </w:r>
          </w:p>
        </w:tc>
        <w:tc>
          <w:tcPr>
            <w:tcW w:w="1815" w:type="pct"/>
          </w:tcPr>
          <w:p w14:paraId="61C51109" w14:textId="77777777" w:rsidR="005758C0" w:rsidRDefault="00A22E66" w:rsidP="002029E7">
            <w:pPr>
              <w:spacing w:after="0" w:line="240" w:lineRule="auto"/>
              <w:rPr>
                <w:rFonts w:asciiTheme="minorHAnsi" w:hAnsiTheme="minorHAnsi"/>
                <w:szCs w:val="24"/>
              </w:rPr>
            </w:pPr>
            <w:r>
              <w:rPr>
                <w:rFonts w:asciiTheme="minorHAnsi" w:hAnsiTheme="minorHAnsi"/>
                <w:szCs w:val="24"/>
              </w:rPr>
              <w:t>24h x 7days x 52weeks</w:t>
            </w:r>
          </w:p>
        </w:tc>
      </w:tr>
      <w:tr w:rsidR="005758C0" w14:paraId="1F9A9094" w14:textId="77777777" w:rsidTr="00284048">
        <w:trPr>
          <w:trHeight w:val="556"/>
        </w:trPr>
        <w:tc>
          <w:tcPr>
            <w:tcW w:w="469" w:type="pct"/>
            <w:shd w:val="clear" w:color="auto" w:fill="DBE5F1" w:themeFill="accent1" w:themeFillTint="33"/>
          </w:tcPr>
          <w:p w14:paraId="7F2EF482" w14:textId="77777777" w:rsidR="005758C0" w:rsidRDefault="005758C0" w:rsidP="002029E7">
            <w:pPr>
              <w:pStyle w:val="ListParagraph"/>
              <w:numPr>
                <w:ilvl w:val="0"/>
                <w:numId w:val="5"/>
              </w:numPr>
              <w:spacing w:after="120" w:line="240" w:lineRule="auto"/>
              <w:ind w:left="284" w:hanging="284"/>
              <w:outlineLvl w:val="9"/>
            </w:pPr>
          </w:p>
        </w:tc>
        <w:tc>
          <w:tcPr>
            <w:tcW w:w="1558" w:type="pct"/>
          </w:tcPr>
          <w:p w14:paraId="476712D7" w14:textId="77777777" w:rsidR="005758C0" w:rsidRDefault="00A22E66" w:rsidP="002029E7">
            <w:pPr>
              <w:spacing w:after="0" w:line="240" w:lineRule="auto"/>
              <w:rPr>
                <w:rFonts w:asciiTheme="minorHAnsi" w:hAnsiTheme="minorHAnsi"/>
                <w:szCs w:val="24"/>
              </w:rPr>
            </w:pPr>
            <w:r>
              <w:rPr>
                <w:rFonts w:asciiTheme="minorHAnsi" w:hAnsiTheme="minorHAnsi"/>
                <w:szCs w:val="24"/>
              </w:rPr>
              <w:t>Call Centre</w:t>
            </w:r>
          </w:p>
        </w:tc>
        <w:tc>
          <w:tcPr>
            <w:tcW w:w="1159" w:type="pct"/>
          </w:tcPr>
          <w:p w14:paraId="584AA66F" w14:textId="77777777" w:rsidR="005758C0" w:rsidRDefault="00A22E66" w:rsidP="002029E7">
            <w:pPr>
              <w:spacing w:after="0" w:line="240" w:lineRule="auto"/>
              <w:rPr>
                <w:rFonts w:asciiTheme="minorHAnsi" w:hAnsiTheme="minorHAnsi"/>
                <w:szCs w:val="24"/>
              </w:rPr>
            </w:pPr>
            <w:r>
              <w:rPr>
                <w:rFonts w:asciiTheme="minorHAnsi" w:hAnsiTheme="minorHAnsi"/>
                <w:szCs w:val="24"/>
              </w:rPr>
              <w:t>Normal</w:t>
            </w:r>
          </w:p>
        </w:tc>
        <w:tc>
          <w:tcPr>
            <w:tcW w:w="1815" w:type="pct"/>
          </w:tcPr>
          <w:p w14:paraId="42DFD27B" w14:textId="77777777" w:rsidR="005758C0" w:rsidRDefault="00A22E66" w:rsidP="002029E7">
            <w:pPr>
              <w:spacing w:after="0" w:line="240" w:lineRule="auto"/>
              <w:rPr>
                <w:rFonts w:asciiTheme="minorHAnsi" w:hAnsiTheme="minorHAnsi"/>
                <w:szCs w:val="24"/>
              </w:rPr>
            </w:pPr>
            <w:r>
              <w:rPr>
                <w:rFonts w:asciiTheme="minorHAnsi" w:hAnsiTheme="minorHAnsi"/>
                <w:szCs w:val="24"/>
              </w:rPr>
              <w:t>8h x 5d, 07:30 – 16:30</w:t>
            </w:r>
          </w:p>
        </w:tc>
      </w:tr>
      <w:tr w:rsidR="005758C0" w14:paraId="65C1431B" w14:textId="77777777" w:rsidTr="00284048">
        <w:trPr>
          <w:trHeight w:val="540"/>
        </w:trPr>
        <w:tc>
          <w:tcPr>
            <w:tcW w:w="469" w:type="pct"/>
            <w:shd w:val="clear" w:color="auto" w:fill="DBE5F1" w:themeFill="accent1" w:themeFillTint="33"/>
          </w:tcPr>
          <w:p w14:paraId="07A933B8" w14:textId="77777777" w:rsidR="005758C0" w:rsidRDefault="005758C0" w:rsidP="002029E7">
            <w:pPr>
              <w:pStyle w:val="ListParagraph"/>
              <w:numPr>
                <w:ilvl w:val="0"/>
                <w:numId w:val="5"/>
              </w:numPr>
              <w:spacing w:after="120" w:line="240" w:lineRule="auto"/>
              <w:ind w:left="284" w:hanging="284"/>
              <w:outlineLvl w:val="9"/>
            </w:pPr>
          </w:p>
        </w:tc>
        <w:tc>
          <w:tcPr>
            <w:tcW w:w="1558" w:type="pct"/>
          </w:tcPr>
          <w:p w14:paraId="0131C4EF" w14:textId="77777777" w:rsidR="005758C0" w:rsidRDefault="00A22E66" w:rsidP="002029E7">
            <w:pPr>
              <w:spacing w:after="0" w:line="240" w:lineRule="auto"/>
              <w:rPr>
                <w:rFonts w:asciiTheme="minorHAnsi" w:hAnsiTheme="minorHAnsi"/>
                <w:szCs w:val="24"/>
              </w:rPr>
            </w:pPr>
            <w:r>
              <w:rPr>
                <w:rFonts w:asciiTheme="minorHAnsi" w:hAnsiTheme="minorHAnsi"/>
                <w:szCs w:val="24"/>
              </w:rPr>
              <w:t>Incident Response</w:t>
            </w:r>
          </w:p>
        </w:tc>
        <w:tc>
          <w:tcPr>
            <w:tcW w:w="1159" w:type="pct"/>
          </w:tcPr>
          <w:p w14:paraId="6D5CA2F1" w14:textId="77777777" w:rsidR="005758C0" w:rsidRDefault="00A22E66" w:rsidP="002029E7">
            <w:pPr>
              <w:spacing w:after="0" w:line="240" w:lineRule="auto"/>
              <w:rPr>
                <w:rFonts w:asciiTheme="minorHAnsi" w:hAnsiTheme="minorHAnsi"/>
                <w:szCs w:val="24"/>
              </w:rPr>
            </w:pPr>
            <w:r>
              <w:rPr>
                <w:rFonts w:asciiTheme="minorHAnsi" w:hAnsiTheme="minorHAnsi"/>
                <w:szCs w:val="24"/>
              </w:rPr>
              <w:t>Normal</w:t>
            </w:r>
          </w:p>
        </w:tc>
        <w:tc>
          <w:tcPr>
            <w:tcW w:w="1815" w:type="pct"/>
          </w:tcPr>
          <w:p w14:paraId="15E3F882" w14:textId="77777777" w:rsidR="005758C0" w:rsidRDefault="00A22E66" w:rsidP="002029E7">
            <w:pPr>
              <w:spacing w:after="0" w:line="240" w:lineRule="auto"/>
              <w:rPr>
                <w:rFonts w:asciiTheme="minorHAnsi" w:hAnsiTheme="minorHAnsi"/>
                <w:szCs w:val="24"/>
              </w:rPr>
            </w:pPr>
            <w:r>
              <w:rPr>
                <w:rFonts w:asciiTheme="minorHAnsi" w:hAnsiTheme="minorHAnsi"/>
                <w:szCs w:val="24"/>
              </w:rPr>
              <w:t xml:space="preserve">Maximum 4 hours </w:t>
            </w:r>
          </w:p>
        </w:tc>
      </w:tr>
      <w:tr w:rsidR="005758C0" w14:paraId="30622524" w14:textId="77777777" w:rsidTr="00284048">
        <w:trPr>
          <w:trHeight w:val="540"/>
        </w:trPr>
        <w:tc>
          <w:tcPr>
            <w:tcW w:w="469" w:type="pct"/>
            <w:shd w:val="clear" w:color="auto" w:fill="DBE5F1" w:themeFill="accent1" w:themeFillTint="33"/>
          </w:tcPr>
          <w:p w14:paraId="42383F45" w14:textId="77777777" w:rsidR="005758C0" w:rsidRDefault="005758C0" w:rsidP="002029E7">
            <w:pPr>
              <w:pStyle w:val="ListParagraph"/>
              <w:numPr>
                <w:ilvl w:val="0"/>
                <w:numId w:val="5"/>
              </w:numPr>
              <w:spacing w:after="120" w:line="240" w:lineRule="auto"/>
              <w:ind w:left="284" w:hanging="284"/>
              <w:outlineLvl w:val="9"/>
            </w:pPr>
          </w:p>
        </w:tc>
        <w:tc>
          <w:tcPr>
            <w:tcW w:w="1558" w:type="pct"/>
          </w:tcPr>
          <w:p w14:paraId="02E01974" w14:textId="77777777" w:rsidR="005758C0" w:rsidRDefault="00A22E66" w:rsidP="002029E7">
            <w:pPr>
              <w:spacing w:after="0" w:line="240" w:lineRule="auto"/>
              <w:rPr>
                <w:rFonts w:asciiTheme="minorHAnsi" w:hAnsiTheme="minorHAnsi"/>
                <w:szCs w:val="24"/>
              </w:rPr>
            </w:pPr>
            <w:r>
              <w:rPr>
                <w:rFonts w:asciiTheme="minorHAnsi" w:hAnsiTheme="minorHAnsi"/>
                <w:szCs w:val="24"/>
              </w:rPr>
              <w:t>Incident Restore</w:t>
            </w:r>
          </w:p>
        </w:tc>
        <w:tc>
          <w:tcPr>
            <w:tcW w:w="1159" w:type="pct"/>
          </w:tcPr>
          <w:p w14:paraId="6A3D3361" w14:textId="77777777" w:rsidR="005758C0" w:rsidRDefault="00A22E66" w:rsidP="002029E7">
            <w:pPr>
              <w:spacing w:after="0" w:line="240" w:lineRule="auto"/>
              <w:rPr>
                <w:rFonts w:asciiTheme="minorHAnsi" w:hAnsiTheme="minorHAnsi"/>
                <w:szCs w:val="24"/>
              </w:rPr>
            </w:pPr>
            <w:r>
              <w:rPr>
                <w:rFonts w:asciiTheme="minorHAnsi" w:hAnsiTheme="minorHAnsi"/>
                <w:szCs w:val="24"/>
              </w:rPr>
              <w:t>Normal</w:t>
            </w:r>
          </w:p>
        </w:tc>
        <w:tc>
          <w:tcPr>
            <w:tcW w:w="1815" w:type="pct"/>
          </w:tcPr>
          <w:p w14:paraId="48E911F1" w14:textId="77777777" w:rsidR="005758C0" w:rsidRDefault="00A22E66" w:rsidP="002029E7">
            <w:pPr>
              <w:spacing w:after="0" w:line="240" w:lineRule="auto"/>
              <w:rPr>
                <w:rFonts w:asciiTheme="minorHAnsi" w:hAnsiTheme="minorHAnsi"/>
                <w:szCs w:val="24"/>
              </w:rPr>
            </w:pPr>
            <w:r>
              <w:rPr>
                <w:rFonts w:asciiTheme="minorHAnsi" w:hAnsiTheme="minorHAnsi"/>
                <w:szCs w:val="24"/>
              </w:rPr>
              <w:t>Maximum 8 hours</w:t>
            </w:r>
          </w:p>
        </w:tc>
      </w:tr>
    </w:tbl>
    <w:p w14:paraId="4037A0B5" w14:textId="77777777" w:rsidR="005758C0" w:rsidRDefault="005758C0" w:rsidP="002029E7">
      <w:pPr>
        <w:pStyle w:val="Specification"/>
        <w:ind w:left="993"/>
        <w:jc w:val="both"/>
        <w:rPr>
          <w:rStyle w:val="Strong"/>
          <w:rFonts w:ascii="Calibri Light" w:eastAsiaTheme="minorHAnsi" w:hAnsi="Calibri Light" w:cstheme="majorBidi"/>
          <w:b w:val="0"/>
          <w:sz w:val="22"/>
          <w:szCs w:val="22"/>
        </w:rPr>
      </w:pPr>
    </w:p>
    <w:p w14:paraId="311D164C" w14:textId="77777777" w:rsidR="005758C0" w:rsidRDefault="00A22E66" w:rsidP="002029E7">
      <w:pPr>
        <w:pStyle w:val="ListParagraph"/>
        <w:numPr>
          <w:ilvl w:val="0"/>
          <w:numId w:val="6"/>
        </w:numPr>
        <w:rPr>
          <w:rStyle w:val="Strong"/>
          <w:rFonts w:ascii="Calibri Light" w:hAnsi="Calibri Light"/>
          <w:b w:val="0"/>
        </w:rPr>
      </w:pPr>
      <w:r>
        <w:rPr>
          <w:rStyle w:val="Strong"/>
          <w:b w:val="0"/>
        </w:rPr>
        <w:t xml:space="preserve">Regular meetings to be scheduled </w:t>
      </w:r>
      <w:r>
        <w:rPr>
          <w:rStyle w:val="Strong"/>
          <w:b w:val="0"/>
          <w:shd w:val="clear" w:color="auto" w:fill="FFFFFF" w:themeFill="background1"/>
        </w:rPr>
        <w:t>between SITA/Client and service</w:t>
      </w:r>
      <w:r>
        <w:rPr>
          <w:rStyle w:val="Strong"/>
          <w:b w:val="0"/>
        </w:rPr>
        <w:t xml:space="preserve"> provider and also ADHOC meetings from both sided. </w:t>
      </w:r>
    </w:p>
    <w:p w14:paraId="43ED3395" w14:textId="77777777" w:rsidR="005758C0" w:rsidRDefault="00A22E66" w:rsidP="00284048">
      <w:pPr>
        <w:ind w:left="567"/>
      </w:pPr>
      <w:r>
        <w:t xml:space="preserve">The Supplier must provide call logging statistics and minutes of the meetings when needed. </w:t>
      </w:r>
    </w:p>
    <w:p w14:paraId="7DE0AA06" w14:textId="77777777" w:rsidR="005758C0" w:rsidRDefault="005758C0" w:rsidP="002029E7"/>
    <w:p w14:paraId="2EE7B2A6" w14:textId="77777777" w:rsidR="005758C0" w:rsidRDefault="00A22E66" w:rsidP="00F706D0">
      <w:pPr>
        <w:pStyle w:val="Heading4"/>
      </w:pPr>
      <w:bookmarkStart w:id="16" w:name="_Toc161437010"/>
      <w:r>
        <w:t>Fault logging management</w:t>
      </w:r>
      <w:bookmarkEnd w:id="16"/>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91"/>
        <w:gridCol w:w="3552"/>
        <w:gridCol w:w="3429"/>
      </w:tblGrid>
      <w:tr w:rsidR="005758C0" w14:paraId="19877643" w14:textId="77777777" w:rsidTr="00284048">
        <w:trPr>
          <w:trHeight w:val="638"/>
        </w:trPr>
        <w:tc>
          <w:tcPr>
            <w:tcW w:w="2091" w:type="dxa"/>
            <w:shd w:val="clear" w:color="auto" w:fill="DBE5F1" w:themeFill="accent1" w:themeFillTint="33"/>
          </w:tcPr>
          <w:p w14:paraId="09BD578F" w14:textId="77777777" w:rsidR="005758C0" w:rsidRDefault="00A22E66" w:rsidP="002029E7">
            <w:pPr>
              <w:pStyle w:val="TableParagraph"/>
              <w:spacing w:before="0" w:line="248" w:lineRule="exact"/>
              <w:ind w:left="110"/>
              <w:jc w:val="both"/>
              <w:rPr>
                <w:b/>
              </w:rPr>
            </w:pPr>
            <w:r>
              <w:rPr>
                <w:b/>
              </w:rPr>
              <w:t>Respond</w:t>
            </w:r>
          </w:p>
        </w:tc>
        <w:tc>
          <w:tcPr>
            <w:tcW w:w="3552" w:type="dxa"/>
            <w:shd w:val="clear" w:color="auto" w:fill="DBE5F1" w:themeFill="accent1" w:themeFillTint="33"/>
          </w:tcPr>
          <w:p w14:paraId="3FD4C6D7" w14:textId="77777777" w:rsidR="005758C0" w:rsidRDefault="00A22E66" w:rsidP="002029E7">
            <w:pPr>
              <w:pStyle w:val="TableParagraph"/>
              <w:spacing w:before="0" w:line="248" w:lineRule="exact"/>
              <w:jc w:val="both"/>
              <w:rPr>
                <w:b/>
              </w:rPr>
            </w:pPr>
            <w:r>
              <w:rPr>
                <w:b/>
                <w:spacing w:val="-1"/>
              </w:rPr>
              <w:t>Service</w:t>
            </w:r>
            <w:r>
              <w:rPr>
                <w:b/>
                <w:spacing w:val="-11"/>
              </w:rPr>
              <w:t xml:space="preserve"> </w:t>
            </w:r>
            <w:r>
              <w:rPr>
                <w:b/>
              </w:rPr>
              <w:t>Measure</w:t>
            </w:r>
          </w:p>
        </w:tc>
        <w:tc>
          <w:tcPr>
            <w:tcW w:w="3429" w:type="dxa"/>
            <w:shd w:val="clear" w:color="auto" w:fill="DBE5F1" w:themeFill="accent1" w:themeFillTint="33"/>
          </w:tcPr>
          <w:p w14:paraId="60DD014B" w14:textId="77777777" w:rsidR="005758C0" w:rsidRDefault="00A22E66" w:rsidP="002029E7">
            <w:pPr>
              <w:pStyle w:val="TableParagraph"/>
              <w:spacing w:before="0" w:line="248" w:lineRule="exact"/>
              <w:ind w:left="104"/>
              <w:jc w:val="both"/>
              <w:rPr>
                <w:b/>
              </w:rPr>
            </w:pPr>
            <w:r>
              <w:rPr>
                <w:b/>
              </w:rPr>
              <w:t>Service</w:t>
            </w:r>
            <w:r>
              <w:rPr>
                <w:b/>
                <w:spacing w:val="-12"/>
              </w:rPr>
              <w:t xml:space="preserve"> </w:t>
            </w:r>
            <w:r>
              <w:rPr>
                <w:b/>
              </w:rPr>
              <w:t>Level</w:t>
            </w:r>
          </w:p>
        </w:tc>
      </w:tr>
      <w:tr w:rsidR="005758C0" w14:paraId="0618FD72" w14:textId="77777777" w:rsidTr="00284048">
        <w:trPr>
          <w:trHeight w:val="1136"/>
        </w:trPr>
        <w:tc>
          <w:tcPr>
            <w:tcW w:w="2091" w:type="dxa"/>
            <w:shd w:val="clear" w:color="auto" w:fill="DBE5F1" w:themeFill="accent1" w:themeFillTint="33"/>
          </w:tcPr>
          <w:p w14:paraId="7CD09DE9" w14:textId="77777777" w:rsidR="005758C0" w:rsidRDefault="00A22E66" w:rsidP="002029E7">
            <w:pPr>
              <w:pStyle w:val="TableParagraph"/>
              <w:spacing w:before="0" w:line="268" w:lineRule="exact"/>
              <w:ind w:left="110"/>
              <w:jc w:val="both"/>
              <w:rPr>
                <w:b/>
              </w:rPr>
            </w:pPr>
            <w:r>
              <w:rPr>
                <w:b/>
                <w:spacing w:val="-2"/>
              </w:rPr>
              <w:t>Incident</w:t>
            </w:r>
            <w:r>
              <w:rPr>
                <w:b/>
                <w:spacing w:val="-9"/>
              </w:rPr>
              <w:t xml:space="preserve"> </w:t>
            </w:r>
            <w:r>
              <w:rPr>
                <w:b/>
                <w:spacing w:val="-1"/>
              </w:rPr>
              <w:t>Management</w:t>
            </w:r>
          </w:p>
        </w:tc>
        <w:tc>
          <w:tcPr>
            <w:tcW w:w="3552" w:type="dxa"/>
          </w:tcPr>
          <w:p w14:paraId="6A46EEF9" w14:textId="77777777" w:rsidR="005758C0" w:rsidRDefault="00A22E66" w:rsidP="002029E7">
            <w:pPr>
              <w:pStyle w:val="TableParagraph"/>
              <w:spacing w:before="0"/>
              <w:ind w:right="85"/>
              <w:jc w:val="both"/>
            </w:pPr>
            <w:r>
              <w:t>Number of Incidents responded to</w:t>
            </w:r>
            <w:r>
              <w:rPr>
                <w:spacing w:val="-47"/>
              </w:rPr>
              <w:t xml:space="preserve"> </w:t>
            </w:r>
            <w:r>
              <w:t>within the</w:t>
            </w:r>
            <w:r>
              <w:rPr>
                <w:spacing w:val="-2"/>
              </w:rPr>
              <w:t xml:space="preserve"> </w:t>
            </w:r>
            <w:r>
              <w:t>target time.</w:t>
            </w:r>
          </w:p>
        </w:tc>
        <w:tc>
          <w:tcPr>
            <w:tcW w:w="3429" w:type="dxa"/>
          </w:tcPr>
          <w:p w14:paraId="3E4AC60F" w14:textId="77777777" w:rsidR="005758C0" w:rsidRDefault="00A22E66" w:rsidP="002029E7">
            <w:pPr>
              <w:pStyle w:val="TableParagraph"/>
              <w:spacing w:before="0"/>
              <w:ind w:left="104" w:right="87"/>
              <w:jc w:val="both"/>
            </w:pPr>
            <w:r>
              <w:t>99%</w:t>
            </w:r>
            <w:r>
              <w:rPr>
                <w:spacing w:val="4"/>
              </w:rPr>
              <w:t xml:space="preserve"> </w:t>
            </w:r>
            <w:r>
              <w:t>of</w:t>
            </w:r>
            <w:r>
              <w:rPr>
                <w:spacing w:val="6"/>
              </w:rPr>
              <w:t xml:space="preserve"> </w:t>
            </w:r>
            <w:r>
              <w:t>Incidents</w:t>
            </w:r>
            <w:r>
              <w:rPr>
                <w:spacing w:val="6"/>
              </w:rPr>
              <w:t xml:space="preserve"> </w:t>
            </w:r>
            <w:r>
              <w:t>responded</w:t>
            </w:r>
            <w:r>
              <w:rPr>
                <w:spacing w:val="7"/>
              </w:rPr>
              <w:t xml:space="preserve"> </w:t>
            </w:r>
            <w:r>
              <w:t>to</w:t>
            </w:r>
            <w:r>
              <w:rPr>
                <w:spacing w:val="7"/>
              </w:rPr>
              <w:t xml:space="preserve"> </w:t>
            </w:r>
            <w:r>
              <w:t>within</w:t>
            </w:r>
            <w:r>
              <w:rPr>
                <w:spacing w:val="5"/>
              </w:rPr>
              <w:t xml:space="preserve"> </w:t>
            </w:r>
            <w:r>
              <w:t>the</w:t>
            </w:r>
            <w:r>
              <w:rPr>
                <w:spacing w:val="-47"/>
              </w:rPr>
              <w:t xml:space="preserve"> </w:t>
            </w:r>
            <w:r>
              <w:t>target</w:t>
            </w:r>
            <w:r>
              <w:rPr>
                <w:spacing w:val="-1"/>
              </w:rPr>
              <w:t xml:space="preserve"> </w:t>
            </w:r>
            <w:r>
              <w:t>time.</w:t>
            </w:r>
          </w:p>
          <w:p w14:paraId="559D141A" w14:textId="77777777" w:rsidR="005758C0" w:rsidRDefault="00A22E66" w:rsidP="002029E7">
            <w:pPr>
              <w:pStyle w:val="TableParagraph"/>
              <w:spacing w:before="0" w:line="270" w:lineRule="atLeast"/>
              <w:ind w:left="104"/>
              <w:jc w:val="both"/>
            </w:pPr>
            <w:r>
              <w:t>100%</w:t>
            </w:r>
            <w:r>
              <w:rPr>
                <w:spacing w:val="1"/>
              </w:rPr>
              <w:t xml:space="preserve"> </w:t>
            </w:r>
            <w:r>
              <w:t>of</w:t>
            </w:r>
            <w:r>
              <w:rPr>
                <w:spacing w:val="1"/>
              </w:rPr>
              <w:t xml:space="preserve"> </w:t>
            </w:r>
            <w:r>
              <w:t>Incidents</w:t>
            </w:r>
            <w:r>
              <w:rPr>
                <w:spacing w:val="1"/>
              </w:rPr>
              <w:t xml:space="preserve"> </w:t>
            </w:r>
            <w:r>
              <w:t>will</w:t>
            </w:r>
            <w:r>
              <w:rPr>
                <w:spacing w:val="1"/>
              </w:rPr>
              <w:t xml:space="preserve"> </w:t>
            </w:r>
            <w:r>
              <w:t>be responded</w:t>
            </w:r>
            <w:r>
              <w:rPr>
                <w:spacing w:val="1"/>
              </w:rPr>
              <w:t xml:space="preserve"> </w:t>
            </w:r>
            <w:r>
              <w:t>to</w:t>
            </w:r>
            <w:r>
              <w:rPr>
                <w:spacing w:val="-47"/>
              </w:rPr>
              <w:t xml:space="preserve"> </w:t>
            </w:r>
            <w:r>
              <w:t>within the</w:t>
            </w:r>
            <w:r>
              <w:rPr>
                <w:spacing w:val="-2"/>
              </w:rPr>
              <w:t xml:space="preserve"> </w:t>
            </w:r>
            <w:r>
              <w:t>target time +</w:t>
            </w:r>
            <w:r>
              <w:rPr>
                <w:spacing w:val="-2"/>
              </w:rPr>
              <w:t xml:space="preserve"> </w:t>
            </w:r>
            <w:r>
              <w:t>25%</w:t>
            </w:r>
          </w:p>
        </w:tc>
      </w:tr>
      <w:tr w:rsidR="005758C0" w14:paraId="0BB0BD84" w14:textId="77777777" w:rsidTr="00284048">
        <w:trPr>
          <w:trHeight w:val="849"/>
        </w:trPr>
        <w:tc>
          <w:tcPr>
            <w:tcW w:w="2091" w:type="dxa"/>
            <w:shd w:val="clear" w:color="auto" w:fill="DBE5F1" w:themeFill="accent1" w:themeFillTint="33"/>
          </w:tcPr>
          <w:p w14:paraId="07BFA348" w14:textId="77777777" w:rsidR="005758C0" w:rsidRDefault="00A22E66" w:rsidP="002029E7">
            <w:pPr>
              <w:pStyle w:val="TableParagraph"/>
              <w:spacing w:before="0" w:line="266" w:lineRule="exact"/>
              <w:ind w:left="110"/>
              <w:jc w:val="both"/>
              <w:rPr>
                <w:b/>
              </w:rPr>
            </w:pPr>
            <w:r>
              <w:rPr>
                <w:b/>
              </w:rPr>
              <w:t>Method</w:t>
            </w:r>
          </w:p>
        </w:tc>
        <w:tc>
          <w:tcPr>
            <w:tcW w:w="6981" w:type="dxa"/>
            <w:gridSpan w:val="2"/>
          </w:tcPr>
          <w:p w14:paraId="5DE7C2B8" w14:textId="77777777" w:rsidR="005758C0" w:rsidRDefault="00A22E66" w:rsidP="002029E7">
            <w:pPr>
              <w:pStyle w:val="TableParagraph"/>
              <w:spacing w:before="0"/>
              <w:jc w:val="both"/>
            </w:pPr>
            <w:r>
              <w:rPr>
                <w:spacing w:val="-1"/>
              </w:rPr>
              <w:t>The</w:t>
            </w:r>
            <w:r>
              <w:rPr>
                <w:spacing w:val="-12"/>
              </w:rPr>
              <w:t xml:space="preserve"> </w:t>
            </w:r>
            <w:r>
              <w:rPr>
                <w:spacing w:val="-1"/>
              </w:rPr>
              <w:t>Service</w:t>
            </w:r>
            <w:r>
              <w:rPr>
                <w:spacing w:val="-13"/>
              </w:rPr>
              <w:t xml:space="preserve"> </w:t>
            </w:r>
            <w:r>
              <w:rPr>
                <w:spacing w:val="-1"/>
              </w:rPr>
              <w:t>Levels</w:t>
            </w:r>
            <w:r>
              <w:rPr>
                <w:spacing w:val="-11"/>
              </w:rPr>
              <w:t xml:space="preserve"> </w:t>
            </w:r>
            <w:r>
              <w:rPr>
                <w:spacing w:val="-1"/>
              </w:rPr>
              <w:t>are</w:t>
            </w:r>
            <w:r>
              <w:rPr>
                <w:spacing w:val="-12"/>
              </w:rPr>
              <w:t xml:space="preserve"> </w:t>
            </w:r>
            <w:r>
              <w:rPr>
                <w:spacing w:val="-1"/>
              </w:rPr>
              <w:t>measured</w:t>
            </w:r>
            <w:r>
              <w:rPr>
                <w:spacing w:val="-11"/>
              </w:rPr>
              <w:t xml:space="preserve"> </w:t>
            </w:r>
            <w:r>
              <w:t>and</w:t>
            </w:r>
            <w:r>
              <w:rPr>
                <w:spacing w:val="-11"/>
              </w:rPr>
              <w:t xml:space="preserve"> </w:t>
            </w:r>
            <w:r>
              <w:t>reported</w:t>
            </w:r>
            <w:r>
              <w:rPr>
                <w:spacing w:val="-11"/>
              </w:rPr>
              <w:t xml:space="preserve"> </w:t>
            </w:r>
            <w:r>
              <w:t>on</w:t>
            </w:r>
            <w:r>
              <w:rPr>
                <w:spacing w:val="-11"/>
              </w:rPr>
              <w:t xml:space="preserve"> </w:t>
            </w:r>
            <w:r>
              <w:t>individually</w:t>
            </w:r>
            <w:r>
              <w:rPr>
                <w:spacing w:val="-13"/>
              </w:rPr>
              <w:t xml:space="preserve"> </w:t>
            </w:r>
            <w:r>
              <w:t>from</w:t>
            </w:r>
            <w:r>
              <w:rPr>
                <w:spacing w:val="-11"/>
              </w:rPr>
              <w:t xml:space="preserve"> </w:t>
            </w:r>
            <w:r>
              <w:t>the</w:t>
            </w:r>
            <w:r>
              <w:rPr>
                <w:spacing w:val="-13"/>
              </w:rPr>
              <w:t xml:space="preserve"> </w:t>
            </w:r>
            <w:r>
              <w:t>time</w:t>
            </w:r>
            <w:r>
              <w:rPr>
                <w:spacing w:val="-12"/>
              </w:rPr>
              <w:t xml:space="preserve"> </w:t>
            </w:r>
            <w:r>
              <w:t>that</w:t>
            </w:r>
            <w:r>
              <w:rPr>
                <w:spacing w:val="-47"/>
              </w:rPr>
              <w:t xml:space="preserve"> </w:t>
            </w:r>
            <w:r>
              <w:t>the</w:t>
            </w:r>
            <w:r>
              <w:rPr>
                <w:spacing w:val="6"/>
              </w:rPr>
              <w:t xml:space="preserve"> </w:t>
            </w:r>
            <w:r>
              <w:t>Incident</w:t>
            </w:r>
            <w:r>
              <w:rPr>
                <w:spacing w:val="8"/>
              </w:rPr>
              <w:t xml:space="preserve"> </w:t>
            </w:r>
            <w:r>
              <w:t>is</w:t>
            </w:r>
            <w:r>
              <w:rPr>
                <w:spacing w:val="9"/>
              </w:rPr>
              <w:t xml:space="preserve"> </w:t>
            </w:r>
            <w:r>
              <w:t>logged</w:t>
            </w:r>
            <w:r>
              <w:rPr>
                <w:spacing w:val="6"/>
              </w:rPr>
              <w:t xml:space="preserve"> </w:t>
            </w:r>
            <w:r>
              <w:t>by</w:t>
            </w:r>
            <w:r>
              <w:rPr>
                <w:spacing w:val="10"/>
              </w:rPr>
              <w:t xml:space="preserve"> </w:t>
            </w:r>
            <w:r>
              <w:t>Client</w:t>
            </w:r>
            <w:r>
              <w:rPr>
                <w:spacing w:val="8"/>
              </w:rPr>
              <w:t xml:space="preserve"> </w:t>
            </w:r>
            <w:r>
              <w:t>at</w:t>
            </w:r>
            <w:r>
              <w:rPr>
                <w:spacing w:val="8"/>
              </w:rPr>
              <w:t xml:space="preserve"> </w:t>
            </w:r>
            <w:r>
              <w:t>the</w:t>
            </w:r>
            <w:r>
              <w:rPr>
                <w:spacing w:val="6"/>
              </w:rPr>
              <w:t xml:space="preserve"> </w:t>
            </w:r>
            <w:r>
              <w:t>Service</w:t>
            </w:r>
            <w:r>
              <w:rPr>
                <w:spacing w:val="7"/>
              </w:rPr>
              <w:t xml:space="preserve"> </w:t>
            </w:r>
            <w:r>
              <w:t>Provider's</w:t>
            </w:r>
            <w:r>
              <w:rPr>
                <w:spacing w:val="6"/>
              </w:rPr>
              <w:t xml:space="preserve"> </w:t>
            </w:r>
            <w:r>
              <w:t>Service</w:t>
            </w:r>
            <w:r>
              <w:rPr>
                <w:spacing w:val="7"/>
              </w:rPr>
              <w:t xml:space="preserve"> </w:t>
            </w:r>
            <w:r>
              <w:t>Desk</w:t>
            </w:r>
            <w:r>
              <w:rPr>
                <w:spacing w:val="9"/>
              </w:rPr>
              <w:t xml:space="preserve"> </w:t>
            </w:r>
            <w:r>
              <w:t>until</w:t>
            </w:r>
            <w:r>
              <w:rPr>
                <w:spacing w:val="8"/>
              </w:rPr>
              <w:t xml:space="preserve"> </w:t>
            </w:r>
            <w:r>
              <w:t>the</w:t>
            </w:r>
          </w:p>
          <w:p w14:paraId="1F25E436" w14:textId="77777777" w:rsidR="005758C0" w:rsidRDefault="00A22E66" w:rsidP="002029E7">
            <w:pPr>
              <w:pStyle w:val="TableParagraph"/>
              <w:spacing w:before="0" w:line="249" w:lineRule="exact"/>
              <w:jc w:val="both"/>
            </w:pPr>
            <w:r>
              <w:t>time</w:t>
            </w:r>
            <w:r>
              <w:rPr>
                <w:spacing w:val="-2"/>
              </w:rPr>
              <w:t xml:space="preserve"> </w:t>
            </w:r>
            <w:r>
              <w:t>that</w:t>
            </w:r>
            <w:r>
              <w:rPr>
                <w:spacing w:val="-2"/>
              </w:rPr>
              <w:t xml:space="preserve"> </w:t>
            </w:r>
            <w:r>
              <w:t>the</w:t>
            </w:r>
            <w:r>
              <w:rPr>
                <w:spacing w:val="-2"/>
              </w:rPr>
              <w:t xml:space="preserve"> </w:t>
            </w:r>
            <w:r>
              <w:t>Incident</w:t>
            </w:r>
            <w:r>
              <w:rPr>
                <w:spacing w:val="-1"/>
              </w:rPr>
              <w:t xml:space="preserve"> </w:t>
            </w:r>
            <w:r>
              <w:t>is</w:t>
            </w:r>
            <w:r>
              <w:rPr>
                <w:spacing w:val="-3"/>
              </w:rPr>
              <w:t xml:space="preserve"> </w:t>
            </w:r>
            <w:r>
              <w:t>accepted on</w:t>
            </w:r>
            <w:r>
              <w:rPr>
                <w:spacing w:val="-1"/>
              </w:rPr>
              <w:t xml:space="preserve"> </w:t>
            </w:r>
            <w:r>
              <w:t>the</w:t>
            </w:r>
            <w:r>
              <w:rPr>
                <w:spacing w:val="-5"/>
              </w:rPr>
              <w:t xml:space="preserve"> </w:t>
            </w:r>
            <w:r>
              <w:t>Service</w:t>
            </w:r>
            <w:r>
              <w:rPr>
                <w:spacing w:val="-3"/>
              </w:rPr>
              <w:t xml:space="preserve"> </w:t>
            </w:r>
            <w:r>
              <w:t>Provider's</w:t>
            </w:r>
            <w:r>
              <w:rPr>
                <w:spacing w:val="-3"/>
              </w:rPr>
              <w:t xml:space="preserve"> </w:t>
            </w:r>
            <w:r>
              <w:t>Service</w:t>
            </w:r>
            <w:r>
              <w:rPr>
                <w:spacing w:val="-3"/>
              </w:rPr>
              <w:t xml:space="preserve"> </w:t>
            </w:r>
            <w:r>
              <w:t>Desk.</w:t>
            </w:r>
          </w:p>
        </w:tc>
      </w:tr>
      <w:tr w:rsidR="005758C0" w14:paraId="6D9E6940" w14:textId="77777777" w:rsidTr="00284048">
        <w:trPr>
          <w:trHeight w:val="1135"/>
        </w:trPr>
        <w:tc>
          <w:tcPr>
            <w:tcW w:w="2091" w:type="dxa"/>
            <w:shd w:val="clear" w:color="auto" w:fill="DBE5F1" w:themeFill="accent1" w:themeFillTint="33"/>
          </w:tcPr>
          <w:p w14:paraId="166338E3" w14:textId="77777777" w:rsidR="005758C0" w:rsidRDefault="00A22E66" w:rsidP="002029E7">
            <w:pPr>
              <w:pStyle w:val="TableParagraph"/>
              <w:spacing w:before="0" w:line="268" w:lineRule="exact"/>
              <w:ind w:left="110"/>
              <w:jc w:val="both"/>
              <w:rPr>
                <w:b/>
              </w:rPr>
            </w:pPr>
            <w:r>
              <w:rPr>
                <w:b/>
              </w:rPr>
              <w:t>Formula</w:t>
            </w:r>
          </w:p>
        </w:tc>
        <w:tc>
          <w:tcPr>
            <w:tcW w:w="6981" w:type="dxa"/>
            <w:gridSpan w:val="2"/>
          </w:tcPr>
          <w:p w14:paraId="778A1E53" w14:textId="77777777" w:rsidR="005758C0" w:rsidRDefault="00A22E66" w:rsidP="002029E7">
            <w:pPr>
              <w:pStyle w:val="TableParagraph"/>
              <w:spacing w:before="0"/>
              <w:ind w:right="94"/>
              <w:jc w:val="both"/>
            </w:pPr>
            <w:r>
              <w:t>Number of Incident tickets responded to within Service Level Target / Total</w:t>
            </w:r>
            <w:r>
              <w:rPr>
                <w:spacing w:val="1"/>
              </w:rPr>
              <w:t xml:space="preserve"> </w:t>
            </w:r>
            <w:r>
              <w:t>number of Incident tickets responded to * 100 (Calculation - each incident is</w:t>
            </w:r>
            <w:r>
              <w:rPr>
                <w:spacing w:val="1"/>
              </w:rPr>
              <w:t xml:space="preserve"> </w:t>
            </w:r>
            <w:r>
              <w:t>measured,</w:t>
            </w:r>
            <w:r>
              <w:rPr>
                <w:spacing w:val="17"/>
              </w:rPr>
              <w:t xml:space="preserve"> </w:t>
            </w:r>
            <w:r>
              <w:t>met=1,</w:t>
            </w:r>
            <w:r>
              <w:rPr>
                <w:spacing w:val="17"/>
              </w:rPr>
              <w:t xml:space="preserve"> </w:t>
            </w:r>
            <w:r>
              <w:t>Miss</w:t>
            </w:r>
            <w:r>
              <w:rPr>
                <w:spacing w:val="17"/>
              </w:rPr>
              <w:t xml:space="preserve"> </w:t>
            </w:r>
            <w:r>
              <w:t>=</w:t>
            </w:r>
            <w:r>
              <w:rPr>
                <w:spacing w:val="17"/>
              </w:rPr>
              <w:t xml:space="preserve"> </w:t>
            </w:r>
            <w:r>
              <w:t>0,</w:t>
            </w:r>
            <w:r>
              <w:rPr>
                <w:spacing w:val="19"/>
              </w:rPr>
              <w:t xml:space="preserve"> </w:t>
            </w:r>
            <w:r>
              <w:t>If</w:t>
            </w:r>
            <w:r>
              <w:rPr>
                <w:spacing w:val="17"/>
              </w:rPr>
              <w:t xml:space="preserve"> </w:t>
            </w:r>
            <w:r>
              <w:t>10</w:t>
            </w:r>
            <w:r>
              <w:rPr>
                <w:spacing w:val="17"/>
              </w:rPr>
              <w:t xml:space="preserve"> </w:t>
            </w:r>
            <w:r>
              <w:t>incidents</w:t>
            </w:r>
            <w:r>
              <w:rPr>
                <w:spacing w:val="19"/>
              </w:rPr>
              <w:t xml:space="preserve"> </w:t>
            </w:r>
            <w:r>
              <w:t>and</w:t>
            </w:r>
            <w:r>
              <w:rPr>
                <w:spacing w:val="15"/>
              </w:rPr>
              <w:t xml:space="preserve"> </w:t>
            </w:r>
            <w:r>
              <w:t>9</w:t>
            </w:r>
            <w:r>
              <w:rPr>
                <w:spacing w:val="19"/>
              </w:rPr>
              <w:t xml:space="preserve"> </w:t>
            </w:r>
            <w:r>
              <w:t>is</w:t>
            </w:r>
            <w:r>
              <w:rPr>
                <w:spacing w:val="15"/>
              </w:rPr>
              <w:t xml:space="preserve"> </w:t>
            </w:r>
            <w:r>
              <w:t>met</w:t>
            </w:r>
            <w:r>
              <w:rPr>
                <w:spacing w:val="18"/>
              </w:rPr>
              <w:t xml:space="preserve"> </w:t>
            </w:r>
            <w:r>
              <w:t>calculation</w:t>
            </w:r>
            <w:r>
              <w:rPr>
                <w:spacing w:val="19"/>
              </w:rPr>
              <w:t xml:space="preserve"> </w:t>
            </w:r>
            <w:r>
              <w:t>is</w:t>
            </w:r>
          </w:p>
          <w:p w14:paraId="08BA4965" w14:textId="77777777" w:rsidR="005758C0" w:rsidRDefault="00A22E66" w:rsidP="002029E7">
            <w:pPr>
              <w:pStyle w:val="TableParagraph"/>
              <w:spacing w:before="0" w:line="249" w:lineRule="exact"/>
              <w:jc w:val="both"/>
            </w:pPr>
            <w:r>
              <w:t>(9/10) *100=90%)</w:t>
            </w:r>
          </w:p>
        </w:tc>
      </w:tr>
      <w:tr w:rsidR="005758C0" w14:paraId="12D8E6D4" w14:textId="77777777" w:rsidTr="00284048">
        <w:trPr>
          <w:trHeight w:val="567"/>
        </w:trPr>
        <w:tc>
          <w:tcPr>
            <w:tcW w:w="2091" w:type="dxa"/>
            <w:shd w:val="clear" w:color="auto" w:fill="DBE5F1" w:themeFill="accent1" w:themeFillTint="33"/>
          </w:tcPr>
          <w:p w14:paraId="7138B9FA" w14:textId="77777777" w:rsidR="005758C0" w:rsidRDefault="00A22E66" w:rsidP="002029E7">
            <w:pPr>
              <w:pStyle w:val="TableParagraph"/>
              <w:spacing w:before="0" w:line="268" w:lineRule="exact"/>
              <w:ind w:left="110"/>
              <w:jc w:val="both"/>
              <w:rPr>
                <w:b/>
              </w:rPr>
            </w:pPr>
            <w:r>
              <w:rPr>
                <w:b/>
              </w:rPr>
              <w:t>Exclusions</w:t>
            </w:r>
          </w:p>
        </w:tc>
        <w:tc>
          <w:tcPr>
            <w:tcW w:w="6981" w:type="dxa"/>
            <w:gridSpan w:val="2"/>
          </w:tcPr>
          <w:p w14:paraId="2843A43B" w14:textId="77777777" w:rsidR="005758C0" w:rsidRDefault="00A22E66" w:rsidP="002029E7">
            <w:pPr>
              <w:pStyle w:val="TableParagraph"/>
              <w:spacing w:before="0" w:line="268" w:lineRule="exact"/>
              <w:jc w:val="both"/>
            </w:pPr>
            <w:r>
              <w:t>Incidents</w:t>
            </w:r>
            <w:r>
              <w:rPr>
                <w:spacing w:val="2"/>
              </w:rPr>
              <w:t xml:space="preserve"> </w:t>
            </w:r>
            <w:r>
              <w:t>with respect</w:t>
            </w:r>
            <w:r>
              <w:rPr>
                <w:spacing w:val="1"/>
              </w:rPr>
              <w:t xml:space="preserve"> </w:t>
            </w:r>
            <w:r>
              <w:t>to Infrastructure</w:t>
            </w:r>
            <w:r>
              <w:rPr>
                <w:spacing w:val="2"/>
              </w:rPr>
              <w:t xml:space="preserve"> </w:t>
            </w:r>
            <w:r>
              <w:t>not</w:t>
            </w:r>
            <w:r>
              <w:rPr>
                <w:spacing w:val="1"/>
              </w:rPr>
              <w:t xml:space="preserve"> </w:t>
            </w:r>
            <w:r>
              <w:t>architected</w:t>
            </w:r>
            <w:r>
              <w:rPr>
                <w:spacing w:val="1"/>
              </w:rPr>
              <w:t xml:space="preserve"> </w:t>
            </w:r>
            <w:r>
              <w:t>for</w:t>
            </w:r>
            <w:r>
              <w:rPr>
                <w:spacing w:val="1"/>
              </w:rPr>
              <w:t xml:space="preserve"> </w:t>
            </w:r>
            <w:r>
              <w:t>the</w:t>
            </w:r>
            <w:r>
              <w:rPr>
                <w:spacing w:val="-2"/>
              </w:rPr>
              <w:t xml:space="preserve"> </w:t>
            </w:r>
            <w:r>
              <w:t>specific priority</w:t>
            </w:r>
          </w:p>
          <w:p w14:paraId="46004160" w14:textId="77777777" w:rsidR="005758C0" w:rsidRDefault="00A22E66" w:rsidP="002029E7">
            <w:pPr>
              <w:pStyle w:val="TableParagraph"/>
              <w:spacing w:before="0" w:line="249" w:lineRule="exact"/>
              <w:jc w:val="both"/>
            </w:pPr>
            <w:r>
              <w:t>response</w:t>
            </w:r>
            <w:r>
              <w:rPr>
                <w:spacing w:val="-2"/>
              </w:rPr>
              <w:t xml:space="preserve"> </w:t>
            </w:r>
            <w:r>
              <w:t>time, shall</w:t>
            </w:r>
            <w:r>
              <w:rPr>
                <w:spacing w:val="-2"/>
              </w:rPr>
              <w:t xml:space="preserve"> </w:t>
            </w:r>
            <w:r>
              <w:t>be</w:t>
            </w:r>
            <w:r>
              <w:rPr>
                <w:spacing w:val="-2"/>
              </w:rPr>
              <w:t xml:space="preserve"> </w:t>
            </w:r>
            <w:r>
              <w:t>reported on</w:t>
            </w:r>
            <w:r>
              <w:rPr>
                <w:spacing w:val="-3"/>
              </w:rPr>
              <w:t xml:space="preserve"> </w:t>
            </w:r>
            <w:r>
              <w:t>as</w:t>
            </w:r>
            <w:r>
              <w:rPr>
                <w:spacing w:val="1"/>
              </w:rPr>
              <w:t xml:space="preserve"> </w:t>
            </w:r>
            <w:r>
              <w:t>KPIs.</w:t>
            </w:r>
          </w:p>
        </w:tc>
      </w:tr>
      <w:tr w:rsidR="005758C0" w14:paraId="658047A8" w14:textId="77777777" w:rsidTr="00284048">
        <w:trPr>
          <w:trHeight w:val="283"/>
        </w:trPr>
        <w:tc>
          <w:tcPr>
            <w:tcW w:w="2091" w:type="dxa"/>
            <w:shd w:val="clear" w:color="auto" w:fill="DBE5F1" w:themeFill="accent1" w:themeFillTint="33"/>
          </w:tcPr>
          <w:p w14:paraId="261C1C86" w14:textId="77777777" w:rsidR="005758C0" w:rsidRDefault="00A22E66" w:rsidP="002029E7">
            <w:pPr>
              <w:pStyle w:val="TableParagraph"/>
              <w:spacing w:before="0" w:line="249" w:lineRule="exact"/>
              <w:ind w:left="110"/>
              <w:jc w:val="both"/>
              <w:rPr>
                <w:b/>
              </w:rPr>
            </w:pPr>
            <w:r>
              <w:rPr>
                <w:b/>
                <w:spacing w:val="-1"/>
              </w:rPr>
              <w:t>Measurement</w:t>
            </w:r>
            <w:r>
              <w:rPr>
                <w:b/>
                <w:spacing w:val="-11"/>
              </w:rPr>
              <w:t xml:space="preserve"> </w:t>
            </w:r>
            <w:r>
              <w:rPr>
                <w:b/>
                <w:spacing w:val="-1"/>
              </w:rPr>
              <w:t>Interval</w:t>
            </w:r>
          </w:p>
        </w:tc>
        <w:tc>
          <w:tcPr>
            <w:tcW w:w="6981" w:type="dxa"/>
            <w:gridSpan w:val="2"/>
          </w:tcPr>
          <w:p w14:paraId="1F7EFB6D" w14:textId="77777777" w:rsidR="005758C0" w:rsidRDefault="00A22E66" w:rsidP="002029E7">
            <w:pPr>
              <w:pStyle w:val="TableParagraph"/>
              <w:spacing w:before="0" w:line="249" w:lineRule="exact"/>
              <w:jc w:val="both"/>
            </w:pPr>
            <w:r>
              <w:t>Measured</w:t>
            </w:r>
            <w:r>
              <w:rPr>
                <w:spacing w:val="-2"/>
              </w:rPr>
              <w:t xml:space="preserve"> </w:t>
            </w:r>
            <w:r>
              <w:t>and</w:t>
            </w:r>
            <w:r>
              <w:rPr>
                <w:spacing w:val="-5"/>
              </w:rPr>
              <w:t xml:space="preserve"> </w:t>
            </w:r>
            <w:r>
              <w:t>Reported</w:t>
            </w:r>
            <w:r>
              <w:rPr>
                <w:spacing w:val="-2"/>
              </w:rPr>
              <w:t xml:space="preserve"> </w:t>
            </w:r>
            <w:r>
              <w:t>Monthly</w:t>
            </w:r>
          </w:p>
        </w:tc>
      </w:tr>
      <w:tr w:rsidR="005758C0" w14:paraId="47275626" w14:textId="77777777" w:rsidTr="00284048">
        <w:trPr>
          <w:trHeight w:val="283"/>
        </w:trPr>
        <w:tc>
          <w:tcPr>
            <w:tcW w:w="2091" w:type="dxa"/>
            <w:shd w:val="clear" w:color="auto" w:fill="DBE5F1" w:themeFill="accent1" w:themeFillTint="33"/>
          </w:tcPr>
          <w:p w14:paraId="0549E7AE" w14:textId="77777777" w:rsidR="005758C0" w:rsidRDefault="00A22E66" w:rsidP="002029E7">
            <w:pPr>
              <w:pStyle w:val="TableParagraph"/>
              <w:spacing w:before="0" w:line="248" w:lineRule="exact"/>
              <w:ind w:left="110"/>
              <w:jc w:val="both"/>
              <w:rPr>
                <w:b/>
              </w:rPr>
            </w:pPr>
            <w:r>
              <w:rPr>
                <w:b/>
                <w:spacing w:val="-1"/>
              </w:rPr>
              <w:t>Measurement</w:t>
            </w:r>
            <w:r>
              <w:rPr>
                <w:b/>
                <w:spacing w:val="-12"/>
              </w:rPr>
              <w:t xml:space="preserve"> </w:t>
            </w:r>
            <w:r>
              <w:rPr>
                <w:b/>
              </w:rPr>
              <w:t>Tool</w:t>
            </w:r>
          </w:p>
        </w:tc>
        <w:tc>
          <w:tcPr>
            <w:tcW w:w="6981" w:type="dxa"/>
            <w:gridSpan w:val="2"/>
          </w:tcPr>
          <w:p w14:paraId="7F49A40C" w14:textId="77777777" w:rsidR="005758C0" w:rsidRDefault="00A22E66" w:rsidP="002029E7">
            <w:pPr>
              <w:pStyle w:val="TableParagraph"/>
              <w:spacing w:before="0" w:line="248" w:lineRule="exact"/>
              <w:jc w:val="both"/>
            </w:pPr>
            <w:r>
              <w:t>To</w:t>
            </w:r>
            <w:r>
              <w:rPr>
                <w:spacing w:val="-4"/>
              </w:rPr>
              <w:t xml:space="preserve"> </w:t>
            </w:r>
            <w:r>
              <w:t>be</w:t>
            </w:r>
            <w:r>
              <w:rPr>
                <w:spacing w:val="-3"/>
              </w:rPr>
              <w:t xml:space="preserve"> </w:t>
            </w:r>
            <w:r>
              <w:t>done</w:t>
            </w:r>
            <w:r>
              <w:rPr>
                <w:spacing w:val="-3"/>
              </w:rPr>
              <w:t xml:space="preserve"> </w:t>
            </w:r>
            <w:r>
              <w:t>via</w:t>
            </w:r>
            <w:r>
              <w:rPr>
                <w:spacing w:val="-3"/>
              </w:rPr>
              <w:t xml:space="preserve"> </w:t>
            </w:r>
            <w:r>
              <w:t>the</w:t>
            </w:r>
            <w:r>
              <w:rPr>
                <w:spacing w:val="-5"/>
              </w:rPr>
              <w:t xml:space="preserve"> </w:t>
            </w:r>
            <w:r>
              <w:t>SITA</w:t>
            </w:r>
            <w:r>
              <w:rPr>
                <w:spacing w:val="-2"/>
              </w:rPr>
              <w:t xml:space="preserve"> </w:t>
            </w:r>
            <w:r>
              <w:t>service</w:t>
            </w:r>
            <w:r>
              <w:rPr>
                <w:spacing w:val="-4"/>
              </w:rPr>
              <w:t xml:space="preserve"> </w:t>
            </w:r>
            <w:r>
              <w:t>management</w:t>
            </w:r>
            <w:r>
              <w:rPr>
                <w:spacing w:val="-3"/>
              </w:rPr>
              <w:t xml:space="preserve"> </w:t>
            </w:r>
            <w:r>
              <w:t>tool</w:t>
            </w:r>
            <w:r>
              <w:rPr>
                <w:spacing w:val="-2"/>
              </w:rPr>
              <w:t xml:space="preserve"> </w:t>
            </w:r>
            <w:r>
              <w:t>("ITSM")</w:t>
            </w:r>
          </w:p>
        </w:tc>
      </w:tr>
    </w:tbl>
    <w:p w14:paraId="02239423" w14:textId="77777777" w:rsidR="00783F60" w:rsidRDefault="00783F60" w:rsidP="002029E7">
      <w:pPr>
        <w:pStyle w:val="Heading2"/>
        <w:numPr>
          <w:ilvl w:val="0"/>
          <w:numId w:val="0"/>
        </w:numPr>
        <w:ind w:left="567"/>
        <w:jc w:val="both"/>
      </w:pPr>
    </w:p>
    <w:p w14:paraId="4FFF23F8" w14:textId="101A6922" w:rsidR="005758C0" w:rsidRPr="00852A83" w:rsidRDefault="00852A83" w:rsidP="002029E7">
      <w:pPr>
        <w:pStyle w:val="Heading1"/>
        <w:jc w:val="both"/>
        <w:rPr>
          <w:sz w:val="24"/>
          <w:szCs w:val="24"/>
        </w:rPr>
      </w:pPr>
      <w:r w:rsidRPr="00852A83">
        <w:rPr>
          <w:sz w:val="24"/>
          <w:szCs w:val="24"/>
        </w:rPr>
        <w:t xml:space="preserve"> </w:t>
      </w:r>
      <w:bookmarkStart w:id="17" w:name="_Toc161437011"/>
      <w:r w:rsidRPr="00852A83">
        <w:rPr>
          <w:sz w:val="24"/>
          <w:szCs w:val="24"/>
        </w:rPr>
        <w:t>BID EVALUATION STAGES</w:t>
      </w:r>
      <w:bookmarkEnd w:id="17"/>
    </w:p>
    <w:p w14:paraId="0A13C653" w14:textId="77777777" w:rsidR="005758C0" w:rsidRDefault="00A22E66" w:rsidP="00852A83">
      <w:pPr>
        <w:ind w:left="567"/>
        <w:rPr>
          <w:rFonts w:cs="Calibri"/>
        </w:rPr>
      </w:pPr>
      <w:r>
        <w:rPr>
          <w:rFonts w:cs="Calibri"/>
        </w:rPr>
        <w:t>The bid evaluation process consists of four stages, according to the nature of the bid. A bidder must qualify for each stage to be eligible to proceed to the next stage of the evaluation. The stages are:</w:t>
      </w:r>
    </w:p>
    <w:p w14:paraId="33AC20D7" w14:textId="77777777" w:rsidR="005758C0" w:rsidRDefault="00A22E66" w:rsidP="00852A83">
      <w:pPr>
        <w:pStyle w:val="Caption"/>
        <w:ind w:firstLine="567"/>
        <w:jc w:val="both"/>
        <w:rPr>
          <w:rFonts w:cs="Calibri"/>
        </w:rPr>
      </w:pPr>
      <w:bookmarkStart w:id="18" w:name="_Toc161436993"/>
      <w:r>
        <w:t xml:space="preserve">Table </w:t>
      </w:r>
      <w:r>
        <w:fldChar w:fldCharType="begin"/>
      </w:r>
      <w:r>
        <w:instrText xml:space="preserve"> SEQ Table \* ARABIC </w:instrText>
      </w:r>
      <w:r>
        <w:fldChar w:fldCharType="separate"/>
      </w:r>
      <w:r>
        <w:t>1</w:t>
      </w:r>
      <w:r>
        <w:fldChar w:fldCharType="end"/>
      </w:r>
      <w:r>
        <w:t>: Bid Evaluation Stages</w:t>
      </w:r>
      <w:bookmarkEnd w:id="18"/>
    </w:p>
    <w:tbl>
      <w:tblPr>
        <w:tblStyle w:val="TableGrid"/>
        <w:tblW w:w="4706" w:type="pct"/>
        <w:tblInd w:w="562" w:type="dxa"/>
        <w:tblLook w:val="04A0" w:firstRow="1" w:lastRow="0" w:firstColumn="1" w:lastColumn="0" w:noHBand="0" w:noVBand="1"/>
      </w:tblPr>
      <w:tblGrid>
        <w:gridCol w:w="1276"/>
        <w:gridCol w:w="4819"/>
        <w:gridCol w:w="2967"/>
      </w:tblGrid>
      <w:tr w:rsidR="005758C0" w14:paraId="6911420B" w14:textId="77777777" w:rsidTr="00852A83">
        <w:tc>
          <w:tcPr>
            <w:tcW w:w="704" w:type="pct"/>
            <w:shd w:val="clear" w:color="auto" w:fill="DBE5F1" w:themeFill="accent1" w:themeFillTint="33"/>
            <w:vAlign w:val="center"/>
          </w:tcPr>
          <w:p w14:paraId="6D74A4E8" w14:textId="77777777" w:rsidR="005758C0" w:rsidRDefault="00A22E66" w:rsidP="002029E7">
            <w:pPr>
              <w:spacing w:after="0" w:line="240" w:lineRule="auto"/>
              <w:rPr>
                <w:rFonts w:asciiTheme="majorHAnsi" w:eastAsiaTheme="majorEastAsia" w:hAnsiTheme="majorHAnsi" w:cstheme="minorBidi"/>
                <w:b/>
                <w:color w:val="0E1B8D"/>
              </w:rPr>
            </w:pPr>
            <w:r>
              <w:rPr>
                <w:rFonts w:asciiTheme="majorHAnsi" w:eastAsiaTheme="majorEastAsia" w:hAnsiTheme="majorHAnsi" w:cstheme="minorBidi"/>
                <w:b/>
                <w:color w:val="0E1B8D"/>
              </w:rPr>
              <w:t>Stage</w:t>
            </w:r>
          </w:p>
        </w:tc>
        <w:tc>
          <w:tcPr>
            <w:tcW w:w="2659" w:type="pct"/>
            <w:shd w:val="clear" w:color="auto" w:fill="DBE5F1" w:themeFill="accent1" w:themeFillTint="33"/>
            <w:vAlign w:val="center"/>
          </w:tcPr>
          <w:p w14:paraId="2EE73917" w14:textId="77777777" w:rsidR="005758C0" w:rsidRDefault="00A22E66" w:rsidP="002029E7">
            <w:pPr>
              <w:spacing w:after="0" w:line="240" w:lineRule="auto"/>
              <w:rPr>
                <w:rFonts w:asciiTheme="majorHAnsi" w:eastAsiaTheme="majorEastAsia" w:hAnsiTheme="majorHAnsi" w:cstheme="minorBidi"/>
                <w:b/>
                <w:color w:val="0E1B8D"/>
              </w:rPr>
            </w:pPr>
            <w:r>
              <w:rPr>
                <w:rFonts w:asciiTheme="majorHAnsi" w:eastAsiaTheme="majorEastAsia" w:hAnsiTheme="majorHAnsi" w:cstheme="minorBidi"/>
                <w:b/>
                <w:color w:val="0E1B8D"/>
              </w:rPr>
              <w:t>Description</w:t>
            </w:r>
          </w:p>
        </w:tc>
        <w:tc>
          <w:tcPr>
            <w:tcW w:w="1637" w:type="pct"/>
            <w:shd w:val="clear" w:color="auto" w:fill="DBE5F1" w:themeFill="accent1" w:themeFillTint="33"/>
            <w:vAlign w:val="center"/>
          </w:tcPr>
          <w:p w14:paraId="7785F4E7" w14:textId="77777777" w:rsidR="005758C0" w:rsidRDefault="00A22E66" w:rsidP="002029E7">
            <w:pPr>
              <w:spacing w:after="0" w:line="240" w:lineRule="auto"/>
              <w:rPr>
                <w:rFonts w:asciiTheme="majorHAnsi" w:eastAsiaTheme="majorEastAsia" w:hAnsiTheme="majorHAnsi" w:cstheme="minorBidi"/>
                <w:b/>
                <w:color w:val="0E1B8D"/>
              </w:rPr>
            </w:pPr>
            <w:r>
              <w:rPr>
                <w:rFonts w:asciiTheme="majorHAnsi" w:eastAsiaTheme="majorEastAsia" w:hAnsiTheme="majorHAnsi" w:cstheme="minorBidi"/>
                <w:b/>
                <w:color w:val="0E1B8D"/>
              </w:rPr>
              <w:t>Applicable for this bid YES/NO</w:t>
            </w:r>
          </w:p>
        </w:tc>
      </w:tr>
      <w:tr w:rsidR="005758C0" w14:paraId="145D8C0C" w14:textId="77777777" w:rsidTr="00852A83">
        <w:trPr>
          <w:trHeight w:val="250"/>
        </w:trPr>
        <w:tc>
          <w:tcPr>
            <w:tcW w:w="704" w:type="pct"/>
            <w:vAlign w:val="center"/>
          </w:tcPr>
          <w:p w14:paraId="561F9136" w14:textId="39129120" w:rsidR="005758C0" w:rsidRDefault="00A22E66" w:rsidP="00852A83">
            <w:pPr>
              <w:spacing w:after="0" w:line="240" w:lineRule="auto"/>
              <w:rPr>
                <w:rFonts w:cs="Calibri"/>
              </w:rPr>
            </w:pPr>
            <w:r>
              <w:rPr>
                <w:rFonts w:cs="Calibri"/>
              </w:rPr>
              <w:t>Stage 1</w:t>
            </w:r>
          </w:p>
        </w:tc>
        <w:tc>
          <w:tcPr>
            <w:tcW w:w="2659" w:type="pct"/>
            <w:vAlign w:val="center"/>
          </w:tcPr>
          <w:p w14:paraId="1412B011" w14:textId="41A69C6A" w:rsidR="005758C0" w:rsidRDefault="00852A83" w:rsidP="00852A83">
            <w:pPr>
              <w:spacing w:after="0" w:line="240" w:lineRule="auto"/>
              <w:rPr>
                <w:rFonts w:cs="Calibri"/>
              </w:rPr>
            </w:pPr>
            <w:r>
              <w:rPr>
                <w:rFonts w:cs="Calibri"/>
              </w:rPr>
              <w:t>Administrative responsiveness</w:t>
            </w:r>
          </w:p>
        </w:tc>
        <w:tc>
          <w:tcPr>
            <w:tcW w:w="1637" w:type="pct"/>
            <w:shd w:val="clear" w:color="auto" w:fill="DBE5F1" w:themeFill="accent1" w:themeFillTint="33"/>
          </w:tcPr>
          <w:p w14:paraId="2BF941C9" w14:textId="0C657ABC" w:rsidR="005758C0" w:rsidRPr="00852A83" w:rsidRDefault="00A22E66" w:rsidP="00852A83">
            <w:pPr>
              <w:spacing w:after="0" w:line="240" w:lineRule="auto"/>
              <w:rPr>
                <w:rFonts w:cs="Calibri"/>
              </w:rPr>
            </w:pPr>
            <w:r w:rsidRPr="00852A83">
              <w:rPr>
                <w:rFonts w:cs="Calibri"/>
              </w:rPr>
              <w:t>YES</w:t>
            </w:r>
          </w:p>
        </w:tc>
      </w:tr>
      <w:tr w:rsidR="005758C0" w14:paraId="4D38F5F8" w14:textId="77777777" w:rsidTr="00852A83">
        <w:tc>
          <w:tcPr>
            <w:tcW w:w="704" w:type="pct"/>
            <w:shd w:val="clear" w:color="auto" w:fill="auto"/>
            <w:vAlign w:val="center"/>
          </w:tcPr>
          <w:p w14:paraId="63D25B89" w14:textId="77777777" w:rsidR="005758C0" w:rsidRDefault="00A22E66" w:rsidP="002029E7">
            <w:pPr>
              <w:spacing w:after="0" w:line="240" w:lineRule="auto"/>
              <w:rPr>
                <w:rFonts w:cs="Calibri"/>
              </w:rPr>
            </w:pPr>
            <w:r>
              <w:rPr>
                <w:rFonts w:cs="Calibri"/>
              </w:rPr>
              <w:t xml:space="preserve">Stage 2 </w:t>
            </w:r>
          </w:p>
        </w:tc>
        <w:tc>
          <w:tcPr>
            <w:tcW w:w="2659" w:type="pct"/>
            <w:shd w:val="clear" w:color="auto" w:fill="auto"/>
            <w:vAlign w:val="center"/>
          </w:tcPr>
          <w:p w14:paraId="180E72EF" w14:textId="77777777" w:rsidR="005758C0" w:rsidRDefault="00A22E66" w:rsidP="002029E7">
            <w:pPr>
              <w:spacing w:after="0" w:line="240" w:lineRule="auto"/>
              <w:rPr>
                <w:rFonts w:cs="Calibri"/>
              </w:rPr>
            </w:pPr>
            <w:r>
              <w:rPr>
                <w:rFonts w:cs="Calibri"/>
              </w:rPr>
              <w:t xml:space="preserve">Technical Mandatory responsiveness </w:t>
            </w:r>
          </w:p>
        </w:tc>
        <w:tc>
          <w:tcPr>
            <w:tcW w:w="1637" w:type="pct"/>
            <w:shd w:val="clear" w:color="auto" w:fill="DBE5F1" w:themeFill="accent1" w:themeFillTint="33"/>
          </w:tcPr>
          <w:p w14:paraId="7D5BFE55" w14:textId="77777777" w:rsidR="005758C0" w:rsidRDefault="00A22E66" w:rsidP="002029E7">
            <w:pPr>
              <w:spacing w:after="0" w:line="240" w:lineRule="auto"/>
              <w:rPr>
                <w:rFonts w:cs="Calibri"/>
                <w:highlight w:val="yellow"/>
              </w:rPr>
            </w:pPr>
            <w:r>
              <w:t>YES</w:t>
            </w:r>
          </w:p>
        </w:tc>
      </w:tr>
      <w:tr w:rsidR="005758C0" w14:paraId="2032170D" w14:textId="77777777" w:rsidTr="00852A83">
        <w:tc>
          <w:tcPr>
            <w:tcW w:w="704" w:type="pct"/>
            <w:shd w:val="clear" w:color="auto" w:fill="auto"/>
            <w:vAlign w:val="center"/>
          </w:tcPr>
          <w:p w14:paraId="5B7BD6EF" w14:textId="6EF5C0C0" w:rsidR="005758C0" w:rsidRDefault="00A22E66" w:rsidP="002029E7">
            <w:pPr>
              <w:spacing w:after="0" w:line="240" w:lineRule="auto"/>
              <w:rPr>
                <w:rFonts w:cs="Calibri"/>
              </w:rPr>
            </w:pPr>
            <w:r>
              <w:rPr>
                <w:rFonts w:cs="Calibri"/>
              </w:rPr>
              <w:t xml:space="preserve">Stage </w:t>
            </w:r>
            <w:r w:rsidR="003A786A">
              <w:rPr>
                <w:rFonts w:cs="Calibri"/>
              </w:rPr>
              <w:t>3</w:t>
            </w:r>
          </w:p>
        </w:tc>
        <w:tc>
          <w:tcPr>
            <w:tcW w:w="2659" w:type="pct"/>
            <w:shd w:val="clear" w:color="auto" w:fill="auto"/>
            <w:vAlign w:val="center"/>
          </w:tcPr>
          <w:p w14:paraId="38F17CBF" w14:textId="77777777" w:rsidR="005758C0" w:rsidRDefault="00A22E66" w:rsidP="002029E7">
            <w:pPr>
              <w:spacing w:after="0" w:line="240" w:lineRule="auto"/>
              <w:rPr>
                <w:rFonts w:cs="Calibri"/>
              </w:rPr>
            </w:pPr>
            <w:r>
              <w:rPr>
                <w:rFonts w:cs="Calibri"/>
              </w:rPr>
              <w:t>Special Conditions of Contract verification</w:t>
            </w:r>
          </w:p>
        </w:tc>
        <w:tc>
          <w:tcPr>
            <w:tcW w:w="1637" w:type="pct"/>
            <w:shd w:val="clear" w:color="auto" w:fill="DBE5F1" w:themeFill="accent1" w:themeFillTint="33"/>
          </w:tcPr>
          <w:p w14:paraId="234B70C6" w14:textId="77777777" w:rsidR="005758C0" w:rsidRDefault="00A22E66" w:rsidP="002029E7">
            <w:pPr>
              <w:spacing w:after="0" w:line="240" w:lineRule="auto"/>
              <w:rPr>
                <w:rFonts w:cs="Calibri"/>
                <w:highlight w:val="yellow"/>
              </w:rPr>
            </w:pPr>
            <w:r>
              <w:t>YES</w:t>
            </w:r>
          </w:p>
        </w:tc>
      </w:tr>
      <w:tr w:rsidR="005758C0" w14:paraId="127B8A3F" w14:textId="77777777" w:rsidTr="00852A83">
        <w:tc>
          <w:tcPr>
            <w:tcW w:w="704" w:type="pct"/>
            <w:vAlign w:val="center"/>
          </w:tcPr>
          <w:p w14:paraId="3CAB0D43" w14:textId="64F07D09" w:rsidR="005758C0" w:rsidRDefault="00A22E66" w:rsidP="002029E7">
            <w:pPr>
              <w:spacing w:after="0" w:line="240" w:lineRule="auto"/>
              <w:rPr>
                <w:rFonts w:cs="Calibri"/>
              </w:rPr>
            </w:pPr>
            <w:r>
              <w:rPr>
                <w:rFonts w:cs="Calibri"/>
              </w:rPr>
              <w:t xml:space="preserve">Stage </w:t>
            </w:r>
            <w:r w:rsidR="003A786A">
              <w:rPr>
                <w:rFonts w:cs="Calibri"/>
              </w:rPr>
              <w:t>4</w:t>
            </w:r>
          </w:p>
        </w:tc>
        <w:tc>
          <w:tcPr>
            <w:tcW w:w="2659" w:type="pct"/>
            <w:vAlign w:val="center"/>
          </w:tcPr>
          <w:p w14:paraId="09289E62" w14:textId="77777777" w:rsidR="005758C0" w:rsidRDefault="00A22E66" w:rsidP="002029E7">
            <w:pPr>
              <w:spacing w:after="0" w:line="240" w:lineRule="auto"/>
              <w:rPr>
                <w:rFonts w:cs="Calibri"/>
              </w:rPr>
            </w:pPr>
            <w:r>
              <w:rPr>
                <w:rFonts w:cs="Calibri"/>
              </w:rPr>
              <w:t>Price / Preference points</w:t>
            </w:r>
          </w:p>
        </w:tc>
        <w:tc>
          <w:tcPr>
            <w:tcW w:w="1637" w:type="pct"/>
            <w:shd w:val="clear" w:color="auto" w:fill="DBE5F1" w:themeFill="accent1" w:themeFillTint="33"/>
          </w:tcPr>
          <w:p w14:paraId="7650BD50" w14:textId="77777777" w:rsidR="005758C0" w:rsidRDefault="00A22E66" w:rsidP="002029E7">
            <w:pPr>
              <w:spacing w:after="0" w:line="240" w:lineRule="auto"/>
              <w:rPr>
                <w:rFonts w:cs="Calibri"/>
                <w:highlight w:val="yellow"/>
              </w:rPr>
            </w:pPr>
            <w:r>
              <w:t>YES</w:t>
            </w:r>
          </w:p>
        </w:tc>
      </w:tr>
    </w:tbl>
    <w:p w14:paraId="45CBFA9B" w14:textId="77777777" w:rsidR="00783F60" w:rsidRDefault="00783F60" w:rsidP="002029E7">
      <w:pPr>
        <w:pStyle w:val="Heading2"/>
        <w:numPr>
          <w:ilvl w:val="0"/>
          <w:numId w:val="0"/>
        </w:numPr>
        <w:ind w:left="567"/>
        <w:jc w:val="both"/>
      </w:pPr>
    </w:p>
    <w:p w14:paraId="688A7906" w14:textId="5074F49A" w:rsidR="005758C0" w:rsidRPr="00F706D0" w:rsidRDefault="00D62FDF" w:rsidP="00852A83">
      <w:pPr>
        <w:pStyle w:val="Heading2"/>
        <w:ind w:left="142" w:firstLine="0"/>
        <w:jc w:val="both"/>
        <w:rPr>
          <w:sz w:val="24"/>
          <w:szCs w:val="24"/>
        </w:rPr>
      </w:pPr>
      <w:bookmarkStart w:id="19" w:name="_Toc161437012"/>
      <w:r w:rsidRPr="00F706D0">
        <w:rPr>
          <w:sz w:val="24"/>
          <w:szCs w:val="24"/>
        </w:rPr>
        <w:t>ADMINISTRATIVE RESPONSIVENESS (STAGE 1)</w:t>
      </w:r>
      <w:bookmarkEnd w:id="19"/>
    </w:p>
    <w:p w14:paraId="2351D8FD" w14:textId="77777777" w:rsidR="005758C0" w:rsidRDefault="00A22E66" w:rsidP="00F706D0">
      <w:pPr>
        <w:pStyle w:val="Heading4"/>
        <w:ind w:hanging="993"/>
        <w:jc w:val="both"/>
      </w:pPr>
      <w:bookmarkStart w:id="20" w:name="_Toc161437013"/>
      <w:r>
        <w:t>Attendance of briefing session</w:t>
      </w:r>
      <w:bookmarkEnd w:id="20"/>
    </w:p>
    <w:p w14:paraId="15FE146A" w14:textId="74A0A038" w:rsidR="005758C0" w:rsidRPr="006864E4" w:rsidRDefault="00A22E66" w:rsidP="002029E7">
      <w:pPr>
        <w:pStyle w:val="ListParagraph"/>
        <w:numPr>
          <w:ilvl w:val="0"/>
          <w:numId w:val="7"/>
        </w:numPr>
        <w:rPr>
          <w:lang w:val="en-GB"/>
        </w:rPr>
      </w:pPr>
      <w:r w:rsidRPr="003A786A">
        <w:rPr>
          <w:rFonts w:cs="Calibri"/>
        </w:rPr>
        <w:t>A</w:t>
      </w:r>
      <w:r>
        <w:rPr>
          <w:rFonts w:cs="Calibri"/>
        </w:rPr>
        <w:t xml:space="preserve"> </w:t>
      </w:r>
      <w:r w:rsidRPr="00600588">
        <w:rPr>
          <w:rFonts w:cs="Calibri"/>
        </w:rPr>
        <w:t>non-compulsory</w:t>
      </w:r>
      <w:r w:rsidR="000D0756">
        <w:rPr>
          <w:rFonts w:cs="Calibri"/>
        </w:rPr>
        <w:t xml:space="preserve"> </w:t>
      </w:r>
      <w:r w:rsidRPr="00600588">
        <w:rPr>
          <w:rFonts w:cs="Calibri"/>
        </w:rPr>
        <w:t>virtual briefing session</w:t>
      </w:r>
      <w:r>
        <w:rPr>
          <w:rFonts w:cs="Calibri"/>
        </w:rPr>
        <w:t xml:space="preserve"> will be held. The bidder must sign the briefing session attendance register using the same information (bidder company name, bidder representative person name and contact details) as submitted in the bidder’s response document. </w:t>
      </w:r>
    </w:p>
    <w:p w14:paraId="1B4BB1DD" w14:textId="4F78B2F5" w:rsidR="003A786A" w:rsidRPr="00600588" w:rsidRDefault="003A786A" w:rsidP="002029E7">
      <w:pPr>
        <w:pStyle w:val="ListParagraph"/>
        <w:numPr>
          <w:ilvl w:val="0"/>
          <w:numId w:val="7"/>
        </w:numPr>
        <w:rPr>
          <w:lang w:val="en-GB"/>
        </w:rPr>
      </w:pPr>
      <w:r w:rsidRPr="00600588">
        <w:rPr>
          <w:rFonts w:cs="Calibri"/>
        </w:rPr>
        <w:t>All suppliers are encouraged to attend the briefing session.</w:t>
      </w:r>
    </w:p>
    <w:p w14:paraId="4F61EA51" w14:textId="77777777" w:rsidR="005758C0" w:rsidRDefault="00A22E66" w:rsidP="00F706D0">
      <w:pPr>
        <w:pStyle w:val="Heading4"/>
        <w:ind w:hanging="993"/>
        <w:jc w:val="both"/>
      </w:pPr>
      <w:r>
        <w:t>Registered Supplier</w:t>
      </w:r>
    </w:p>
    <w:p w14:paraId="7A670E06" w14:textId="2742E1D0" w:rsidR="005758C0" w:rsidRDefault="00A22E66" w:rsidP="002029E7">
      <w:pPr>
        <w:pStyle w:val="ListParagraph"/>
        <w:numPr>
          <w:ilvl w:val="0"/>
          <w:numId w:val="8"/>
        </w:numPr>
      </w:pPr>
      <w:r>
        <w:rPr>
          <w:rFonts w:cs="Calibri"/>
        </w:rPr>
        <w:t>Only responses from bidders who are registered as a Supplier on National Treasury’s Central Supplier Database (CSD) in terms of National Treasury’s Instruction Note 4A of 2016/17 will be considered for award on this RF</w:t>
      </w:r>
      <w:r w:rsidR="003A786A">
        <w:rPr>
          <w:rFonts w:cs="Calibri"/>
        </w:rPr>
        <w:t>B</w:t>
      </w:r>
      <w:r>
        <w:rPr>
          <w:rFonts w:cs="Calibri"/>
        </w:rPr>
        <w:t>.</w:t>
      </w:r>
    </w:p>
    <w:p w14:paraId="5E91EBE5" w14:textId="77777777" w:rsidR="005758C0" w:rsidRPr="00F706D0" w:rsidRDefault="00A22E66" w:rsidP="002029E7">
      <w:pPr>
        <w:pStyle w:val="ListParagraph"/>
        <w:numPr>
          <w:ilvl w:val="0"/>
          <w:numId w:val="8"/>
        </w:numPr>
      </w:pPr>
      <w:r>
        <w:rPr>
          <w:rFonts w:cs="Calibri"/>
        </w:rPr>
        <w:t>In the case of joint ventures or consortiums the bidder must demonstrate that at least one of the parties to the bid response attended the briefing session.</w:t>
      </w:r>
    </w:p>
    <w:p w14:paraId="3B31E6CD" w14:textId="77777777" w:rsidR="00F706D0" w:rsidRDefault="00F706D0" w:rsidP="00F706D0">
      <w:pPr>
        <w:pStyle w:val="ListParagraph"/>
        <w:ind w:left="1134"/>
      </w:pPr>
    </w:p>
    <w:p w14:paraId="1F13A9CD" w14:textId="77777777" w:rsidR="005758C0" w:rsidRPr="00F706D0" w:rsidRDefault="00A22E66" w:rsidP="00F706D0">
      <w:pPr>
        <w:pStyle w:val="Heading2"/>
        <w:ind w:left="142" w:firstLine="0"/>
        <w:jc w:val="both"/>
        <w:rPr>
          <w:sz w:val="24"/>
          <w:szCs w:val="24"/>
        </w:rPr>
      </w:pPr>
      <w:bookmarkStart w:id="21" w:name="_Toc161437014"/>
      <w:r w:rsidRPr="00F706D0">
        <w:rPr>
          <w:sz w:val="24"/>
          <w:szCs w:val="24"/>
        </w:rPr>
        <w:t>Technical returnable documents</w:t>
      </w:r>
      <w:bookmarkEnd w:id="21"/>
    </w:p>
    <w:p w14:paraId="5065EFBE" w14:textId="77777777" w:rsidR="005758C0" w:rsidRDefault="00A22E66" w:rsidP="00F706D0">
      <w:pPr>
        <w:pStyle w:val="Heading4"/>
        <w:ind w:hanging="993"/>
        <w:jc w:val="both"/>
      </w:pPr>
      <w:bookmarkStart w:id="22" w:name="_Toc161437015"/>
      <w:r>
        <w:t>Instruction and evaluation criteria</w:t>
      </w:r>
      <w:bookmarkEnd w:id="22"/>
    </w:p>
    <w:p w14:paraId="71AB36CB" w14:textId="77777777" w:rsidR="005758C0" w:rsidRDefault="00A22E66" w:rsidP="002029E7">
      <w:pPr>
        <w:pStyle w:val="ListParagraph"/>
        <w:numPr>
          <w:ilvl w:val="0"/>
          <w:numId w:val="9"/>
        </w:numPr>
      </w:pPr>
      <w:r>
        <w:t>The bidder must comply with ALL the requirements as per the Technical Mandatory Requirements below by providing substantiating evidence in the form of documentation or information, failing which it will be regarded as “NOT COMPLY”.</w:t>
      </w:r>
    </w:p>
    <w:p w14:paraId="506203BB" w14:textId="77777777" w:rsidR="005758C0" w:rsidRDefault="00A22E66" w:rsidP="002029E7">
      <w:pPr>
        <w:pStyle w:val="ListParagraph"/>
        <w:numPr>
          <w:ilvl w:val="0"/>
          <w:numId w:val="9"/>
        </w:numPr>
      </w:pPr>
      <w:r>
        <w:t xml:space="preserve">The bidder must provide a unique reference number (e.g. binder/folio, chapter, section, page) to locate substantiating evidence in the bid response. </w:t>
      </w:r>
    </w:p>
    <w:p w14:paraId="5B35EBAF" w14:textId="77777777" w:rsidR="005758C0" w:rsidRDefault="00A22E66" w:rsidP="002029E7">
      <w:pPr>
        <w:pStyle w:val="ListParagraph"/>
        <w:numPr>
          <w:ilvl w:val="0"/>
          <w:numId w:val="9"/>
        </w:numPr>
      </w:pPr>
      <w:r>
        <w:t>The bidder must comply with ALL the TECHNICAL MANDATORY REQUIREMENTS in order for the bid response to proceed to the next stage of the evaluation.</w:t>
      </w:r>
    </w:p>
    <w:p w14:paraId="3E9F6EBE" w14:textId="77777777" w:rsidR="005758C0" w:rsidRDefault="005758C0" w:rsidP="002029E7"/>
    <w:p w14:paraId="05684485" w14:textId="3F29324A" w:rsidR="005758C0" w:rsidRDefault="00D62FDF" w:rsidP="00F706D0">
      <w:pPr>
        <w:pStyle w:val="Heading4"/>
        <w:ind w:hanging="993"/>
        <w:jc w:val="both"/>
      </w:pPr>
      <w:bookmarkStart w:id="23" w:name="_Toc161437016"/>
      <w:r>
        <w:t>TECHNICAL MANDATORY REQUIREMENTS (STAGE 2)</w:t>
      </w:r>
      <w:bookmarkEnd w:id="23"/>
    </w:p>
    <w:p w14:paraId="0C195F76" w14:textId="77777777" w:rsidR="005758C0" w:rsidRDefault="00A22E66" w:rsidP="00F706D0">
      <w:pPr>
        <w:pStyle w:val="Caption"/>
        <w:ind w:firstLine="567"/>
        <w:jc w:val="both"/>
      </w:pPr>
      <w:bookmarkStart w:id="24" w:name="_Toc161436994"/>
      <w:r>
        <w:t xml:space="preserve">Table </w:t>
      </w:r>
      <w:r>
        <w:fldChar w:fldCharType="begin"/>
      </w:r>
      <w:r>
        <w:instrText xml:space="preserve"> SEQ Table \* ARABIC </w:instrText>
      </w:r>
      <w:r>
        <w:fldChar w:fldCharType="separate"/>
      </w:r>
      <w:r>
        <w:t>2</w:t>
      </w:r>
      <w:r>
        <w:fldChar w:fldCharType="end"/>
      </w:r>
      <w:r>
        <w:t>: Technical Mandatory Requirements</w:t>
      </w:r>
      <w:bookmarkEnd w:id="24"/>
    </w:p>
    <w:tbl>
      <w:tblPr>
        <w:tblStyle w:val="TableGrid"/>
        <w:tblW w:w="0" w:type="auto"/>
        <w:tblInd w:w="562" w:type="dxa"/>
        <w:tblLook w:val="04A0" w:firstRow="1" w:lastRow="0" w:firstColumn="1" w:lastColumn="0" w:noHBand="0" w:noVBand="1"/>
      </w:tblPr>
      <w:tblGrid>
        <w:gridCol w:w="2647"/>
        <w:gridCol w:w="3209"/>
        <w:gridCol w:w="3210"/>
      </w:tblGrid>
      <w:tr w:rsidR="005758C0" w14:paraId="30748D08" w14:textId="77777777" w:rsidTr="00F706D0">
        <w:tc>
          <w:tcPr>
            <w:tcW w:w="2647" w:type="dxa"/>
            <w:shd w:val="clear" w:color="auto" w:fill="DBE5F1" w:themeFill="accent1" w:themeFillTint="33"/>
          </w:tcPr>
          <w:p w14:paraId="446FEDBC" w14:textId="77777777" w:rsidR="005758C0" w:rsidRDefault="00A22E66" w:rsidP="002029E7">
            <w:pPr>
              <w:spacing w:after="0" w:line="240" w:lineRule="auto"/>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Mandatory Requirements</w:t>
            </w:r>
          </w:p>
        </w:tc>
        <w:tc>
          <w:tcPr>
            <w:tcW w:w="3209" w:type="dxa"/>
            <w:shd w:val="clear" w:color="auto" w:fill="DBE5F1" w:themeFill="accent1" w:themeFillTint="33"/>
          </w:tcPr>
          <w:p w14:paraId="15002429" w14:textId="77777777" w:rsidR="005758C0" w:rsidRDefault="00A22E66" w:rsidP="002029E7">
            <w:pPr>
              <w:spacing w:after="0" w:line="240" w:lineRule="auto"/>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Substantiating evidence of compliance (used to evaluate bid)</w:t>
            </w:r>
          </w:p>
        </w:tc>
        <w:tc>
          <w:tcPr>
            <w:tcW w:w="3210" w:type="dxa"/>
            <w:shd w:val="clear" w:color="auto" w:fill="DBE5F1" w:themeFill="accent1" w:themeFillTint="33"/>
          </w:tcPr>
          <w:p w14:paraId="4177EAB9" w14:textId="77777777" w:rsidR="005758C0" w:rsidRDefault="00A22E66" w:rsidP="002029E7">
            <w:pPr>
              <w:spacing w:after="0" w:line="240" w:lineRule="auto"/>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Evidence reference (to be completed by bidder)</w:t>
            </w:r>
          </w:p>
        </w:tc>
      </w:tr>
      <w:tr w:rsidR="00783F60" w14:paraId="3D551BE3" w14:textId="77777777" w:rsidTr="00F706D0">
        <w:tc>
          <w:tcPr>
            <w:tcW w:w="9066" w:type="dxa"/>
            <w:gridSpan w:val="3"/>
          </w:tcPr>
          <w:p w14:paraId="1E0C450F" w14:textId="77777777" w:rsidR="00783F60" w:rsidRPr="00783F60" w:rsidRDefault="00783F60" w:rsidP="002029E7">
            <w:pPr>
              <w:pStyle w:val="ListParagraph"/>
              <w:numPr>
                <w:ilvl w:val="0"/>
                <w:numId w:val="26"/>
              </w:numPr>
              <w:spacing w:line="240" w:lineRule="auto"/>
              <w:ind w:left="318" w:hanging="318"/>
              <w:rPr>
                <w:b/>
                <w:bCs/>
                <w:lang w:val="en-GB"/>
              </w:rPr>
            </w:pPr>
            <w:r w:rsidRPr="00783F60">
              <w:rPr>
                <w:b/>
                <w:bCs/>
                <w:lang w:val="en-GB"/>
              </w:rPr>
              <w:t>Bidder Certification/ Affiliation Requirements</w:t>
            </w:r>
          </w:p>
          <w:p w14:paraId="06246576" w14:textId="77777777" w:rsidR="00783F60" w:rsidRDefault="00783F60" w:rsidP="002029E7">
            <w:pPr>
              <w:spacing w:after="0" w:line="240" w:lineRule="auto"/>
              <w:rPr>
                <w:rFonts w:asciiTheme="majorHAnsi" w:eastAsiaTheme="majorEastAsia" w:hAnsiTheme="majorHAnsi" w:cstheme="minorBidi"/>
                <w:b/>
                <w:iCs/>
                <w:color w:val="0E1B8D"/>
                <w:lang w:val="en-GB"/>
              </w:rPr>
            </w:pPr>
          </w:p>
        </w:tc>
      </w:tr>
      <w:tr w:rsidR="005758C0" w14:paraId="25DD2A55" w14:textId="77777777" w:rsidTr="00F706D0">
        <w:tc>
          <w:tcPr>
            <w:tcW w:w="2647" w:type="dxa"/>
          </w:tcPr>
          <w:p w14:paraId="19BFE405" w14:textId="13A7B440" w:rsidR="005758C0" w:rsidRDefault="00A22E66" w:rsidP="002029E7">
            <w:pPr>
              <w:spacing w:after="0" w:line="240" w:lineRule="auto"/>
              <w:rPr>
                <w:rFonts w:asciiTheme="minorHAnsi" w:hAnsiTheme="minorHAnsi"/>
                <w:lang w:val="en-US"/>
              </w:rPr>
            </w:pPr>
            <w:r>
              <w:rPr>
                <w:rFonts w:asciiTheme="minorHAnsi" w:hAnsiTheme="minorHAnsi"/>
                <w:lang w:val="en-US"/>
              </w:rPr>
              <w:t xml:space="preserve">The bidder must be an </w:t>
            </w:r>
            <w:r w:rsidR="008E04C6">
              <w:rPr>
                <w:rFonts w:cs="Calibri"/>
                <w:color w:val="000000" w:themeColor="text1"/>
                <w:szCs w:val="24"/>
              </w:rPr>
              <w:t>OEM/</w:t>
            </w:r>
            <w:r w:rsidR="00E97809">
              <w:rPr>
                <w:rFonts w:cs="Calibri"/>
                <w:color w:val="000000" w:themeColor="text1"/>
                <w:szCs w:val="24"/>
              </w:rPr>
              <w:t xml:space="preserve">OSM </w:t>
            </w:r>
            <w:r w:rsidR="00E97809">
              <w:rPr>
                <w:rFonts w:asciiTheme="minorHAnsi" w:hAnsiTheme="minorHAnsi"/>
                <w:lang w:val="en-US"/>
              </w:rPr>
              <w:t xml:space="preserve">registered/accredited partner to provide Veeam Backup Software </w:t>
            </w:r>
            <w:r w:rsidR="00057AA2">
              <w:rPr>
                <w:rFonts w:asciiTheme="minorHAnsi" w:hAnsiTheme="minorHAnsi"/>
                <w:lang w:val="en-US"/>
              </w:rPr>
              <w:t xml:space="preserve">Assurance </w:t>
            </w:r>
            <w:r w:rsidR="00E97809">
              <w:rPr>
                <w:rFonts w:asciiTheme="minorHAnsi" w:hAnsiTheme="minorHAnsi"/>
                <w:lang w:val="en-US"/>
              </w:rPr>
              <w:t>License Solution.</w:t>
            </w:r>
          </w:p>
          <w:p w14:paraId="719B426B" w14:textId="77777777" w:rsidR="005758C0" w:rsidRDefault="005758C0" w:rsidP="002029E7">
            <w:pPr>
              <w:spacing w:after="0" w:line="240" w:lineRule="auto"/>
              <w:rPr>
                <w:rFonts w:asciiTheme="minorHAnsi" w:hAnsiTheme="minorHAnsi"/>
                <w:lang w:val="en-US"/>
              </w:rPr>
            </w:pPr>
          </w:p>
          <w:p w14:paraId="547602F1" w14:textId="77777777" w:rsidR="005758C0" w:rsidRDefault="005758C0" w:rsidP="002029E7">
            <w:pPr>
              <w:spacing w:after="0" w:line="240" w:lineRule="auto"/>
              <w:rPr>
                <w:rFonts w:asciiTheme="minorHAnsi" w:hAnsiTheme="minorHAnsi"/>
                <w:lang w:val="en-US"/>
              </w:rPr>
            </w:pPr>
          </w:p>
          <w:p w14:paraId="4E5BBAD5" w14:textId="77777777" w:rsidR="005758C0" w:rsidRDefault="005758C0" w:rsidP="002029E7">
            <w:pPr>
              <w:spacing w:after="0" w:line="240" w:lineRule="auto"/>
              <w:rPr>
                <w:lang w:val="en-GB"/>
              </w:rPr>
            </w:pPr>
          </w:p>
        </w:tc>
        <w:tc>
          <w:tcPr>
            <w:tcW w:w="3209" w:type="dxa"/>
          </w:tcPr>
          <w:p w14:paraId="40132E79" w14:textId="40799110" w:rsidR="005758C0" w:rsidRPr="00F77778" w:rsidRDefault="00A22E66" w:rsidP="002029E7">
            <w:pPr>
              <w:spacing w:after="0" w:line="240" w:lineRule="auto"/>
              <w:rPr>
                <w:color w:val="000000" w:themeColor="text1"/>
                <w:lang w:val="en-GB"/>
              </w:rPr>
            </w:pPr>
            <w:r w:rsidRPr="00F77778">
              <w:rPr>
                <w:rFonts w:cs="Calibri"/>
                <w:color w:val="000000" w:themeColor="text1"/>
                <w:szCs w:val="24"/>
              </w:rPr>
              <w:t xml:space="preserve">Attach </w:t>
            </w:r>
            <w:r w:rsidR="00E97809" w:rsidRPr="00F77778">
              <w:rPr>
                <w:rFonts w:cs="Calibri"/>
                <w:color w:val="000000" w:themeColor="text1"/>
                <w:szCs w:val="24"/>
              </w:rPr>
              <w:t xml:space="preserve">to Annex A, </w:t>
            </w:r>
            <w:r w:rsidRPr="00F77778">
              <w:rPr>
                <w:rFonts w:cs="Calibri"/>
                <w:color w:val="000000" w:themeColor="text1"/>
                <w:szCs w:val="24"/>
              </w:rPr>
              <w:t xml:space="preserve">a copy of valid documentation </w:t>
            </w:r>
            <w:r w:rsidR="00E97809" w:rsidRPr="00F77778">
              <w:rPr>
                <w:rFonts w:cs="Calibri"/>
                <w:color w:val="000000" w:themeColor="text1"/>
                <w:szCs w:val="24"/>
              </w:rPr>
              <w:t>(certificate/L</w:t>
            </w:r>
            <w:r w:rsidRPr="00F77778">
              <w:rPr>
                <w:rFonts w:cs="Calibri"/>
                <w:color w:val="000000" w:themeColor="text1"/>
                <w:szCs w:val="24"/>
              </w:rPr>
              <w:t>etter</w:t>
            </w:r>
            <w:r w:rsidR="00E97809" w:rsidRPr="00F77778">
              <w:rPr>
                <w:rFonts w:cs="Calibri"/>
                <w:color w:val="000000" w:themeColor="text1"/>
                <w:szCs w:val="24"/>
              </w:rPr>
              <w:t>)</w:t>
            </w:r>
            <w:r w:rsidRPr="00F77778">
              <w:rPr>
                <w:rFonts w:cs="Calibri"/>
                <w:color w:val="000000" w:themeColor="text1"/>
                <w:szCs w:val="24"/>
              </w:rPr>
              <w:t xml:space="preserve"> as proof that the bidder is </w:t>
            </w:r>
            <w:r w:rsidR="00E97809" w:rsidRPr="00F77778">
              <w:rPr>
                <w:rFonts w:cs="Calibri"/>
                <w:color w:val="000000" w:themeColor="text1"/>
                <w:szCs w:val="24"/>
              </w:rPr>
              <w:t>an OEM/OSM registered/accredited partner to</w:t>
            </w:r>
            <w:r w:rsidR="00E97809" w:rsidRPr="00F77778">
              <w:rPr>
                <w:rFonts w:asciiTheme="minorHAnsi" w:hAnsiTheme="minorHAnsi"/>
                <w:color w:val="000000" w:themeColor="text1"/>
                <w:lang w:val="en-US"/>
              </w:rPr>
              <w:t xml:space="preserve"> provide Veeam Backup Software </w:t>
            </w:r>
            <w:r w:rsidR="00057AA2" w:rsidRPr="00F77778">
              <w:rPr>
                <w:rFonts w:asciiTheme="minorHAnsi" w:hAnsiTheme="minorHAnsi"/>
                <w:color w:val="000000" w:themeColor="text1"/>
                <w:lang w:val="en-US"/>
              </w:rPr>
              <w:t xml:space="preserve">Assurance </w:t>
            </w:r>
            <w:r w:rsidR="00E97809" w:rsidRPr="00F77778">
              <w:rPr>
                <w:rFonts w:asciiTheme="minorHAnsi" w:hAnsiTheme="minorHAnsi"/>
                <w:color w:val="000000" w:themeColor="text1"/>
                <w:lang w:val="en-US"/>
              </w:rPr>
              <w:t>License Solution</w:t>
            </w:r>
            <w:r w:rsidR="00057AA2" w:rsidRPr="00F77778">
              <w:rPr>
                <w:rFonts w:asciiTheme="minorHAnsi" w:hAnsiTheme="minorHAnsi"/>
                <w:color w:val="000000" w:themeColor="text1"/>
                <w:lang w:val="en-US"/>
              </w:rPr>
              <w:t>.</w:t>
            </w:r>
          </w:p>
          <w:p w14:paraId="3AEAB2EC" w14:textId="77777777" w:rsidR="005758C0" w:rsidRPr="00F77778" w:rsidRDefault="005758C0" w:rsidP="002029E7">
            <w:pPr>
              <w:spacing w:after="0" w:line="240" w:lineRule="auto"/>
              <w:rPr>
                <w:color w:val="000000" w:themeColor="text1"/>
                <w:lang w:val="en-GB"/>
              </w:rPr>
            </w:pPr>
          </w:p>
          <w:p w14:paraId="58DECED7" w14:textId="77777777" w:rsidR="005758C0" w:rsidRPr="00F77778" w:rsidRDefault="00A22E66" w:rsidP="002029E7">
            <w:pPr>
              <w:spacing w:after="0" w:line="240" w:lineRule="auto"/>
              <w:rPr>
                <w:b/>
                <w:bCs/>
                <w:color w:val="000000" w:themeColor="text1"/>
                <w:lang w:val="en-GB"/>
              </w:rPr>
            </w:pPr>
            <w:r w:rsidRPr="00F77778">
              <w:rPr>
                <w:b/>
                <w:bCs/>
                <w:color w:val="000000" w:themeColor="text1"/>
                <w:lang w:val="en-GB"/>
              </w:rPr>
              <w:t xml:space="preserve">NOTE (1): </w:t>
            </w:r>
          </w:p>
          <w:p w14:paraId="76B1F667" w14:textId="584324DD" w:rsidR="005758C0" w:rsidRPr="00F77778" w:rsidRDefault="00A22E66" w:rsidP="002029E7">
            <w:pPr>
              <w:spacing w:after="0" w:line="240" w:lineRule="auto"/>
              <w:rPr>
                <w:b/>
                <w:bCs/>
                <w:color w:val="000000" w:themeColor="text1"/>
                <w:lang w:val="en-GB"/>
              </w:rPr>
            </w:pPr>
            <w:r w:rsidRPr="00F77778">
              <w:rPr>
                <w:b/>
                <w:bCs/>
                <w:color w:val="000000" w:themeColor="text1"/>
                <w:lang w:val="en-GB"/>
              </w:rPr>
              <w:t>SITA</w:t>
            </w:r>
            <w:r w:rsidR="008E04C6" w:rsidRPr="00F77778">
              <w:rPr>
                <w:b/>
                <w:bCs/>
                <w:color w:val="000000" w:themeColor="text1"/>
                <w:lang w:val="en-GB"/>
              </w:rPr>
              <w:t>/ DOD</w:t>
            </w:r>
            <w:r w:rsidRPr="00F77778">
              <w:rPr>
                <w:b/>
                <w:bCs/>
                <w:color w:val="000000" w:themeColor="text1"/>
                <w:lang w:val="en-GB"/>
              </w:rPr>
              <w:t xml:space="preserve"> reserves the right to verify information provided.</w:t>
            </w:r>
          </w:p>
          <w:p w14:paraId="2446C7A1" w14:textId="77777777" w:rsidR="005758C0" w:rsidRPr="00F77778" w:rsidRDefault="005758C0" w:rsidP="002029E7">
            <w:pPr>
              <w:spacing w:after="0" w:line="240" w:lineRule="auto"/>
              <w:rPr>
                <w:color w:val="000000" w:themeColor="text1"/>
                <w:lang w:val="en-GB"/>
              </w:rPr>
            </w:pPr>
          </w:p>
        </w:tc>
        <w:tc>
          <w:tcPr>
            <w:tcW w:w="3210" w:type="dxa"/>
          </w:tcPr>
          <w:p w14:paraId="4A6528DB" w14:textId="77777777" w:rsidR="005758C0" w:rsidRPr="00F77778" w:rsidRDefault="00A22E66" w:rsidP="002029E7">
            <w:pPr>
              <w:spacing w:after="0" w:line="240" w:lineRule="auto"/>
              <w:rPr>
                <w:color w:val="000000" w:themeColor="text1"/>
                <w:lang w:val="en-GB"/>
              </w:rPr>
            </w:pPr>
            <w:r w:rsidRPr="00F77778">
              <w:rPr>
                <w:rFonts w:cs="Calibri"/>
                <w:color w:val="000000" w:themeColor="text1"/>
              </w:rPr>
              <w:t xml:space="preserve">&lt;provide unique reference to locate substantiating evidence in the bid response – </w:t>
            </w:r>
            <w:r w:rsidRPr="00F77778">
              <w:rPr>
                <w:rFonts w:cs="Calibri"/>
                <w:b/>
                <w:bCs/>
                <w:color w:val="000000" w:themeColor="text1"/>
              </w:rPr>
              <w:t xml:space="preserve">see Annex A, </w:t>
            </w:r>
            <w:r w:rsidRPr="00F77778">
              <w:rPr>
                <w:rFonts w:cs="Calibri"/>
                <w:b/>
                <w:bCs/>
                <w:color w:val="000000" w:themeColor="text1"/>
                <w:highlight w:val="darkGray"/>
              </w:rPr>
              <w:t>par 5.1</w:t>
            </w:r>
            <w:r w:rsidRPr="00F77778">
              <w:rPr>
                <w:rFonts w:cs="Calibri"/>
                <w:color w:val="000000" w:themeColor="text1"/>
              </w:rPr>
              <w:t>&gt;</w:t>
            </w:r>
          </w:p>
        </w:tc>
      </w:tr>
      <w:tr w:rsidR="00E97809" w14:paraId="422FA704" w14:textId="77777777" w:rsidTr="00F706D0">
        <w:tc>
          <w:tcPr>
            <w:tcW w:w="9066" w:type="dxa"/>
            <w:gridSpan w:val="3"/>
          </w:tcPr>
          <w:p w14:paraId="0D0A75D2" w14:textId="77777777" w:rsidR="00E97809" w:rsidRPr="00F77778" w:rsidRDefault="00E97809" w:rsidP="002029E7">
            <w:pPr>
              <w:pStyle w:val="ListParagraph"/>
              <w:numPr>
                <w:ilvl w:val="0"/>
                <w:numId w:val="26"/>
              </w:numPr>
              <w:spacing w:line="240" w:lineRule="auto"/>
              <w:ind w:left="318" w:hanging="318"/>
              <w:rPr>
                <w:b/>
                <w:bCs/>
                <w:color w:val="000000" w:themeColor="text1"/>
                <w:lang w:val="en-GB"/>
              </w:rPr>
            </w:pPr>
            <w:r w:rsidRPr="00F77778">
              <w:rPr>
                <w:b/>
                <w:bCs/>
                <w:color w:val="000000" w:themeColor="text1"/>
                <w:lang w:val="en-GB"/>
              </w:rPr>
              <w:t>Bidder Experience and Capability Requirements</w:t>
            </w:r>
          </w:p>
          <w:p w14:paraId="1D82E8F4" w14:textId="77777777" w:rsidR="00E97809" w:rsidRPr="00F77778" w:rsidRDefault="00E97809" w:rsidP="002029E7">
            <w:pPr>
              <w:spacing w:after="0" w:line="240" w:lineRule="auto"/>
              <w:rPr>
                <w:rFonts w:cs="Calibri"/>
                <w:color w:val="000000" w:themeColor="text1"/>
              </w:rPr>
            </w:pPr>
          </w:p>
        </w:tc>
      </w:tr>
      <w:tr w:rsidR="005758C0" w14:paraId="341BE175" w14:textId="77777777" w:rsidTr="00F706D0">
        <w:tc>
          <w:tcPr>
            <w:tcW w:w="2647" w:type="dxa"/>
          </w:tcPr>
          <w:p w14:paraId="79E1D2E7" w14:textId="77777777" w:rsidR="005758C0" w:rsidRDefault="005758C0" w:rsidP="002029E7">
            <w:pPr>
              <w:spacing w:after="0" w:line="240" w:lineRule="auto"/>
              <w:rPr>
                <w:rFonts w:asciiTheme="minorHAnsi" w:hAnsiTheme="minorHAnsi"/>
                <w:lang w:val="en-US"/>
              </w:rPr>
            </w:pPr>
          </w:p>
          <w:p w14:paraId="6764DA42" w14:textId="33D71DF3" w:rsidR="005758C0" w:rsidRDefault="00A22E66" w:rsidP="002029E7">
            <w:pPr>
              <w:spacing w:after="0" w:line="240" w:lineRule="auto"/>
              <w:rPr>
                <w:lang w:val="en-GB"/>
              </w:rPr>
            </w:pPr>
            <w:r>
              <w:rPr>
                <w:rFonts w:asciiTheme="minorHAnsi" w:hAnsiTheme="minorHAnsi"/>
                <w:lang w:val="en-US"/>
              </w:rPr>
              <w:t xml:space="preserve">The </w:t>
            </w:r>
            <w:r w:rsidR="00E97809">
              <w:rPr>
                <w:rFonts w:asciiTheme="minorHAnsi" w:hAnsiTheme="minorHAnsi"/>
                <w:lang w:val="en-US"/>
              </w:rPr>
              <w:t>b</w:t>
            </w:r>
            <w:r>
              <w:rPr>
                <w:rFonts w:asciiTheme="minorHAnsi" w:hAnsiTheme="minorHAnsi"/>
                <w:lang w:val="en-US"/>
              </w:rPr>
              <w:t xml:space="preserve">idder must have deployed </w:t>
            </w:r>
            <w:r w:rsidR="00057AA2">
              <w:rPr>
                <w:rFonts w:asciiTheme="minorHAnsi" w:hAnsiTheme="minorHAnsi"/>
                <w:lang w:val="en-US"/>
              </w:rPr>
              <w:t>Veeam Backup Software Assurance License Solution and Assurance</w:t>
            </w:r>
            <w:r w:rsidR="00B415DB">
              <w:rPr>
                <w:rFonts w:asciiTheme="minorHAnsi" w:hAnsiTheme="minorHAnsi"/>
                <w:lang w:val="en-US"/>
              </w:rPr>
              <w:t xml:space="preserve"> t</w:t>
            </w:r>
            <w:r>
              <w:rPr>
                <w:rFonts w:asciiTheme="minorHAnsi" w:hAnsiTheme="minorHAnsi"/>
                <w:lang w:val="en-US"/>
              </w:rPr>
              <w:t xml:space="preserve">o at least one (1) customer in the last </w:t>
            </w:r>
            <w:r w:rsidR="008E04C6">
              <w:rPr>
                <w:rFonts w:asciiTheme="minorHAnsi" w:hAnsiTheme="minorHAnsi"/>
                <w:lang w:val="en-US"/>
              </w:rPr>
              <w:t>5</w:t>
            </w:r>
            <w:r>
              <w:rPr>
                <w:rFonts w:asciiTheme="minorHAnsi" w:hAnsiTheme="minorHAnsi"/>
                <w:lang w:val="en-US"/>
              </w:rPr>
              <w:t xml:space="preserve"> years</w:t>
            </w:r>
            <w:r w:rsidR="00B415DB">
              <w:rPr>
                <w:rFonts w:asciiTheme="minorHAnsi" w:hAnsiTheme="minorHAnsi"/>
                <w:lang w:val="en-US"/>
              </w:rPr>
              <w:t>.</w:t>
            </w:r>
          </w:p>
        </w:tc>
        <w:tc>
          <w:tcPr>
            <w:tcW w:w="3209" w:type="dxa"/>
          </w:tcPr>
          <w:p w14:paraId="1CB1EA2F" w14:textId="77777777" w:rsidR="005758C0" w:rsidRPr="00F77778" w:rsidRDefault="005758C0" w:rsidP="002029E7">
            <w:pPr>
              <w:spacing w:after="0" w:line="240" w:lineRule="auto"/>
              <w:rPr>
                <w:rFonts w:asciiTheme="minorHAnsi" w:hAnsiTheme="minorHAnsi"/>
                <w:color w:val="000000" w:themeColor="text1"/>
              </w:rPr>
            </w:pPr>
          </w:p>
          <w:p w14:paraId="1026629A" w14:textId="77777777" w:rsidR="00B415DB" w:rsidRPr="00F77778" w:rsidRDefault="00A22E66" w:rsidP="002029E7">
            <w:pPr>
              <w:spacing w:after="0" w:line="240" w:lineRule="auto"/>
              <w:rPr>
                <w:rFonts w:asciiTheme="minorHAnsi" w:hAnsiTheme="minorHAnsi"/>
                <w:color w:val="000000" w:themeColor="text1"/>
                <w:lang w:val="en-US"/>
              </w:rPr>
            </w:pPr>
            <w:r w:rsidRPr="00F77778">
              <w:rPr>
                <w:rFonts w:asciiTheme="minorHAnsi" w:hAnsiTheme="minorHAnsi"/>
                <w:color w:val="000000" w:themeColor="text1"/>
              </w:rPr>
              <w:t xml:space="preserve">Provide </w:t>
            </w:r>
            <w:r w:rsidR="00B415DB" w:rsidRPr="00F77778">
              <w:rPr>
                <w:rFonts w:asciiTheme="minorHAnsi" w:hAnsiTheme="minorHAnsi"/>
                <w:color w:val="000000" w:themeColor="text1"/>
              </w:rPr>
              <w:t xml:space="preserve">to Annex A reference information from at least one (1) customer to whom the </w:t>
            </w:r>
            <w:r w:rsidR="00B415DB" w:rsidRPr="00F77778">
              <w:rPr>
                <w:rFonts w:asciiTheme="minorHAnsi" w:hAnsiTheme="minorHAnsi"/>
                <w:color w:val="000000" w:themeColor="text1"/>
                <w:lang w:val="en-US"/>
              </w:rPr>
              <w:t>Veeam Backup Software Assurance License Solution and Assurance was delivered in the last five (5) years.</w:t>
            </w:r>
          </w:p>
          <w:p w14:paraId="3B09D8D1" w14:textId="77777777" w:rsidR="00B415DB" w:rsidRPr="00F77778" w:rsidRDefault="00B415DB" w:rsidP="002029E7">
            <w:pPr>
              <w:spacing w:after="0" w:line="240" w:lineRule="auto"/>
              <w:rPr>
                <w:rFonts w:asciiTheme="minorHAnsi" w:hAnsiTheme="minorHAnsi"/>
                <w:color w:val="000000" w:themeColor="text1"/>
                <w:lang w:val="en-US"/>
              </w:rPr>
            </w:pPr>
          </w:p>
          <w:p w14:paraId="52AE1B75" w14:textId="77777777" w:rsidR="005758C0" w:rsidRPr="00F77778" w:rsidRDefault="005758C0" w:rsidP="002029E7">
            <w:pPr>
              <w:spacing w:after="0" w:line="240" w:lineRule="auto"/>
              <w:rPr>
                <w:color w:val="000000" w:themeColor="text1"/>
                <w:lang w:val="en-GB"/>
              </w:rPr>
            </w:pPr>
          </w:p>
          <w:p w14:paraId="7C60335D" w14:textId="77777777" w:rsidR="005758C0" w:rsidRPr="00F77778" w:rsidRDefault="00A22E66" w:rsidP="002029E7">
            <w:pPr>
              <w:spacing w:after="0" w:line="240" w:lineRule="auto"/>
              <w:rPr>
                <w:rFonts w:cs="Calibri"/>
                <w:b/>
                <w:bCs/>
                <w:color w:val="000000" w:themeColor="text1"/>
              </w:rPr>
            </w:pPr>
            <w:r w:rsidRPr="00F77778">
              <w:rPr>
                <w:rFonts w:cs="Calibri"/>
                <w:b/>
                <w:bCs/>
                <w:color w:val="000000" w:themeColor="text1"/>
              </w:rPr>
              <w:t xml:space="preserve">NOTE (1): </w:t>
            </w:r>
          </w:p>
          <w:p w14:paraId="119F6B27" w14:textId="161CDB49" w:rsidR="005758C0" w:rsidRPr="00F77778" w:rsidRDefault="00A22E66" w:rsidP="002029E7">
            <w:pPr>
              <w:spacing w:after="0" w:line="240" w:lineRule="auto"/>
              <w:rPr>
                <w:rFonts w:cs="Calibri"/>
                <w:b/>
                <w:bCs/>
                <w:color w:val="000000" w:themeColor="text1"/>
              </w:rPr>
            </w:pPr>
            <w:r w:rsidRPr="00F77778">
              <w:rPr>
                <w:rFonts w:cs="Calibri"/>
                <w:b/>
                <w:bCs/>
                <w:color w:val="000000" w:themeColor="text1"/>
              </w:rPr>
              <w:t>SITA</w:t>
            </w:r>
            <w:r w:rsidR="008E04C6" w:rsidRPr="00F77778">
              <w:rPr>
                <w:rFonts w:cs="Calibri"/>
                <w:b/>
                <w:bCs/>
                <w:color w:val="000000" w:themeColor="text1"/>
              </w:rPr>
              <w:t>/ DOD</w:t>
            </w:r>
            <w:r w:rsidRPr="00F77778">
              <w:rPr>
                <w:rFonts w:cs="Calibri"/>
                <w:b/>
                <w:bCs/>
                <w:color w:val="000000" w:themeColor="text1"/>
              </w:rPr>
              <w:t xml:space="preserve"> reserves the right to verify information provided.</w:t>
            </w:r>
          </w:p>
          <w:p w14:paraId="2BDE6E18" w14:textId="77777777" w:rsidR="005758C0" w:rsidRPr="00F77778" w:rsidRDefault="005758C0" w:rsidP="002029E7">
            <w:pPr>
              <w:spacing w:after="0" w:line="240" w:lineRule="auto"/>
              <w:rPr>
                <w:rFonts w:cs="Calibri"/>
                <w:b/>
                <w:bCs/>
                <w:color w:val="000000" w:themeColor="text1"/>
              </w:rPr>
            </w:pPr>
          </w:p>
          <w:p w14:paraId="0F3247AB" w14:textId="77777777" w:rsidR="005758C0" w:rsidRPr="00F77778" w:rsidRDefault="00A22E66" w:rsidP="002029E7">
            <w:pPr>
              <w:spacing w:after="0" w:line="240" w:lineRule="auto"/>
              <w:rPr>
                <w:rFonts w:cs="Calibri"/>
                <w:b/>
                <w:bCs/>
                <w:color w:val="000000" w:themeColor="text1"/>
              </w:rPr>
            </w:pPr>
            <w:r w:rsidRPr="00F77778">
              <w:rPr>
                <w:rFonts w:cs="Calibri"/>
                <w:b/>
                <w:bCs/>
                <w:color w:val="000000" w:themeColor="text1"/>
              </w:rPr>
              <w:t xml:space="preserve">Note (2): </w:t>
            </w:r>
          </w:p>
          <w:p w14:paraId="2A174E3C" w14:textId="77777777" w:rsidR="00B415DB" w:rsidRPr="00F77778" w:rsidRDefault="00A22E66" w:rsidP="002029E7">
            <w:pPr>
              <w:spacing w:after="0" w:line="240" w:lineRule="auto"/>
              <w:rPr>
                <w:rFonts w:cs="Calibri"/>
                <w:b/>
                <w:bCs/>
                <w:color w:val="000000" w:themeColor="text1"/>
              </w:rPr>
            </w:pPr>
            <w:r w:rsidRPr="00F77778">
              <w:rPr>
                <w:rFonts w:cs="Calibri"/>
                <w:b/>
                <w:bCs/>
                <w:color w:val="000000" w:themeColor="text1"/>
              </w:rPr>
              <w:t>Failure to complete Table 5 fully as indicated above will result in disqualification.</w:t>
            </w:r>
          </w:p>
          <w:p w14:paraId="4D199C2B" w14:textId="77777777" w:rsidR="00B415DB" w:rsidRPr="00F77778" w:rsidRDefault="00B415DB" w:rsidP="002029E7">
            <w:pPr>
              <w:spacing w:after="0" w:line="240" w:lineRule="auto"/>
              <w:rPr>
                <w:rFonts w:cs="Calibri"/>
                <w:b/>
                <w:bCs/>
                <w:color w:val="000000" w:themeColor="text1"/>
              </w:rPr>
            </w:pPr>
          </w:p>
          <w:p w14:paraId="7790988B" w14:textId="5064FBB8" w:rsidR="008E04C6" w:rsidRPr="00F77778" w:rsidRDefault="008E04C6" w:rsidP="002029E7">
            <w:pPr>
              <w:spacing w:after="0" w:line="240" w:lineRule="auto"/>
              <w:rPr>
                <w:rFonts w:cs="Calibri"/>
                <w:b/>
                <w:bCs/>
                <w:color w:val="000000" w:themeColor="text1"/>
              </w:rPr>
            </w:pPr>
            <w:r w:rsidRPr="00F77778">
              <w:rPr>
                <w:rFonts w:cs="Calibri"/>
                <w:b/>
                <w:bCs/>
                <w:color w:val="000000" w:themeColor="text1"/>
              </w:rPr>
              <w:t xml:space="preserve">Note (3): </w:t>
            </w:r>
          </w:p>
          <w:p w14:paraId="2B47ABB3" w14:textId="2A350AE5" w:rsidR="008E04C6" w:rsidRPr="00F77778" w:rsidRDefault="00F706D0" w:rsidP="002029E7">
            <w:pPr>
              <w:spacing w:after="0" w:line="240" w:lineRule="auto"/>
              <w:rPr>
                <w:rFonts w:cs="Calibri"/>
                <w:b/>
                <w:bCs/>
                <w:color w:val="000000" w:themeColor="text1"/>
              </w:rPr>
            </w:pPr>
            <w:r>
              <w:rPr>
                <w:rFonts w:cs="Calibri"/>
                <w:b/>
                <w:bCs/>
                <w:color w:val="000000" w:themeColor="text1"/>
              </w:rPr>
              <w:t xml:space="preserve"> Bidder must provide a </w:t>
            </w:r>
            <w:r w:rsidR="008E04C6" w:rsidRPr="00F77778">
              <w:rPr>
                <w:rFonts w:cs="Calibri"/>
                <w:b/>
                <w:bCs/>
                <w:color w:val="000000" w:themeColor="text1"/>
              </w:rPr>
              <w:t xml:space="preserve">reference </w:t>
            </w:r>
            <w:r w:rsidR="006945C0" w:rsidRPr="00F77778">
              <w:rPr>
                <w:rFonts w:cs="Calibri"/>
                <w:b/>
                <w:bCs/>
                <w:color w:val="000000" w:themeColor="text1"/>
              </w:rPr>
              <w:t xml:space="preserve">letter </w:t>
            </w:r>
            <w:r>
              <w:rPr>
                <w:rFonts w:cs="Calibri"/>
                <w:b/>
                <w:bCs/>
                <w:color w:val="000000" w:themeColor="text1"/>
              </w:rPr>
              <w:t>from their clients where they have provided this service failing which will result in disqualification</w:t>
            </w:r>
          </w:p>
          <w:p w14:paraId="729AE760" w14:textId="77777777" w:rsidR="008E04C6" w:rsidRPr="00F77778" w:rsidRDefault="008E04C6" w:rsidP="002029E7">
            <w:pPr>
              <w:spacing w:after="0" w:line="240" w:lineRule="auto"/>
              <w:rPr>
                <w:rFonts w:cs="Calibri"/>
                <w:b/>
                <w:bCs/>
                <w:color w:val="000000" w:themeColor="text1"/>
              </w:rPr>
            </w:pPr>
          </w:p>
          <w:p w14:paraId="2E8BA227" w14:textId="77777777" w:rsidR="005758C0" w:rsidRPr="00F77778" w:rsidRDefault="005758C0" w:rsidP="002029E7">
            <w:pPr>
              <w:spacing w:after="0" w:line="240" w:lineRule="auto"/>
              <w:rPr>
                <w:color w:val="000000" w:themeColor="text1"/>
                <w:lang w:val="en-GB"/>
              </w:rPr>
            </w:pPr>
          </w:p>
        </w:tc>
        <w:tc>
          <w:tcPr>
            <w:tcW w:w="3210" w:type="dxa"/>
          </w:tcPr>
          <w:p w14:paraId="3DD87561" w14:textId="77777777" w:rsidR="005758C0" w:rsidRPr="00F77778" w:rsidRDefault="00A22E66" w:rsidP="002029E7">
            <w:pPr>
              <w:spacing w:after="0" w:line="240" w:lineRule="auto"/>
              <w:rPr>
                <w:color w:val="000000" w:themeColor="text1"/>
                <w:lang w:val="en-GB"/>
              </w:rPr>
            </w:pPr>
            <w:r w:rsidRPr="00F77778">
              <w:rPr>
                <w:rFonts w:cs="Calibri"/>
                <w:color w:val="000000" w:themeColor="text1"/>
              </w:rPr>
              <w:t>&lt;provide unique reference to locate substantiating evidence in the bid response –</w:t>
            </w:r>
            <w:r w:rsidRPr="00F77778">
              <w:rPr>
                <w:rFonts w:cs="Calibri"/>
                <w:b/>
                <w:bCs/>
                <w:color w:val="000000" w:themeColor="text1"/>
              </w:rPr>
              <w:t xml:space="preserve"> see Annex A, par 5.2, table 5</w:t>
            </w:r>
            <w:r w:rsidRPr="00F77778">
              <w:rPr>
                <w:rFonts w:cs="Calibri"/>
                <w:color w:val="000000" w:themeColor="text1"/>
              </w:rPr>
              <w:t>&gt;</w:t>
            </w:r>
          </w:p>
        </w:tc>
      </w:tr>
    </w:tbl>
    <w:p w14:paraId="2CA50977" w14:textId="77777777" w:rsidR="005758C0" w:rsidRDefault="005758C0" w:rsidP="002029E7">
      <w:pPr>
        <w:pStyle w:val="ListParagraph"/>
        <w:ind w:left="1134"/>
      </w:pPr>
    </w:p>
    <w:p w14:paraId="5CBE576F" w14:textId="77777777" w:rsidR="00D62FDF" w:rsidRDefault="00D62FDF" w:rsidP="002029E7">
      <w:pPr>
        <w:pStyle w:val="ListParagraph"/>
        <w:ind w:left="1134"/>
      </w:pPr>
    </w:p>
    <w:p w14:paraId="5268EA67" w14:textId="14B3B0AA" w:rsidR="005758C0" w:rsidRPr="00D62FDF" w:rsidRDefault="00D62FDF" w:rsidP="00D62FDF">
      <w:pPr>
        <w:pStyle w:val="Heading2"/>
        <w:ind w:left="142" w:firstLine="0"/>
        <w:jc w:val="both"/>
        <w:rPr>
          <w:sz w:val="24"/>
          <w:szCs w:val="24"/>
        </w:rPr>
      </w:pPr>
      <w:bookmarkStart w:id="25" w:name="_Toc161437017"/>
      <w:r w:rsidRPr="00D62FDF">
        <w:rPr>
          <w:sz w:val="24"/>
          <w:szCs w:val="24"/>
        </w:rPr>
        <w:t>SPECIAL CONDITIONS OF CONTRACT VERIFICATION (STAGE 3)</w:t>
      </w:r>
      <w:bookmarkEnd w:id="25"/>
    </w:p>
    <w:p w14:paraId="1DF558E5" w14:textId="77777777" w:rsidR="005758C0" w:rsidRDefault="00A22E66" w:rsidP="002029E7">
      <w:pPr>
        <w:pStyle w:val="ListParagraph"/>
        <w:numPr>
          <w:ilvl w:val="0"/>
          <w:numId w:val="10"/>
        </w:numPr>
        <w:rPr>
          <w:lang w:val="en-GB"/>
        </w:rPr>
      </w:pPr>
      <w:r>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68601D1C" w14:textId="77777777" w:rsidR="005758C0" w:rsidRDefault="00A22E66" w:rsidP="002029E7">
      <w:pPr>
        <w:pStyle w:val="ListParagraph"/>
        <w:numPr>
          <w:ilvl w:val="0"/>
          <w:numId w:val="10"/>
        </w:numPr>
        <w:rPr>
          <w:lang w:val="en-GB"/>
        </w:rPr>
      </w:pPr>
      <w:r>
        <w:rPr>
          <w:lang w:val="en-GB"/>
        </w:rPr>
        <w:t>SITA reserves the right to:</w:t>
      </w:r>
    </w:p>
    <w:p w14:paraId="4A49A5CB" w14:textId="77777777" w:rsidR="005758C0" w:rsidRDefault="00A22E66" w:rsidP="002029E7">
      <w:pPr>
        <w:pStyle w:val="ListParagraph"/>
        <w:numPr>
          <w:ilvl w:val="1"/>
          <w:numId w:val="10"/>
        </w:numPr>
        <w:rPr>
          <w:lang w:val="en-GB"/>
        </w:rPr>
      </w:pPr>
      <w:r>
        <w:rPr>
          <w:lang w:val="en-GB"/>
        </w:rPr>
        <w:t>Negotiate the conditions; or</w:t>
      </w:r>
    </w:p>
    <w:p w14:paraId="066A48CC" w14:textId="77777777" w:rsidR="005758C0" w:rsidRDefault="00A22E66" w:rsidP="002029E7">
      <w:pPr>
        <w:pStyle w:val="ListParagraph"/>
        <w:numPr>
          <w:ilvl w:val="1"/>
          <w:numId w:val="10"/>
        </w:numPr>
        <w:rPr>
          <w:lang w:val="en-GB"/>
        </w:rPr>
      </w:pPr>
      <w:r>
        <w:rPr>
          <w:lang w:val="en-GB"/>
        </w:rPr>
        <w:t>Automatically disqualify a bidder for not accepting these conditions; or</w:t>
      </w:r>
    </w:p>
    <w:p w14:paraId="36776ABD" w14:textId="77777777" w:rsidR="005758C0" w:rsidRDefault="00A22E66" w:rsidP="002029E7">
      <w:pPr>
        <w:pStyle w:val="ListParagraph"/>
        <w:numPr>
          <w:ilvl w:val="1"/>
          <w:numId w:val="10"/>
        </w:numPr>
        <w:rPr>
          <w:lang w:val="en-GB"/>
        </w:rPr>
      </w:pPr>
      <w:r>
        <w:rPr>
          <w:lang w:val="en-GB"/>
        </w:rPr>
        <w:t>Award to multiple bidders</w:t>
      </w:r>
    </w:p>
    <w:p w14:paraId="17F79DCE" w14:textId="367CC414" w:rsidR="005758C0" w:rsidRDefault="00A22E66" w:rsidP="002029E7">
      <w:pPr>
        <w:pStyle w:val="ListParagraph"/>
        <w:numPr>
          <w:ilvl w:val="0"/>
          <w:numId w:val="10"/>
        </w:numPr>
      </w:pPr>
      <w:r w:rsidRPr="00282F6F">
        <w:rPr>
          <w:lang w:val="en-GB"/>
        </w:rPr>
        <w:t>In the event that the bidder qualifies the proposal with own conditions and does not specifically withdraw such own conditions when called upon to do so, SITA will invoke the rights reserved in accordance with subsection 4.3. (b) above.</w:t>
      </w:r>
    </w:p>
    <w:p w14:paraId="116DA7D4" w14:textId="77777777" w:rsidR="005758C0" w:rsidRDefault="00A22E66" w:rsidP="00D62FDF">
      <w:pPr>
        <w:pStyle w:val="Heading4"/>
        <w:ind w:hanging="993"/>
        <w:jc w:val="both"/>
      </w:pPr>
      <w:bookmarkStart w:id="26" w:name="_Toc161437018"/>
      <w:r>
        <w:t>Special Conditions of Contract</w:t>
      </w:r>
      <w:bookmarkEnd w:id="26"/>
    </w:p>
    <w:p w14:paraId="36CC2823" w14:textId="77777777" w:rsidR="005758C0" w:rsidRDefault="00A22E66" w:rsidP="00D62FDF">
      <w:pPr>
        <w:pStyle w:val="Heading4"/>
        <w:ind w:hanging="993"/>
        <w:jc w:val="both"/>
      </w:pPr>
      <w:r>
        <w:t>Contracting Conditions</w:t>
      </w:r>
    </w:p>
    <w:p w14:paraId="512CA26D" w14:textId="77777777" w:rsidR="005758C0" w:rsidRDefault="00A22E66" w:rsidP="002029E7">
      <w:pPr>
        <w:pStyle w:val="ListParagraph"/>
        <w:numPr>
          <w:ilvl w:val="0"/>
          <w:numId w:val="11"/>
        </w:numPr>
        <w:rPr>
          <w:lang w:val="en-GB"/>
        </w:rPr>
      </w:pPr>
      <w:r>
        <w:rPr>
          <w:b/>
          <w:bCs/>
          <w:lang w:val="en-GB"/>
        </w:rPr>
        <w:t>Formal Contract</w:t>
      </w:r>
      <w:r>
        <w:rPr>
          <w:lang w:val="en-GB"/>
        </w:rPr>
        <w:t xml:space="preserve"> - The supplier must enter into a formal written contract (agreement) with SITA.</w:t>
      </w:r>
    </w:p>
    <w:p w14:paraId="38601607" w14:textId="77777777" w:rsidR="005758C0" w:rsidRDefault="00A22E66" w:rsidP="002029E7">
      <w:pPr>
        <w:pStyle w:val="ListParagraph"/>
        <w:numPr>
          <w:ilvl w:val="0"/>
          <w:numId w:val="11"/>
        </w:numPr>
        <w:rPr>
          <w:lang w:val="en-GB"/>
        </w:rPr>
      </w:pPr>
      <w:r>
        <w:rPr>
          <w:b/>
          <w:bCs/>
          <w:lang w:val="en-GB"/>
        </w:rPr>
        <w:t>Right to Audit</w:t>
      </w:r>
      <w:r>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5939C9A2" w14:textId="77777777" w:rsidR="005758C0" w:rsidRDefault="00A22E66" w:rsidP="00D62FDF">
      <w:pPr>
        <w:pStyle w:val="Heading4"/>
        <w:ind w:hanging="993"/>
        <w:jc w:val="both"/>
      </w:pPr>
      <w:r>
        <w:lastRenderedPageBreak/>
        <w:t>Delivery Address</w:t>
      </w:r>
    </w:p>
    <w:p w14:paraId="18F92372" w14:textId="77777777" w:rsidR="005758C0" w:rsidRDefault="00A22E66" w:rsidP="002029E7">
      <w:pPr>
        <w:pStyle w:val="ListParagraph"/>
        <w:numPr>
          <w:ilvl w:val="0"/>
          <w:numId w:val="12"/>
        </w:numPr>
      </w:pPr>
      <w:r>
        <w:t>The supplier must deliver the required products or services at as indicated in Section 2.2, Delivery Address</w:t>
      </w:r>
    </w:p>
    <w:p w14:paraId="0AAAF0EE" w14:textId="6B7B011D" w:rsidR="00282F6F" w:rsidRPr="006864E4" w:rsidRDefault="000F49F0" w:rsidP="002029E7">
      <w:pPr>
        <w:ind w:left="1134"/>
        <w:rPr>
          <w:lang w:val="en-GB"/>
        </w:rPr>
      </w:pPr>
      <w:r w:rsidRPr="006864E4">
        <w:rPr>
          <w:rFonts w:asciiTheme="minorHAnsi" w:eastAsiaTheme="majorEastAsia" w:hAnsiTheme="minorHAnsi" w:cstheme="minorHAnsi"/>
          <w:b/>
          <w:color w:val="202124"/>
          <w:shd w:val="clear" w:color="auto" w:fill="FFFFFF"/>
          <w:lang w:val="en-GB"/>
        </w:rPr>
        <w:t>459 Tsitsa Street, Erasmuskloof , Pretoria East , 0048</w:t>
      </w:r>
      <w:r w:rsidR="00282F6F" w:rsidRPr="006864E4">
        <w:rPr>
          <w:rFonts w:asciiTheme="minorHAnsi" w:eastAsiaTheme="majorEastAsia" w:hAnsiTheme="minorHAnsi" w:cstheme="minorHAnsi"/>
          <w:b/>
          <w:color w:val="202124"/>
          <w:shd w:val="clear" w:color="auto" w:fill="FFFFFF"/>
          <w:lang w:val="en-GB"/>
        </w:rPr>
        <w:t xml:space="preserve">                                                  </w:t>
      </w:r>
    </w:p>
    <w:p w14:paraId="28D18CDB" w14:textId="77777777" w:rsidR="005758C0" w:rsidRDefault="00A22E66" w:rsidP="00D62FDF">
      <w:pPr>
        <w:pStyle w:val="Heading4"/>
        <w:ind w:hanging="993"/>
        <w:jc w:val="both"/>
      </w:pPr>
      <w:r>
        <w:t>Services and Performance Metrics</w:t>
      </w:r>
    </w:p>
    <w:p w14:paraId="0A156921" w14:textId="77777777" w:rsidR="005758C0" w:rsidRDefault="00A22E66" w:rsidP="002029E7">
      <w:pPr>
        <w:pStyle w:val="ListParagraph"/>
        <w:numPr>
          <w:ilvl w:val="0"/>
          <w:numId w:val="13"/>
        </w:numPr>
      </w:pPr>
      <w:r>
        <w:t xml:space="preserve">The bidder is responsible to provide the following services as specified in the Service </w:t>
      </w:r>
      <w:r>
        <w:tab/>
      </w:r>
      <w:r>
        <w:tab/>
      </w:r>
      <w:r>
        <w:tab/>
        <w:t>Breakdown Structure (SBS):</w:t>
      </w:r>
    </w:p>
    <w:p w14:paraId="726ED9F9" w14:textId="77777777" w:rsidR="005758C0" w:rsidRDefault="00A22E66" w:rsidP="002029E7">
      <w:pPr>
        <w:pStyle w:val="ListParagraph"/>
        <w:numPr>
          <w:ilvl w:val="1"/>
          <w:numId w:val="13"/>
        </w:numPr>
      </w:pPr>
      <w:r>
        <w:rPr>
          <w:rStyle w:val="Strong"/>
        </w:rPr>
        <w:t xml:space="preserve">Operational MTTResolve: Response and Repair Times - </w:t>
      </w:r>
      <w:r>
        <w:rPr>
          <w:lang w:val="en-GB"/>
        </w:rPr>
        <w:t>The Bidder must perform corrective maintenance within predefined response and repair times.  Maximum Time To Repair in all cases (Full Service Agreement) will be sixteen (16) working hours for all UTP voice/data and fibre incidents.</w:t>
      </w:r>
    </w:p>
    <w:p w14:paraId="3F50E1C5" w14:textId="52F617A2" w:rsidR="005758C0" w:rsidRPr="00B415DB" w:rsidRDefault="00A22E66" w:rsidP="002029E7">
      <w:pPr>
        <w:pStyle w:val="ListParagraph"/>
        <w:numPr>
          <w:ilvl w:val="1"/>
          <w:numId w:val="13"/>
        </w:numPr>
        <w:rPr>
          <w:rStyle w:val="Strong"/>
          <w:b w:val="0"/>
        </w:rPr>
      </w:pPr>
      <w:r w:rsidRPr="00B415DB">
        <w:rPr>
          <w:rStyle w:val="Strong"/>
        </w:rPr>
        <w:t>Mission Critical MTTResolve</w:t>
      </w:r>
      <w:r w:rsidRPr="00B415DB">
        <w:rPr>
          <w:rStyle w:val="Strong"/>
          <w:b w:val="0"/>
        </w:rPr>
        <w:t>: Response and Repair Times - The Bidder must perform corrective maintenance within predefined response and repair times.  Maximum Time To Repair in all mission critical cases (Full Service Agreement) will be one (1) working hour for all UTP voice/data and fibre incidents</w:t>
      </w:r>
    </w:p>
    <w:p w14:paraId="1CF20A20" w14:textId="77777777" w:rsidR="005758C0" w:rsidRDefault="00A22E66" w:rsidP="00D62FDF">
      <w:pPr>
        <w:pStyle w:val="Heading4"/>
        <w:ind w:hanging="993"/>
        <w:jc w:val="both"/>
      </w:pPr>
      <w:r>
        <w:t>Certification, Expertise and Qualification</w:t>
      </w:r>
    </w:p>
    <w:p w14:paraId="0C7B3303" w14:textId="77777777" w:rsidR="005758C0" w:rsidRDefault="00A22E66" w:rsidP="002029E7">
      <w:pPr>
        <w:pStyle w:val="ListParagraph"/>
        <w:numPr>
          <w:ilvl w:val="0"/>
          <w:numId w:val="14"/>
        </w:numPr>
      </w:pPr>
      <w:r>
        <w:t>The bidder certifies that:</w:t>
      </w:r>
    </w:p>
    <w:p w14:paraId="6D60B535" w14:textId="77777777" w:rsidR="005758C0" w:rsidRDefault="00A22E66" w:rsidP="002029E7">
      <w:pPr>
        <w:pStyle w:val="ListParagraph"/>
        <w:numPr>
          <w:ilvl w:val="1"/>
          <w:numId w:val="14"/>
        </w:numPr>
      </w:pPr>
      <w:r>
        <w:t>it has the necessary expertise, skill, qualifications and ability to undertake the work required in terms of the Statement of Work or Service Definition</w:t>
      </w:r>
    </w:p>
    <w:p w14:paraId="32149828" w14:textId="77777777" w:rsidR="005758C0" w:rsidRDefault="00A22E66" w:rsidP="002029E7">
      <w:pPr>
        <w:pStyle w:val="ListParagraph"/>
        <w:numPr>
          <w:ilvl w:val="1"/>
          <w:numId w:val="14"/>
        </w:numPr>
      </w:pPr>
      <w:r>
        <w:t>it is committed to provide the Products or Services; and</w:t>
      </w:r>
    </w:p>
    <w:p w14:paraId="5B1E1191" w14:textId="77777777" w:rsidR="005758C0" w:rsidRDefault="00A22E66" w:rsidP="002029E7">
      <w:pPr>
        <w:pStyle w:val="ListParagraph"/>
        <w:numPr>
          <w:ilvl w:val="1"/>
          <w:numId w:val="14"/>
        </w:numPr>
      </w:pPr>
      <w:r>
        <w:t>perform all obligations detailed herein without any interruption to the Customer</w:t>
      </w:r>
    </w:p>
    <w:p w14:paraId="2B94DC1E" w14:textId="77777777" w:rsidR="005758C0" w:rsidRDefault="00A22E66" w:rsidP="002029E7">
      <w:pPr>
        <w:pStyle w:val="ListParagraph"/>
        <w:numPr>
          <w:ilvl w:val="1"/>
          <w:numId w:val="14"/>
        </w:numPr>
      </w:pPr>
      <w:r>
        <w:t>it has been certified for the Products and Services required</w:t>
      </w:r>
    </w:p>
    <w:p w14:paraId="419FC8B3" w14:textId="77777777" w:rsidR="005758C0" w:rsidRDefault="00A22E66" w:rsidP="00D62FDF">
      <w:pPr>
        <w:pStyle w:val="Heading4"/>
        <w:ind w:hanging="993"/>
        <w:jc w:val="both"/>
      </w:pPr>
      <w:r>
        <w:t>Logistical Conditions</w:t>
      </w:r>
    </w:p>
    <w:p w14:paraId="29E35B29" w14:textId="77777777" w:rsidR="005758C0" w:rsidRDefault="00A22E66" w:rsidP="002029E7">
      <w:pPr>
        <w:pStyle w:val="ListParagraph"/>
        <w:numPr>
          <w:ilvl w:val="0"/>
          <w:numId w:val="15"/>
        </w:numPr>
      </w:pPr>
      <w:r>
        <w:rPr>
          <w:b/>
          <w:bCs/>
        </w:rPr>
        <w:t>Hours of Work</w:t>
      </w:r>
      <w:r>
        <w:t xml:space="preserve">  </w:t>
      </w:r>
    </w:p>
    <w:p w14:paraId="122D0F76" w14:textId="77777777" w:rsidR="005758C0" w:rsidRDefault="00A22E66" w:rsidP="002029E7">
      <w:pPr>
        <w:pStyle w:val="ListParagraph"/>
        <w:numPr>
          <w:ilvl w:val="1"/>
          <w:numId w:val="15"/>
        </w:numPr>
      </w:pPr>
      <w:r>
        <w:t>Office hours are defined as business working hours of the customer and is Mondays to Fridays between 07:30 and 16:00</w:t>
      </w:r>
    </w:p>
    <w:p w14:paraId="65B6D3FE" w14:textId="77777777" w:rsidR="005758C0" w:rsidRDefault="00A22E66" w:rsidP="002029E7">
      <w:pPr>
        <w:pStyle w:val="ListParagraph"/>
        <w:numPr>
          <w:ilvl w:val="1"/>
          <w:numId w:val="15"/>
        </w:numPr>
      </w:pPr>
      <w:r>
        <w:t>After hours of the customer during week days are from16:00 to 07:30</w:t>
      </w:r>
    </w:p>
    <w:p w14:paraId="31EFA4F8" w14:textId="77777777" w:rsidR="005758C0" w:rsidRDefault="00A22E66" w:rsidP="002029E7">
      <w:pPr>
        <w:pStyle w:val="ListParagraph"/>
        <w:numPr>
          <w:ilvl w:val="1"/>
          <w:numId w:val="15"/>
        </w:numPr>
      </w:pPr>
      <w:r>
        <w:t xml:space="preserve">All mission critical sites will be managed on a 24 x 7 x 365 basis </w:t>
      </w:r>
    </w:p>
    <w:p w14:paraId="5A1FBEE6" w14:textId="77777777" w:rsidR="005758C0" w:rsidRDefault="00A22E66" w:rsidP="002029E7">
      <w:pPr>
        <w:pStyle w:val="ListParagraph"/>
        <w:numPr>
          <w:ilvl w:val="0"/>
          <w:numId w:val="15"/>
        </w:numPr>
        <w:rPr>
          <w:b/>
          <w:bCs/>
        </w:rPr>
      </w:pPr>
      <w:r>
        <w:rPr>
          <w:b/>
          <w:bCs/>
        </w:rPr>
        <w:t>Tools of Trade</w:t>
      </w:r>
    </w:p>
    <w:p w14:paraId="0EEB6329" w14:textId="77777777" w:rsidR="005758C0" w:rsidRDefault="00A22E66" w:rsidP="002029E7">
      <w:pPr>
        <w:pStyle w:val="ListParagraph"/>
        <w:numPr>
          <w:ilvl w:val="1"/>
          <w:numId w:val="15"/>
        </w:numPr>
      </w:pPr>
      <w:r>
        <w:t>The bidder is expected to use its own resources (cell phone, laptops etc) to communicate with its own offices or outside of the SITA/Client buildings, including all tools and equipment to render the services effectively.</w:t>
      </w:r>
    </w:p>
    <w:p w14:paraId="339455E2" w14:textId="77777777" w:rsidR="003B2BA8" w:rsidRPr="00D62FDF" w:rsidRDefault="003B2BA8" w:rsidP="00D62FDF">
      <w:pPr>
        <w:pStyle w:val="Heading4"/>
        <w:ind w:hanging="993"/>
        <w:jc w:val="both"/>
      </w:pPr>
      <w:r w:rsidRPr="003B2BA8">
        <w:t>Security</w:t>
      </w:r>
      <w:r w:rsidRPr="00D62FDF">
        <w:t xml:space="preserve"> screening and security clearance requirements </w:t>
      </w:r>
    </w:p>
    <w:p w14:paraId="5CAF9784" w14:textId="77777777" w:rsidR="003B2BA8" w:rsidRPr="003B2BA8" w:rsidRDefault="003B2BA8" w:rsidP="002029E7">
      <w:pPr>
        <w:numPr>
          <w:ilvl w:val="1"/>
          <w:numId w:val="23"/>
        </w:numPr>
        <w:tabs>
          <w:tab w:val="num" w:pos="1107"/>
          <w:tab w:val="num" w:pos="1134"/>
        </w:tabs>
        <w:spacing w:after="0" w:line="240" w:lineRule="auto"/>
        <w:ind w:left="1107"/>
        <w:rPr>
          <w:rFonts w:eastAsia="Times New Roman" w:cs="Calibri Light"/>
        </w:rPr>
      </w:pPr>
      <w:r w:rsidRPr="003B2BA8">
        <w:rPr>
          <w:rFonts w:eastAsia="Times New Roman" w:cs="Calibri Light"/>
          <w:b/>
        </w:rPr>
        <w:t>Company security screening:</w:t>
      </w:r>
      <w:r w:rsidRPr="003B2BA8">
        <w:rPr>
          <w:rFonts w:eastAsia="Times New Roman" w:cs="Calibri Light"/>
        </w:rPr>
        <w:t xml:space="preserve"> The supplier may be required to undergo a company security screening conducted by the State Security Agency (SSA). Should the SSA find the supplier </w:t>
      </w:r>
      <w:r w:rsidRPr="003B2BA8">
        <w:rPr>
          <w:rFonts w:eastAsia="Times New Roman" w:cs="Calibri Light"/>
          <w:b/>
        </w:rPr>
        <w:t>not suitable</w:t>
      </w:r>
      <w:r w:rsidRPr="003B2BA8">
        <w:rPr>
          <w:rFonts w:eastAsia="Times New Roman" w:cs="Calibri Light"/>
        </w:rPr>
        <w:t xml:space="preserve"> after the conduct of the security screening, the business relationship will be terminated. The following documentation will be required for the company security screening process to be conducted:</w:t>
      </w:r>
    </w:p>
    <w:p w14:paraId="575489AE" w14:textId="77777777" w:rsidR="003B2BA8" w:rsidRPr="003B2BA8" w:rsidRDefault="003B2BA8" w:rsidP="002029E7">
      <w:pPr>
        <w:numPr>
          <w:ilvl w:val="2"/>
          <w:numId w:val="23"/>
        </w:numPr>
        <w:tabs>
          <w:tab w:val="num" w:pos="1701"/>
        </w:tabs>
        <w:spacing w:after="0" w:line="240" w:lineRule="auto"/>
        <w:rPr>
          <w:rFonts w:eastAsia="Times New Roman" w:cs="Calibri Light"/>
        </w:rPr>
      </w:pPr>
      <w:r w:rsidRPr="003B2BA8">
        <w:rPr>
          <w:rFonts w:eastAsia="Times New Roman" w:cs="Calibri Light"/>
        </w:rPr>
        <w:t>Copy of company registration documentation;</w:t>
      </w:r>
    </w:p>
    <w:p w14:paraId="6132B32C" w14:textId="77777777" w:rsidR="003B2BA8" w:rsidRPr="003B2BA8" w:rsidRDefault="003B2BA8" w:rsidP="002029E7">
      <w:pPr>
        <w:numPr>
          <w:ilvl w:val="2"/>
          <w:numId w:val="23"/>
        </w:numPr>
        <w:tabs>
          <w:tab w:val="num" w:pos="1701"/>
        </w:tabs>
        <w:spacing w:after="0" w:line="240" w:lineRule="auto"/>
        <w:rPr>
          <w:rFonts w:eastAsia="Times New Roman" w:cs="Calibri Light"/>
        </w:rPr>
      </w:pPr>
      <w:r w:rsidRPr="003B2BA8">
        <w:rPr>
          <w:rFonts w:eastAsia="Times New Roman" w:cs="Calibri Light"/>
        </w:rPr>
        <w:t xml:space="preserve">Copy(ies) of identity documentation of Director(s), Member(s) or Trustee(s); </w:t>
      </w:r>
    </w:p>
    <w:p w14:paraId="71108C74" w14:textId="77777777" w:rsidR="003B2BA8" w:rsidRPr="003B2BA8" w:rsidRDefault="003B2BA8" w:rsidP="002029E7">
      <w:pPr>
        <w:numPr>
          <w:ilvl w:val="2"/>
          <w:numId w:val="23"/>
        </w:numPr>
        <w:tabs>
          <w:tab w:val="num" w:pos="1701"/>
        </w:tabs>
        <w:spacing w:after="0" w:line="240" w:lineRule="auto"/>
        <w:rPr>
          <w:rFonts w:eastAsia="Times New Roman" w:cs="Calibri Light"/>
        </w:rPr>
      </w:pPr>
      <w:r w:rsidRPr="003B2BA8">
        <w:rPr>
          <w:rFonts w:eastAsia="Times New Roman" w:cs="Calibri Light"/>
        </w:rPr>
        <w:t xml:space="preserve">Copy of valid tax clearance certificate. </w:t>
      </w:r>
    </w:p>
    <w:p w14:paraId="22E92671" w14:textId="096C14A8" w:rsidR="003B2BA8" w:rsidRPr="003B2BA8" w:rsidRDefault="003B2BA8" w:rsidP="002029E7">
      <w:pPr>
        <w:numPr>
          <w:ilvl w:val="1"/>
          <w:numId w:val="23"/>
        </w:numPr>
        <w:tabs>
          <w:tab w:val="num" w:pos="1107"/>
          <w:tab w:val="num" w:pos="1134"/>
        </w:tabs>
        <w:spacing w:after="0" w:line="240" w:lineRule="auto"/>
        <w:ind w:left="1107"/>
        <w:rPr>
          <w:rFonts w:eastAsia="Times New Roman" w:cs="Calibri Light"/>
        </w:rPr>
      </w:pPr>
      <w:r w:rsidRPr="003B2BA8">
        <w:rPr>
          <w:rFonts w:eastAsia="Times New Roman" w:cs="Calibri Light"/>
          <w:b/>
        </w:rPr>
        <w:t>Security suitability check for individuals:</w:t>
      </w:r>
      <w:r w:rsidRPr="003B2BA8">
        <w:rPr>
          <w:rFonts w:eastAsia="Times New Roman" w:cs="Calibri Light"/>
        </w:rPr>
        <w:t xml:space="preserve">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w:t>
      </w:r>
      <w:r w:rsidR="00D50BDF" w:rsidRPr="003B2BA8">
        <w:rPr>
          <w:rFonts w:eastAsia="Times New Roman" w:cs="Calibri Light"/>
        </w:rPr>
        <w:t>minimum-security</w:t>
      </w:r>
      <w:r w:rsidRPr="003B2BA8">
        <w:rPr>
          <w:rFonts w:eastAsia="Times New Roman" w:cs="Calibri Light"/>
        </w:rPr>
        <w:t xml:space="preserve"> requirements </w:t>
      </w:r>
      <w:r w:rsidRPr="003B2BA8">
        <w:rPr>
          <w:rFonts w:eastAsia="Times New Roman" w:cs="Calibri Light"/>
        </w:rPr>
        <w:lastRenderedPageBreak/>
        <w:t>and also to verify personal information. The supplier will be required to replace any employee(s) who is found to be not suitable after the conduct of the security screening. The following documentation will be required for the security suitability check:</w:t>
      </w:r>
    </w:p>
    <w:p w14:paraId="657490E5" w14:textId="77777777" w:rsidR="003B2BA8" w:rsidRPr="003B2BA8" w:rsidRDefault="003B2BA8" w:rsidP="002029E7">
      <w:pPr>
        <w:numPr>
          <w:ilvl w:val="2"/>
          <w:numId w:val="23"/>
        </w:numPr>
        <w:tabs>
          <w:tab w:val="num" w:pos="1701"/>
        </w:tabs>
        <w:spacing w:after="0" w:line="240" w:lineRule="auto"/>
        <w:rPr>
          <w:rFonts w:eastAsia="Times New Roman" w:cs="Calibri Light"/>
        </w:rPr>
      </w:pPr>
      <w:r w:rsidRPr="003B2BA8">
        <w:rPr>
          <w:rFonts w:eastAsia="Times New Roman" w:cs="Calibri Light"/>
        </w:rPr>
        <w:t>Copy of identity document;</w:t>
      </w:r>
    </w:p>
    <w:p w14:paraId="43E784D9" w14:textId="77777777" w:rsidR="003B2BA8" w:rsidRPr="003B2BA8" w:rsidRDefault="003B2BA8" w:rsidP="002029E7">
      <w:pPr>
        <w:numPr>
          <w:ilvl w:val="2"/>
          <w:numId w:val="23"/>
        </w:numPr>
        <w:tabs>
          <w:tab w:val="num" w:pos="1701"/>
        </w:tabs>
        <w:spacing w:after="0" w:line="240" w:lineRule="auto"/>
        <w:rPr>
          <w:rFonts w:eastAsia="Times New Roman" w:cs="Calibri Light"/>
        </w:rPr>
      </w:pPr>
      <w:r w:rsidRPr="003B2BA8">
        <w:rPr>
          <w:rFonts w:eastAsia="Times New Roman" w:cs="Calibri Light"/>
        </w:rPr>
        <w:t>Copy(ies) of qualification(s) if SITA requires verification thereof;</w:t>
      </w:r>
    </w:p>
    <w:p w14:paraId="23E042A3" w14:textId="77777777" w:rsidR="003B2BA8" w:rsidRPr="003B2BA8" w:rsidRDefault="003B2BA8" w:rsidP="002029E7">
      <w:pPr>
        <w:numPr>
          <w:ilvl w:val="2"/>
          <w:numId w:val="23"/>
        </w:numPr>
        <w:tabs>
          <w:tab w:val="num" w:pos="1701"/>
        </w:tabs>
        <w:spacing w:after="0" w:line="240" w:lineRule="auto"/>
        <w:rPr>
          <w:rFonts w:eastAsia="Times New Roman" w:cs="Calibri Light"/>
        </w:rPr>
      </w:pPr>
      <w:r w:rsidRPr="003B2BA8">
        <w:rPr>
          <w:rFonts w:eastAsia="Times New Roman" w:cs="Calibri Light"/>
        </w:rPr>
        <w:t>Fingerprints – will be taken electronically;</w:t>
      </w:r>
    </w:p>
    <w:p w14:paraId="6D693DD4" w14:textId="77777777" w:rsidR="003B2BA8" w:rsidRPr="003B2BA8" w:rsidRDefault="003B2BA8" w:rsidP="002029E7">
      <w:pPr>
        <w:numPr>
          <w:ilvl w:val="2"/>
          <w:numId w:val="23"/>
        </w:numPr>
        <w:tabs>
          <w:tab w:val="num" w:pos="1701"/>
        </w:tabs>
        <w:spacing w:after="0" w:line="240" w:lineRule="auto"/>
        <w:rPr>
          <w:rFonts w:eastAsia="Times New Roman" w:cs="Calibri Light"/>
        </w:rPr>
      </w:pPr>
      <w:r w:rsidRPr="003B2BA8">
        <w:rPr>
          <w:rFonts w:eastAsia="Times New Roman" w:cs="Calibri Light"/>
        </w:rPr>
        <w:t xml:space="preserve">Signed consent form for the conduct of background checks. </w:t>
      </w:r>
    </w:p>
    <w:p w14:paraId="09831C0C" w14:textId="77777777" w:rsidR="003B2BA8" w:rsidRDefault="003B2BA8" w:rsidP="002029E7">
      <w:pPr>
        <w:numPr>
          <w:ilvl w:val="1"/>
          <w:numId w:val="23"/>
        </w:numPr>
        <w:tabs>
          <w:tab w:val="num" w:pos="1107"/>
          <w:tab w:val="num" w:pos="1134"/>
        </w:tabs>
        <w:spacing w:after="0" w:line="240" w:lineRule="auto"/>
        <w:ind w:left="1107"/>
      </w:pPr>
      <w:r w:rsidRPr="003B2BA8">
        <w:rPr>
          <w:rFonts w:eastAsia="Times New Roman" w:cs="Calibri Light"/>
          <w:b/>
        </w:rPr>
        <w:t>Security</w:t>
      </w:r>
      <w:r w:rsidRPr="003B2BA8">
        <w:rPr>
          <w:rFonts w:eastAsia="Times New Roman" w:cs="Times New Roman"/>
        </w:rPr>
        <w:t xml:space="preserve"> </w:t>
      </w:r>
      <w:r w:rsidRPr="003B2BA8">
        <w:rPr>
          <w:rFonts w:eastAsia="Times New Roman" w:cs="Times New Roman"/>
          <w:b/>
        </w:rPr>
        <w:t>clearance:</w:t>
      </w:r>
      <w:r w:rsidRPr="003B2BA8">
        <w:rPr>
          <w:rFonts w:eastAsia="Times New Roman" w:cs="Times New Roman"/>
        </w:rPr>
        <w:t xml:space="preserv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r>
        <w:t xml:space="preserve"> </w:t>
      </w:r>
    </w:p>
    <w:p w14:paraId="70F8DFF0" w14:textId="4A646BA9" w:rsidR="005758C0" w:rsidRDefault="00A22E66" w:rsidP="00D62FDF">
      <w:pPr>
        <w:pStyle w:val="Heading4"/>
        <w:ind w:hanging="993"/>
        <w:jc w:val="both"/>
      </w:pPr>
      <w:r>
        <w:t>Confidentiality and non -disclosure conditions</w:t>
      </w:r>
    </w:p>
    <w:p w14:paraId="16B3F214" w14:textId="77777777" w:rsidR="005758C0" w:rsidRDefault="00A22E66" w:rsidP="002029E7">
      <w:pPr>
        <w:pStyle w:val="ListParagraph"/>
        <w:numPr>
          <w:ilvl w:val="0"/>
          <w:numId w:val="16"/>
        </w:numPr>
      </w:pPr>
      <w:r>
        <w:t>The Supplier, including its management and staff, must before commencement of the Contract, sign a non-disclosure agreement regarding Confidential Information</w:t>
      </w:r>
    </w:p>
    <w:p w14:paraId="105A99E6" w14:textId="77777777" w:rsidR="005758C0" w:rsidRDefault="00A22E66" w:rsidP="002029E7">
      <w:pPr>
        <w:pStyle w:val="ListParagraph"/>
        <w:numPr>
          <w:ilvl w:val="0"/>
          <w:numId w:val="16"/>
        </w:numPr>
      </w:pPr>
      <w: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7ECEBB9B" w14:textId="77777777" w:rsidR="005758C0" w:rsidRDefault="00A22E66" w:rsidP="002029E7">
      <w:pPr>
        <w:pStyle w:val="ListParagraph"/>
        <w:numPr>
          <w:ilvl w:val="1"/>
          <w:numId w:val="16"/>
        </w:numPr>
      </w:pPr>
      <w:r>
        <w:t>the Promotion of Access to Information Act, 2000 (Act no. 2 of 2000);</w:t>
      </w:r>
    </w:p>
    <w:p w14:paraId="5C002C35" w14:textId="77777777" w:rsidR="005758C0" w:rsidRDefault="00A22E66" w:rsidP="002029E7">
      <w:pPr>
        <w:pStyle w:val="ListParagraph"/>
        <w:numPr>
          <w:ilvl w:val="1"/>
          <w:numId w:val="16"/>
        </w:numPr>
      </w:pPr>
      <w:r>
        <w:t>being clearly marked "Confidential" and which is provided by one Party to another Party in terms of this Contract;</w:t>
      </w:r>
    </w:p>
    <w:p w14:paraId="0DACD3AF" w14:textId="77777777" w:rsidR="005758C0" w:rsidRDefault="00A22E66" w:rsidP="002029E7">
      <w:pPr>
        <w:pStyle w:val="ListParagraph"/>
        <w:numPr>
          <w:ilvl w:val="1"/>
          <w:numId w:val="16"/>
        </w:numPr>
      </w:pPr>
      <w:r>
        <w:t>being information or data, which one Party provides to another Party or to which a Party has access because of Services provided in terms of this Contract and in which a Party would have a reasonable expectation of confidentiality;</w:t>
      </w:r>
    </w:p>
    <w:p w14:paraId="3A419FAA" w14:textId="77777777" w:rsidR="005758C0" w:rsidRDefault="00A22E66" w:rsidP="002029E7">
      <w:pPr>
        <w:pStyle w:val="ListParagraph"/>
        <w:numPr>
          <w:ilvl w:val="1"/>
          <w:numId w:val="16"/>
        </w:numPr>
      </w:pPr>
      <w:r>
        <w:t>being information provided by one Party to another Party in the course of contractual or other negotiations, which could reasonably be expected to prejudice the right of the non-disclosing Party;</w:t>
      </w:r>
    </w:p>
    <w:p w14:paraId="0297145A" w14:textId="77777777" w:rsidR="005758C0" w:rsidRDefault="00A22E66" w:rsidP="002029E7">
      <w:pPr>
        <w:pStyle w:val="ListParagraph"/>
        <w:numPr>
          <w:ilvl w:val="1"/>
          <w:numId w:val="16"/>
        </w:numPr>
      </w:pPr>
      <w:r>
        <w:t>being information, the disclosure of which could reasonably be expected to endanger a life or physical security of a person;</w:t>
      </w:r>
    </w:p>
    <w:p w14:paraId="78F48121" w14:textId="77777777" w:rsidR="005758C0" w:rsidRDefault="00A22E66" w:rsidP="002029E7">
      <w:pPr>
        <w:pStyle w:val="ListParagraph"/>
        <w:numPr>
          <w:ilvl w:val="1"/>
          <w:numId w:val="16"/>
        </w:numPr>
      </w:pPr>
      <w:r>
        <w:t>being technical, scientific, commercial, financial and market-related information, know-how and trade secrets of a Party;</w:t>
      </w:r>
    </w:p>
    <w:p w14:paraId="570AD749" w14:textId="77777777" w:rsidR="005758C0" w:rsidRDefault="00A22E66" w:rsidP="002029E7">
      <w:pPr>
        <w:pStyle w:val="ListParagraph"/>
        <w:numPr>
          <w:ilvl w:val="1"/>
          <w:numId w:val="16"/>
        </w:numPr>
      </w:pPr>
      <w:r>
        <w:t>being financial, commercial, scientific or technical information, other than trade secrets, of a Party, the disclosure of which would be likely to cause harm to the commercial or financial interests of a non-disclosing Party; and</w:t>
      </w:r>
    </w:p>
    <w:p w14:paraId="55F1E582" w14:textId="77777777" w:rsidR="005758C0" w:rsidRDefault="00A22E66" w:rsidP="002029E7">
      <w:pPr>
        <w:pStyle w:val="ListParagraph"/>
        <w:numPr>
          <w:ilvl w:val="1"/>
          <w:numId w:val="16"/>
        </w:numPr>
      </w:pPr>
      <w:r>
        <w:t>being information supplied by a Party in confidence, the disclosure of which could reasonably be expected either to put the Party at a disadvantage in contractual or other negotiations or to prejudice the Party in commercial competition; or</w:t>
      </w:r>
    </w:p>
    <w:p w14:paraId="3BFE8BD6" w14:textId="77777777" w:rsidR="005758C0" w:rsidRDefault="00A22E66" w:rsidP="002029E7">
      <w:pPr>
        <w:pStyle w:val="ListParagraph"/>
        <w:numPr>
          <w:ilvl w:val="1"/>
          <w:numId w:val="16"/>
        </w:numPr>
      </w:pPr>
      <w:r>
        <w:t xml:space="preserve">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w:t>
      </w:r>
      <w:r>
        <w:lastRenderedPageBreak/>
        <w:t>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2F4761E4" w14:textId="77777777" w:rsidR="005758C0" w:rsidRDefault="00A22E66" w:rsidP="002029E7">
      <w:pPr>
        <w:pStyle w:val="ListParagraph"/>
        <w:numPr>
          <w:ilvl w:val="0"/>
          <w:numId w:val="16"/>
        </w:numPr>
      </w:pPr>
      <w:r>
        <w:t>Notwithstanding the provisions of this Contract, no Party is entitled to disclose Confidential Information, except where required to do so in terms of a law, without the prior written consent of any other Party having an interest in the disclosure;</w:t>
      </w:r>
    </w:p>
    <w:p w14:paraId="608336CD" w14:textId="77777777" w:rsidR="005758C0" w:rsidRDefault="00A22E66" w:rsidP="002029E7">
      <w:pPr>
        <w:pStyle w:val="ListParagraph"/>
        <w:numPr>
          <w:ilvl w:val="0"/>
          <w:numId w:val="16"/>
        </w:numPr>
      </w:pPr>
      <w: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24DA418C" w14:textId="77777777" w:rsidR="005758C0" w:rsidRDefault="00A22E66" w:rsidP="002029E7">
      <w:pPr>
        <w:pStyle w:val="ListParagraph"/>
        <w:numPr>
          <w:ilvl w:val="0"/>
          <w:numId w:val="16"/>
        </w:numPr>
      </w:pPr>
      <w: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641160FD" w14:textId="77777777" w:rsidR="005758C0" w:rsidRDefault="00A22E66" w:rsidP="00D62FDF">
      <w:pPr>
        <w:pStyle w:val="Heading4"/>
        <w:ind w:hanging="993"/>
        <w:jc w:val="both"/>
      </w:pPr>
      <w:r>
        <w:t>Guarantee and warranties</w:t>
      </w:r>
    </w:p>
    <w:p w14:paraId="09C2AE8B" w14:textId="77777777" w:rsidR="005758C0" w:rsidRDefault="00A22E66" w:rsidP="002029E7">
      <w:pPr>
        <w:pStyle w:val="ListParagraph"/>
        <w:numPr>
          <w:ilvl w:val="0"/>
          <w:numId w:val="17"/>
        </w:numPr>
      </w:pPr>
      <w:r>
        <w:t>The supplier confirms that:</w:t>
      </w:r>
    </w:p>
    <w:p w14:paraId="0CAEBBCD" w14:textId="7B0899A6" w:rsidR="005758C0" w:rsidRDefault="00A22E66" w:rsidP="002029E7">
      <w:pPr>
        <w:pStyle w:val="ListParagraph"/>
        <w:numPr>
          <w:ilvl w:val="1"/>
          <w:numId w:val="17"/>
        </w:numPr>
      </w:pPr>
      <w:r>
        <w:t xml:space="preserve">The warranty of goods supplied under this contract remains valid for the duration of the contract after the goods were delivered, installed and commissioned with a sign off, including the </w:t>
      </w:r>
      <w:r w:rsidR="00D50BDF">
        <w:t>client’s</w:t>
      </w:r>
      <w:r>
        <w:t xml:space="preserve"> signature</w:t>
      </w:r>
    </w:p>
    <w:p w14:paraId="26676EE2" w14:textId="77777777" w:rsidR="005758C0" w:rsidRDefault="00A22E66" w:rsidP="002029E7">
      <w:pPr>
        <w:pStyle w:val="ListParagraph"/>
        <w:numPr>
          <w:ilvl w:val="1"/>
          <w:numId w:val="17"/>
        </w:numPr>
      </w:pPr>
      <w:r>
        <w:t>as at Commencement Date, it has the rights, title and interest in and to the Product or Services to deliver such Product or Services in terms of the Contract and that such rights are free from any encumbrances whatsoever;</w:t>
      </w:r>
    </w:p>
    <w:p w14:paraId="69158B8C" w14:textId="77777777" w:rsidR="005758C0" w:rsidRDefault="00A22E66" w:rsidP="002029E7">
      <w:pPr>
        <w:pStyle w:val="ListParagraph"/>
        <w:numPr>
          <w:ilvl w:val="1"/>
          <w:numId w:val="17"/>
        </w:numPr>
      </w:pPr>
      <w:r>
        <w:t>the Product is in good working order, free from Defects in material and workmanship, and substantially conforms to the Specifications, for the duration of the Warranty period;</w:t>
      </w:r>
    </w:p>
    <w:p w14:paraId="7A976394" w14:textId="77777777" w:rsidR="005758C0" w:rsidRDefault="00A22E66" w:rsidP="00D62FDF">
      <w:pPr>
        <w:pStyle w:val="Heading4"/>
        <w:ind w:hanging="993"/>
        <w:jc w:val="both"/>
      </w:pPr>
      <w:r>
        <w:t>Intellectual Property Rights</w:t>
      </w:r>
    </w:p>
    <w:p w14:paraId="1CD43049" w14:textId="77777777" w:rsidR="005758C0" w:rsidRDefault="00A22E66" w:rsidP="002029E7">
      <w:pPr>
        <w:pStyle w:val="ListParagraph"/>
        <w:numPr>
          <w:ilvl w:val="0"/>
          <w:numId w:val="18"/>
        </w:numPr>
      </w:pPr>
      <w: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134D1C64" w14:textId="77777777" w:rsidR="005758C0" w:rsidRDefault="00A22E66" w:rsidP="002029E7">
      <w:pPr>
        <w:pStyle w:val="ListParagraph"/>
        <w:numPr>
          <w:ilvl w:val="1"/>
          <w:numId w:val="18"/>
        </w:numPr>
      </w:pPr>
      <w:r>
        <w:t xml:space="preserve">termination or expiration date of this Contract; </w:t>
      </w:r>
    </w:p>
    <w:p w14:paraId="1046E0D4" w14:textId="77777777" w:rsidR="005758C0" w:rsidRDefault="00A22E66" w:rsidP="002029E7">
      <w:pPr>
        <w:pStyle w:val="ListParagraph"/>
        <w:numPr>
          <w:ilvl w:val="1"/>
          <w:numId w:val="18"/>
        </w:numPr>
      </w:pPr>
      <w:r>
        <w:t xml:space="preserve">the date of completion of the Services; and </w:t>
      </w:r>
    </w:p>
    <w:p w14:paraId="0A2BD6D9" w14:textId="77777777" w:rsidR="005758C0" w:rsidRDefault="00A22E66" w:rsidP="002029E7">
      <w:pPr>
        <w:pStyle w:val="ListParagraph"/>
        <w:numPr>
          <w:ilvl w:val="1"/>
          <w:numId w:val="18"/>
        </w:numPr>
      </w:pPr>
      <w:r>
        <w:t>the date of rendering of the last of the Deliverables</w:t>
      </w:r>
    </w:p>
    <w:p w14:paraId="4EDDEE4A" w14:textId="77777777" w:rsidR="005758C0" w:rsidRDefault="00A22E66" w:rsidP="002029E7">
      <w:pPr>
        <w:pStyle w:val="ListParagraph"/>
        <w:numPr>
          <w:ilvl w:val="0"/>
          <w:numId w:val="18"/>
        </w:numPr>
      </w:pPr>
      <w:r>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330B7436" w14:textId="77777777" w:rsidR="005758C0" w:rsidRDefault="00A22E66" w:rsidP="002029E7">
      <w:pPr>
        <w:pStyle w:val="ListParagraph"/>
        <w:numPr>
          <w:ilvl w:val="0"/>
          <w:numId w:val="18"/>
        </w:numPr>
      </w:pPr>
      <w:r>
        <w:t xml:space="preserve">SITA, at all times, owns all Intellectual Property Rights in and to all Bespoke Intellectual Property. </w:t>
      </w:r>
    </w:p>
    <w:p w14:paraId="59760199" w14:textId="77777777" w:rsidR="005758C0" w:rsidRDefault="00A22E66" w:rsidP="002029E7">
      <w:pPr>
        <w:pStyle w:val="ListParagraph"/>
        <w:numPr>
          <w:ilvl w:val="0"/>
          <w:numId w:val="18"/>
        </w:numPr>
      </w:pPr>
      <w:r>
        <w:lastRenderedPageBreak/>
        <w:t>Save for the license granted in terms of this Contract, the Supplier retains all Intellectual Property Rights in and to the Supplier’s pre-existing Intellectual Property that is used or supplied in connection with the Products or Services</w:t>
      </w:r>
    </w:p>
    <w:p w14:paraId="1F283D73" w14:textId="77777777" w:rsidR="005758C0" w:rsidRDefault="00A22E66" w:rsidP="002029E7">
      <w:pPr>
        <w:pStyle w:val="ListParagraph"/>
        <w:numPr>
          <w:ilvl w:val="0"/>
          <w:numId w:val="18"/>
        </w:numPr>
      </w:pPr>
      <w:r>
        <w:t>Provide SITA with the compliant Occupational Health and Safety File (required on site for period of installation and proof of compliance).</w:t>
      </w:r>
    </w:p>
    <w:p w14:paraId="6BC49CD2" w14:textId="77777777" w:rsidR="005758C0" w:rsidRDefault="00A22E66" w:rsidP="00D62FDF">
      <w:pPr>
        <w:pStyle w:val="Heading4"/>
        <w:ind w:hanging="993"/>
        <w:jc w:val="both"/>
      </w:pPr>
      <w:r>
        <w:t>Counter Conditions</w:t>
      </w:r>
    </w:p>
    <w:p w14:paraId="70C10432" w14:textId="77777777" w:rsidR="005758C0" w:rsidRDefault="00A22E66" w:rsidP="002029E7">
      <w:pPr>
        <w:pStyle w:val="ListParagraph"/>
        <w:ind w:left="1134"/>
      </w:pPr>
      <w:r>
        <w:t>Bidders’ attention is drawn to the fact that amendments to any of the Bid Conditions or setting of counter conditions by bidders may result in the invalidation of such bids.</w:t>
      </w:r>
    </w:p>
    <w:p w14:paraId="37CADF30" w14:textId="77777777" w:rsidR="005758C0" w:rsidRDefault="00A22E66" w:rsidP="00D62FDF">
      <w:pPr>
        <w:pStyle w:val="Heading4"/>
        <w:ind w:hanging="993"/>
        <w:jc w:val="both"/>
      </w:pPr>
      <w:r>
        <w:t>Fronting</w:t>
      </w:r>
    </w:p>
    <w:p w14:paraId="7CE0F300" w14:textId="77777777" w:rsidR="005758C0" w:rsidRDefault="00A22E66" w:rsidP="002029E7">
      <w:pPr>
        <w:pStyle w:val="ListParagraph"/>
        <w:numPr>
          <w:ilvl w:val="0"/>
          <w:numId w:val="19"/>
        </w:numPr>
      </w:pPr>
      <w: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5CD73A8A" w14:textId="77777777" w:rsidR="005758C0" w:rsidRDefault="00A22E66" w:rsidP="002029E7">
      <w:pPr>
        <w:pStyle w:val="ListParagraph"/>
        <w:numPr>
          <w:ilvl w:val="0"/>
          <w:numId w:val="19"/>
        </w:numPr>
      </w:pPr>
      <w: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47ED9D91" w14:textId="77777777" w:rsidR="005758C0" w:rsidRDefault="00A22E66" w:rsidP="00D62FDF">
      <w:pPr>
        <w:pStyle w:val="Heading4"/>
        <w:ind w:hanging="993"/>
        <w:jc w:val="both"/>
      </w:pPr>
      <w:r>
        <w:t>Business Continuity and Disaster Recovery Plans</w:t>
      </w:r>
    </w:p>
    <w:p w14:paraId="01C2B0ED" w14:textId="77777777" w:rsidR="005758C0" w:rsidRDefault="00A22E66" w:rsidP="002029E7">
      <w:pPr>
        <w:pStyle w:val="ListParagraph"/>
        <w:numPr>
          <w:ilvl w:val="0"/>
          <w:numId w:val="20"/>
        </w:numPr>
      </w:pPr>
      <w: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250A2122" w14:textId="77777777" w:rsidR="005758C0" w:rsidRDefault="00A22E66" w:rsidP="00D62FDF">
      <w:pPr>
        <w:pStyle w:val="Heading4"/>
        <w:ind w:hanging="993"/>
        <w:jc w:val="both"/>
      </w:pPr>
      <w:r>
        <w:t>Supplier Due Diligence</w:t>
      </w:r>
    </w:p>
    <w:p w14:paraId="10A5CF34" w14:textId="77777777" w:rsidR="005758C0" w:rsidRDefault="00A22E66" w:rsidP="002029E7">
      <w:pPr>
        <w:pStyle w:val="ListParagraph"/>
        <w:numPr>
          <w:ilvl w:val="0"/>
          <w:numId w:val="21"/>
        </w:numPr>
      </w:pPr>
      <w:r>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440AAAB3" w14:textId="77777777" w:rsidR="005758C0" w:rsidRDefault="00A22E66" w:rsidP="00D62FDF">
      <w:pPr>
        <w:pStyle w:val="Heading4"/>
        <w:ind w:hanging="993"/>
        <w:jc w:val="both"/>
      </w:pPr>
      <w:r>
        <w:t>Preference Goal Requirements conditions</w:t>
      </w:r>
    </w:p>
    <w:p w14:paraId="68436054" w14:textId="77777777" w:rsidR="005758C0" w:rsidRDefault="00A22E66" w:rsidP="002029E7">
      <w:pPr>
        <w:pStyle w:val="ListParagraph"/>
        <w:numPr>
          <w:ilvl w:val="0"/>
          <w:numId w:val="22"/>
        </w:numPr>
      </w:pPr>
      <w:r>
        <w:t>The Bidder’s commitment for the Preference Goal Requirements in this tender will be legally binding and the Bidder needs to perform against their commitment for the duration of the contract which will form part of the Contractual Agreement.</w:t>
      </w:r>
    </w:p>
    <w:p w14:paraId="7BD36568" w14:textId="77777777" w:rsidR="005758C0" w:rsidRDefault="00A22E66" w:rsidP="002029E7">
      <w:pPr>
        <w:pStyle w:val="ListParagraph"/>
        <w:numPr>
          <w:ilvl w:val="0"/>
          <w:numId w:val="22"/>
        </w:numPr>
      </w:pPr>
      <w:r>
        <w:t>The Bidder must sustain, or improve the company’s BBBEE Level for the duration of the contact which will form part of the Contractual Agreement.</w:t>
      </w:r>
    </w:p>
    <w:p w14:paraId="77E64063" w14:textId="77777777" w:rsidR="005758C0" w:rsidRDefault="00A22E66" w:rsidP="002029E7">
      <w:pPr>
        <w:pStyle w:val="ListParagraph"/>
        <w:numPr>
          <w:ilvl w:val="0"/>
          <w:numId w:val="22"/>
        </w:numPr>
      </w:pPr>
      <w:r>
        <w:t>Performance of Preference Goal Requirements will be determined annually. Bidders must submit their Preference status report indicating progress against the Bidder’s Preferential commitments within 30 days of the yearly anniversary of the contract.</w:t>
      </w:r>
    </w:p>
    <w:p w14:paraId="57410EAC" w14:textId="77777777" w:rsidR="005758C0" w:rsidRDefault="00A22E66" w:rsidP="002029E7">
      <w:pPr>
        <w:pStyle w:val="ListParagraph"/>
        <w:numPr>
          <w:ilvl w:val="0"/>
          <w:numId w:val="22"/>
        </w:numPr>
      </w:pPr>
      <w:r>
        <w:lastRenderedPageBreak/>
        <w:t>Bidders need to keep auditable substantive records / evidence and upon request by SITA/Department must be made available for audit and, or due diligence purposes.</w:t>
      </w:r>
    </w:p>
    <w:p w14:paraId="75DCCE4C" w14:textId="77777777" w:rsidR="005758C0" w:rsidRDefault="00A22E66" w:rsidP="002029E7">
      <w:pPr>
        <w:pStyle w:val="ListParagraph"/>
        <w:numPr>
          <w:ilvl w:val="0"/>
          <w:numId w:val="22"/>
        </w:numPr>
      </w:pPr>
      <w:r>
        <w:t>SITA reserves the right to require from a Bidder, either before a bid is adjudicated or at any time subsequently, to substantiate any claim with regards to preferences, in any manner required by SITA.</w:t>
      </w:r>
    </w:p>
    <w:p w14:paraId="32E33671" w14:textId="77777777" w:rsidR="005758C0" w:rsidRDefault="00A22E66" w:rsidP="002029E7">
      <w:pPr>
        <w:pStyle w:val="ListParagraph"/>
        <w:numPr>
          <w:ilvl w:val="0"/>
          <w:numId w:val="22"/>
        </w:numPr>
      </w:pPr>
      <w:r>
        <w:t>SITA reserves the right to verify information / evidence provided by the Bidder.</w:t>
      </w:r>
    </w:p>
    <w:p w14:paraId="51AC5834" w14:textId="77777777" w:rsidR="005758C0" w:rsidRDefault="00A22E66" w:rsidP="002029E7">
      <w:pPr>
        <w:pStyle w:val="ListParagraph"/>
        <w:numPr>
          <w:ilvl w:val="0"/>
          <w:numId w:val="22"/>
        </w:numPr>
      </w:pPr>
      <w:r>
        <w:t xml:space="preserve">SITA/Department reserves the right to introduce a </w:t>
      </w:r>
      <w:r>
        <w:rPr>
          <w:b/>
          <w:bCs/>
        </w:rPr>
        <w:t>penalty of 1%</w:t>
      </w:r>
      <w:r>
        <w:t xml:space="preserve"> of the overall annual year spent by SITA/Department for the prior year if the Bidder fails to comply to </w:t>
      </w:r>
      <w:r>
        <w:rPr>
          <w:b/>
          <w:bCs/>
        </w:rPr>
        <w:t>paragraphs (a), (b) and (c) above</w:t>
      </w:r>
      <w:r>
        <w:t>.</w:t>
      </w:r>
    </w:p>
    <w:p w14:paraId="5BC0A3D9" w14:textId="77777777" w:rsidR="005758C0" w:rsidRDefault="00A22E66" w:rsidP="00D62FDF">
      <w:pPr>
        <w:pStyle w:val="Heading4"/>
        <w:ind w:hanging="993"/>
        <w:jc w:val="both"/>
      </w:pPr>
      <w:bookmarkStart w:id="27" w:name="_Toc106894479"/>
      <w:bookmarkStart w:id="28" w:name="_Toc161437019"/>
      <w:r>
        <w:t>Declaration of compliance and acceptance SCC</w:t>
      </w:r>
      <w:bookmarkEnd w:id="27"/>
      <w:bookmarkEnd w:id="28"/>
    </w:p>
    <w:p w14:paraId="1FF6597B" w14:textId="77777777" w:rsidR="00D62FDF" w:rsidRPr="00D62FDF" w:rsidRDefault="00D62FDF" w:rsidP="00D62FDF">
      <w:pPr>
        <w:rPr>
          <w:lang w:val="en-GB"/>
        </w:rPr>
      </w:pPr>
    </w:p>
    <w:p w14:paraId="085A9753" w14:textId="02F79D07" w:rsidR="005758C0" w:rsidRDefault="00A22E66" w:rsidP="00D62FDF">
      <w:pPr>
        <w:ind w:left="284"/>
        <w:rPr>
          <w:lang w:val="en-GB"/>
        </w:rPr>
      </w:pPr>
      <w:r>
        <w:rPr>
          <w:lang w:val="en-GB"/>
        </w:rPr>
        <w:t xml:space="preserve">I (we), the bidder hereby </w:t>
      </w:r>
      <w:r w:rsidR="00D50BDF">
        <w:rPr>
          <w:lang w:val="en-GB"/>
        </w:rPr>
        <w:t>declares</w:t>
      </w:r>
      <w:r>
        <w:rPr>
          <w:lang w:val="en-GB"/>
        </w:rPr>
        <w:t xml:space="preserve"> that I (we) accept ALL the Special Conditions of Contract as specified in par 4.3.2 above and shall comply with all stated obligations:</w:t>
      </w:r>
    </w:p>
    <w:p w14:paraId="166BF650" w14:textId="77777777" w:rsidR="005758C0" w:rsidRDefault="005758C0" w:rsidP="002029E7">
      <w:pPr>
        <w:rPr>
          <w:lang w:val="en-GB"/>
        </w:rPr>
      </w:pPr>
    </w:p>
    <w:p w14:paraId="46D52684" w14:textId="4DAE822C" w:rsidR="005758C0" w:rsidRDefault="00A22E66" w:rsidP="00D62FDF">
      <w:pPr>
        <w:ind w:left="284"/>
        <w:rPr>
          <w:lang w:val="en-GB"/>
        </w:rPr>
      </w:pPr>
      <w:r>
        <w:rPr>
          <w:lang w:val="en-GB"/>
        </w:rPr>
        <w:t xml:space="preserve">Name of </w:t>
      </w:r>
      <w:r w:rsidR="00D62FDF">
        <w:rPr>
          <w:lang w:val="en-GB"/>
        </w:rPr>
        <w:t>Bidder: _</w:t>
      </w:r>
      <w:r>
        <w:rPr>
          <w:lang w:val="en-GB"/>
        </w:rPr>
        <w:t>____________________________</w:t>
      </w:r>
      <w:r>
        <w:rPr>
          <w:lang w:val="en-GB"/>
        </w:rPr>
        <w:tab/>
        <w:t>Signature: _________________________</w:t>
      </w:r>
    </w:p>
    <w:p w14:paraId="7A336C6B" w14:textId="77777777" w:rsidR="005758C0" w:rsidRDefault="005758C0" w:rsidP="002029E7"/>
    <w:p w14:paraId="21D3363D" w14:textId="77777777" w:rsidR="005758C0" w:rsidRDefault="00A22E66" w:rsidP="00D62FDF">
      <w:pPr>
        <w:ind w:left="284"/>
      </w:pPr>
      <w:r>
        <w:t>Date:______________</w:t>
      </w:r>
    </w:p>
    <w:p w14:paraId="3ED49542" w14:textId="77777777" w:rsidR="005758C0" w:rsidRDefault="005758C0" w:rsidP="002029E7"/>
    <w:p w14:paraId="10E8C930" w14:textId="0AF4ED54" w:rsidR="00935E13" w:rsidRPr="00D62FDF" w:rsidRDefault="00D62FDF" w:rsidP="002029E7">
      <w:pPr>
        <w:pStyle w:val="Heading1"/>
        <w:jc w:val="both"/>
        <w:rPr>
          <w:sz w:val="24"/>
          <w:szCs w:val="24"/>
        </w:rPr>
      </w:pPr>
      <w:bookmarkStart w:id="29" w:name="_Toc160095053"/>
      <w:r w:rsidRPr="00D62FDF">
        <w:rPr>
          <w:sz w:val="24"/>
          <w:szCs w:val="24"/>
        </w:rPr>
        <w:t xml:space="preserve"> </w:t>
      </w:r>
      <w:bookmarkStart w:id="30" w:name="_Toc161437020"/>
      <w:r w:rsidRPr="00D62FDF">
        <w:rPr>
          <w:sz w:val="24"/>
          <w:szCs w:val="24"/>
        </w:rPr>
        <w:t>PRICE AND PREFERENCE POINTS EVALUATION (STAGE 4)</w:t>
      </w:r>
      <w:bookmarkEnd w:id="29"/>
      <w:bookmarkEnd w:id="30"/>
    </w:p>
    <w:p w14:paraId="4D7AE245" w14:textId="77777777" w:rsidR="00935E13" w:rsidRPr="00D62FDF" w:rsidRDefault="00935E13" w:rsidP="00D62FDF">
      <w:pPr>
        <w:pStyle w:val="Heading2"/>
        <w:ind w:left="142" w:firstLine="0"/>
        <w:jc w:val="both"/>
        <w:rPr>
          <w:sz w:val="24"/>
          <w:szCs w:val="24"/>
        </w:rPr>
      </w:pPr>
      <w:bookmarkStart w:id="31" w:name="_Toc160095054"/>
      <w:r w:rsidRPr="00D62FDF">
        <w:rPr>
          <w:sz w:val="24"/>
          <w:szCs w:val="24"/>
        </w:rPr>
        <w:t>Bid Pricing Schedule</w:t>
      </w:r>
      <w:bookmarkEnd w:id="31"/>
    </w:p>
    <w:p w14:paraId="7E4754DE" w14:textId="77777777" w:rsidR="00935E13" w:rsidRPr="00935E13" w:rsidRDefault="00935E13" w:rsidP="00D95F72">
      <w:pPr>
        <w:numPr>
          <w:ilvl w:val="0"/>
          <w:numId w:val="27"/>
        </w:numPr>
        <w:spacing w:after="0"/>
        <w:outlineLvl w:val="0"/>
        <w:rPr>
          <w:rFonts w:eastAsia="Calibri Light" w:cs="Times New Roman"/>
          <w:sz w:val="20"/>
          <w:szCs w:val="20"/>
          <w:lang w:eastAsia="en-ZA"/>
        </w:rPr>
      </w:pPr>
      <w:r w:rsidRPr="00935E13">
        <w:rPr>
          <w:rFonts w:eastAsia="Calibri Light" w:cs="Times New Roman"/>
          <w:sz w:val="20"/>
          <w:szCs w:val="20"/>
          <w:lang w:eastAsia="en-ZA"/>
        </w:rPr>
        <w:t>Bidders must complete the bid pricing schedule in the Excel spreadsheet format provided and include this as part their submission.</w:t>
      </w:r>
    </w:p>
    <w:p w14:paraId="118FC6C2" w14:textId="77777777" w:rsidR="00935E13" w:rsidRPr="00D62FDF" w:rsidRDefault="00935E13" w:rsidP="00D62FDF">
      <w:pPr>
        <w:pStyle w:val="Heading3"/>
        <w:ind w:hanging="425"/>
      </w:pPr>
      <w:bookmarkStart w:id="32" w:name="_Toc160095055"/>
      <w:r w:rsidRPr="00D62FDF">
        <w:t>Costing and Pricing Conditions</w:t>
      </w:r>
      <w:bookmarkEnd w:id="32"/>
    </w:p>
    <w:p w14:paraId="53C8A890" w14:textId="77777777" w:rsidR="00935E13" w:rsidRPr="00D50BDF" w:rsidRDefault="00935E13" w:rsidP="00D95F72">
      <w:pPr>
        <w:numPr>
          <w:ilvl w:val="0"/>
          <w:numId w:val="28"/>
        </w:numPr>
        <w:spacing w:after="0"/>
        <w:outlineLvl w:val="0"/>
        <w:rPr>
          <w:rFonts w:eastAsia="Calibri Light" w:cs="Times New Roman"/>
          <w:sz w:val="20"/>
          <w:szCs w:val="20"/>
          <w:lang w:eastAsia="en-ZA"/>
        </w:rPr>
      </w:pPr>
      <w:r w:rsidRPr="0096352C">
        <w:rPr>
          <w:rFonts w:eastAsia="Calibri Light" w:cs="Times New Roman"/>
          <w:bCs/>
          <w:sz w:val="20"/>
          <w:szCs w:val="20"/>
          <w:lang w:eastAsia="en-ZA"/>
        </w:rPr>
        <w:t>South African Pricing</w:t>
      </w:r>
      <w:r w:rsidRPr="00D50BDF">
        <w:rPr>
          <w:rFonts w:eastAsia="Calibri Light" w:cs="Times New Roman"/>
          <w:sz w:val="20"/>
          <w:szCs w:val="20"/>
          <w:lang w:eastAsia="en-ZA"/>
        </w:rPr>
        <w:t xml:space="preserve"> - The total price must be VAT inclusive and be quoted in South African Rand (ZAR).</w:t>
      </w:r>
    </w:p>
    <w:p w14:paraId="53F77CF8" w14:textId="77777777" w:rsidR="00935E13" w:rsidRPr="0096352C" w:rsidRDefault="00935E13" w:rsidP="00D95F72">
      <w:pPr>
        <w:numPr>
          <w:ilvl w:val="0"/>
          <w:numId w:val="28"/>
        </w:numPr>
        <w:spacing w:after="0"/>
        <w:outlineLvl w:val="0"/>
        <w:rPr>
          <w:rFonts w:eastAsia="Calibri Light" w:cs="Times New Roman"/>
          <w:bCs/>
          <w:sz w:val="20"/>
          <w:szCs w:val="20"/>
          <w:lang w:eastAsia="en-ZA"/>
        </w:rPr>
      </w:pPr>
      <w:r w:rsidRPr="0096352C">
        <w:rPr>
          <w:rFonts w:eastAsia="Calibri Light" w:cs="Times New Roman"/>
          <w:bCs/>
          <w:sz w:val="20"/>
          <w:szCs w:val="20"/>
          <w:lang w:eastAsia="en-ZA"/>
        </w:rPr>
        <w:t>Total Price</w:t>
      </w:r>
    </w:p>
    <w:p w14:paraId="58821C12" w14:textId="77777777" w:rsidR="00935E13" w:rsidRPr="00935E13" w:rsidRDefault="00935E13" w:rsidP="00D95F72">
      <w:pPr>
        <w:numPr>
          <w:ilvl w:val="1"/>
          <w:numId w:val="28"/>
        </w:numPr>
        <w:spacing w:after="0"/>
        <w:outlineLvl w:val="0"/>
        <w:rPr>
          <w:rFonts w:eastAsia="Calibri Light" w:cs="Times New Roman"/>
          <w:sz w:val="20"/>
          <w:szCs w:val="20"/>
          <w:lang w:eastAsia="en-ZA"/>
        </w:rPr>
      </w:pPr>
      <w:r w:rsidRPr="00D50BDF">
        <w:rPr>
          <w:rFonts w:eastAsia="Calibri Light" w:cs="Times New Roman"/>
          <w:sz w:val="20"/>
          <w:szCs w:val="20"/>
          <w:lang w:eastAsia="en-ZA"/>
        </w:rPr>
        <w:t>All quoted</w:t>
      </w:r>
      <w:r w:rsidRPr="00935E13">
        <w:rPr>
          <w:rFonts w:eastAsia="Calibri Light" w:cs="Times New Roman"/>
          <w:sz w:val="20"/>
          <w:szCs w:val="20"/>
          <w:lang w:eastAsia="en-ZA"/>
        </w:rPr>
        <w:t xml:space="preserve"> prices are the total price for the entire scope of required services and deliverables to be provided by the bidder.</w:t>
      </w:r>
    </w:p>
    <w:p w14:paraId="127BC08C" w14:textId="77777777" w:rsidR="00935E13" w:rsidRPr="00935E13" w:rsidRDefault="00935E13" w:rsidP="00D95F72">
      <w:pPr>
        <w:numPr>
          <w:ilvl w:val="1"/>
          <w:numId w:val="28"/>
        </w:numPr>
        <w:spacing w:after="0"/>
        <w:outlineLvl w:val="0"/>
        <w:rPr>
          <w:rFonts w:eastAsia="Calibri Light" w:cs="Times New Roman"/>
          <w:sz w:val="20"/>
          <w:szCs w:val="20"/>
          <w:lang w:eastAsia="en-ZA"/>
        </w:rPr>
      </w:pPr>
      <w:r w:rsidRPr="00935E13">
        <w:rPr>
          <w:rFonts w:eastAsia="Calibri Light" w:cs="Times New Roman"/>
          <w:sz w:val="20"/>
          <w:szCs w:val="20"/>
          <w:lang w:eastAsia="en-ZA"/>
        </w:rPr>
        <w:t>All additional costs as well as cost of delivery, labour, S&amp;T, overtime, etc. must be included in this bid.</w:t>
      </w:r>
    </w:p>
    <w:p w14:paraId="309684D1" w14:textId="77777777" w:rsidR="00935E13" w:rsidRPr="00935E13" w:rsidRDefault="00935E13" w:rsidP="00D95F72">
      <w:pPr>
        <w:numPr>
          <w:ilvl w:val="1"/>
          <w:numId w:val="28"/>
        </w:numPr>
        <w:spacing w:after="0"/>
        <w:outlineLvl w:val="0"/>
        <w:rPr>
          <w:rFonts w:eastAsia="Calibri Light" w:cs="Times New Roman"/>
          <w:sz w:val="20"/>
          <w:szCs w:val="20"/>
          <w:lang w:eastAsia="en-ZA"/>
        </w:rPr>
      </w:pPr>
      <w:r w:rsidRPr="00935E13">
        <w:rPr>
          <w:rFonts w:eastAsia="Calibri Light" w:cs="Times New Roman"/>
          <w:sz w:val="20"/>
          <w:szCs w:val="20"/>
          <w:lang w:eastAsia="en-ZA"/>
        </w:rPr>
        <w:t>All services, accessories, upgrades and options required by the solution or specified by the client must be included in the quoted price. If not included, suppliers will be required to supply these accessories at no cost to the client.</w:t>
      </w:r>
    </w:p>
    <w:p w14:paraId="1972041E" w14:textId="77777777" w:rsidR="00935E13" w:rsidRPr="00935E13" w:rsidRDefault="00935E13" w:rsidP="00D95F72">
      <w:pPr>
        <w:numPr>
          <w:ilvl w:val="1"/>
          <w:numId w:val="28"/>
        </w:numPr>
        <w:spacing w:after="0"/>
        <w:outlineLvl w:val="0"/>
        <w:rPr>
          <w:rFonts w:eastAsia="Calibri Light" w:cs="Times New Roman"/>
          <w:sz w:val="20"/>
          <w:szCs w:val="20"/>
          <w:u w:val="single"/>
          <w:lang w:eastAsia="en-ZA"/>
        </w:rPr>
      </w:pPr>
      <w:r w:rsidRPr="00935E13">
        <w:rPr>
          <w:rFonts w:eastAsia="Calibri Light" w:cs="Times New Roman"/>
          <w:sz w:val="20"/>
          <w:szCs w:val="20"/>
          <w:u w:val="single"/>
          <w:lang w:eastAsia="en-ZA"/>
        </w:rPr>
        <w:t>SITA reserves the right to negotiate pricing with the successful bidder prior to the award as well as envisaged quantities</w:t>
      </w:r>
    </w:p>
    <w:p w14:paraId="4614C399" w14:textId="77777777" w:rsidR="00935E13" w:rsidRPr="0089122A" w:rsidRDefault="00935E13" w:rsidP="00D95F72">
      <w:pPr>
        <w:numPr>
          <w:ilvl w:val="0"/>
          <w:numId w:val="28"/>
        </w:numPr>
        <w:spacing w:after="0"/>
        <w:outlineLvl w:val="0"/>
        <w:rPr>
          <w:rFonts w:eastAsia="Calibri Light" w:cs="Times New Roman"/>
          <w:bCs/>
          <w:sz w:val="20"/>
          <w:szCs w:val="20"/>
          <w:lang w:eastAsia="en-ZA"/>
        </w:rPr>
      </w:pPr>
      <w:r w:rsidRPr="0089122A">
        <w:rPr>
          <w:rFonts w:eastAsia="Calibri Light" w:cs="Times New Roman"/>
          <w:bCs/>
          <w:sz w:val="20"/>
          <w:szCs w:val="20"/>
          <w:lang w:eastAsia="en-ZA"/>
        </w:rPr>
        <w:t>These conditions will form part of the Contract between SITA and the bidder. However, SITA reserves the right to include or waive the condition in the Contract.</w:t>
      </w:r>
    </w:p>
    <w:p w14:paraId="25A0901D" w14:textId="6BCE3A70" w:rsidR="00935E13" w:rsidRPr="0089122A" w:rsidRDefault="00935E13" w:rsidP="00D95F72">
      <w:pPr>
        <w:numPr>
          <w:ilvl w:val="0"/>
          <w:numId w:val="28"/>
        </w:numPr>
        <w:spacing w:after="0"/>
        <w:outlineLvl w:val="0"/>
        <w:rPr>
          <w:rFonts w:eastAsia="Calibri Light" w:cs="Times New Roman"/>
          <w:bCs/>
          <w:sz w:val="20"/>
          <w:szCs w:val="20"/>
          <w:lang w:eastAsia="en-ZA"/>
        </w:rPr>
      </w:pPr>
      <w:r w:rsidRPr="0089122A">
        <w:rPr>
          <w:rFonts w:eastAsia="Calibri Light" w:cs="Times New Roman"/>
          <w:bCs/>
          <w:sz w:val="20"/>
          <w:szCs w:val="20"/>
          <w:lang w:eastAsia="en-ZA"/>
        </w:rPr>
        <w:t xml:space="preserve">The bidder must complete the declaration of acceptance as per par 5.2 below by marking with an “X” either “ACCEPT ALL”, or “DO NOT ACCEPT ALL”, failing which the declaration will be regarded as “DO NOT ACCEPT ALL” and the bid will be disqualified. </w:t>
      </w:r>
    </w:p>
    <w:p w14:paraId="1BC55F9C" w14:textId="77777777" w:rsidR="00935E13" w:rsidRPr="00D62FDF" w:rsidRDefault="00935E13" w:rsidP="00D62FDF">
      <w:pPr>
        <w:pStyle w:val="Heading3"/>
        <w:ind w:hanging="425"/>
      </w:pPr>
      <w:bookmarkStart w:id="33" w:name="_Toc80563735"/>
      <w:bookmarkStart w:id="34" w:name="_Toc72441262"/>
      <w:bookmarkStart w:id="35" w:name="_Toc160095056"/>
      <w:r w:rsidRPr="00D62FDF">
        <w:t>R</w:t>
      </w:r>
      <w:bookmarkEnd w:id="33"/>
      <w:bookmarkEnd w:id="34"/>
      <w:r w:rsidRPr="00D62FDF">
        <w:t>ate of Exchange Pricing Information</w:t>
      </w:r>
      <w:bookmarkEnd w:id="35"/>
    </w:p>
    <w:p w14:paraId="7DF1AA8D" w14:textId="77777777" w:rsidR="00935E13" w:rsidRPr="00D62FDF" w:rsidRDefault="00935E13" w:rsidP="00D95F72">
      <w:pPr>
        <w:pStyle w:val="ListParagraph"/>
        <w:numPr>
          <w:ilvl w:val="0"/>
          <w:numId w:val="34"/>
        </w:numPr>
        <w:ind w:left="1134" w:hanging="567"/>
        <w:rPr>
          <w:rFonts w:eastAsia="Calibri Light" w:cs="Times New Roman"/>
          <w:bCs/>
          <w:sz w:val="20"/>
          <w:szCs w:val="20"/>
          <w:lang w:eastAsia="en-ZA"/>
        </w:rPr>
      </w:pPr>
      <w:r w:rsidRPr="00D62FDF">
        <w:rPr>
          <w:rFonts w:eastAsia="Calibri Light" w:cs="Times New Roman"/>
          <w:bCs/>
          <w:sz w:val="20"/>
          <w:szCs w:val="20"/>
          <w:lang w:eastAsia="en-ZA"/>
        </w:rPr>
        <w:t>Provide the TOTAL BID PRICE for the duration of Contract and clearly indicate the Local Price and Foreign Price, where –</w:t>
      </w:r>
    </w:p>
    <w:p w14:paraId="3B28DCFB" w14:textId="77777777" w:rsidR="00935E13" w:rsidRPr="00D62FDF" w:rsidRDefault="00935E13" w:rsidP="00D95F72">
      <w:pPr>
        <w:pStyle w:val="ListParagraph"/>
        <w:numPr>
          <w:ilvl w:val="0"/>
          <w:numId w:val="34"/>
        </w:numPr>
        <w:ind w:left="1134" w:hanging="567"/>
        <w:rPr>
          <w:rFonts w:eastAsia="Calibri Light" w:cs="Times New Roman"/>
          <w:bCs/>
          <w:sz w:val="20"/>
          <w:szCs w:val="20"/>
          <w:lang w:eastAsia="en-ZA"/>
        </w:rPr>
      </w:pPr>
      <w:r w:rsidRPr="00D62FDF">
        <w:rPr>
          <w:rFonts w:eastAsia="Calibri Light" w:cs="Times New Roman"/>
          <w:bCs/>
          <w:sz w:val="20"/>
          <w:szCs w:val="20"/>
          <w:lang w:eastAsia="en-ZA"/>
        </w:rPr>
        <w:lastRenderedPageBreak/>
        <w:t>Local Price means the portion of the TOTAL price that is NOT dependent on the Foreign Rate of Exchange (ROE) and;</w:t>
      </w:r>
    </w:p>
    <w:p w14:paraId="29B26978" w14:textId="77777777" w:rsidR="00935E13" w:rsidRPr="00D62FDF" w:rsidRDefault="00935E13" w:rsidP="00D95F72">
      <w:pPr>
        <w:pStyle w:val="ListParagraph"/>
        <w:numPr>
          <w:ilvl w:val="0"/>
          <w:numId w:val="34"/>
        </w:numPr>
        <w:ind w:left="1134" w:hanging="567"/>
        <w:rPr>
          <w:rFonts w:eastAsia="Calibri Light" w:cs="Times New Roman"/>
          <w:bCs/>
          <w:sz w:val="20"/>
          <w:szCs w:val="20"/>
          <w:lang w:eastAsia="en-ZA"/>
        </w:rPr>
      </w:pPr>
      <w:r w:rsidRPr="00D62FDF">
        <w:rPr>
          <w:rFonts w:eastAsia="Calibri Light" w:cs="Times New Roman"/>
          <w:bCs/>
          <w:sz w:val="20"/>
          <w:szCs w:val="20"/>
          <w:lang w:eastAsia="en-ZA"/>
        </w:rPr>
        <w:t>Foreign Price means the portion of the TOTAL price that is dependent on the Foreign Rate of Exchange (ROE).</w:t>
      </w:r>
    </w:p>
    <w:p w14:paraId="51214D2E" w14:textId="38CA4F88" w:rsidR="00935E13" w:rsidRPr="00D62FDF" w:rsidRDefault="00935E13" w:rsidP="00D95F72">
      <w:pPr>
        <w:pStyle w:val="ListParagraph"/>
        <w:numPr>
          <w:ilvl w:val="0"/>
          <w:numId w:val="34"/>
        </w:numPr>
        <w:ind w:left="1134" w:hanging="567"/>
        <w:rPr>
          <w:rFonts w:eastAsia="Calibri Light" w:cs="Times New Roman"/>
          <w:bCs/>
          <w:sz w:val="20"/>
          <w:szCs w:val="20"/>
          <w:lang w:eastAsia="en-ZA"/>
        </w:rPr>
      </w:pPr>
      <w:r w:rsidRPr="00D62FDF">
        <w:rPr>
          <w:rFonts w:eastAsia="Calibri Light" w:cs="Times New Roman"/>
          <w:bCs/>
          <w:sz w:val="20"/>
          <w:szCs w:val="20"/>
          <w:lang w:eastAsia="en-ZA"/>
        </w:rPr>
        <w:t>Exchange Rate means the ROE (ZA Rand vs foreign currency) as determined at time of bid.</w:t>
      </w:r>
    </w:p>
    <w:p w14:paraId="059ACC29" w14:textId="77777777" w:rsidR="00935E13" w:rsidRPr="00D62FDF" w:rsidRDefault="00935E13" w:rsidP="00D95F72">
      <w:pPr>
        <w:pStyle w:val="ListParagraph"/>
        <w:numPr>
          <w:ilvl w:val="0"/>
          <w:numId w:val="34"/>
        </w:numPr>
        <w:ind w:left="1134" w:hanging="567"/>
        <w:rPr>
          <w:rFonts w:eastAsia="Calibri Light" w:cs="Times New Roman"/>
          <w:bCs/>
          <w:sz w:val="20"/>
          <w:szCs w:val="20"/>
          <w:lang w:eastAsia="en-ZA"/>
        </w:rPr>
      </w:pPr>
      <w:bookmarkStart w:id="36" w:name="_Toc435315931"/>
      <w:bookmarkStart w:id="37" w:name="_Toc160095057"/>
      <w:r w:rsidRPr="00D62FDF">
        <w:rPr>
          <w:rFonts w:eastAsia="Calibri Light" w:cs="Times New Roman"/>
          <w:bCs/>
          <w:sz w:val="20"/>
          <w:szCs w:val="20"/>
          <w:lang w:eastAsia="en-ZA"/>
        </w:rPr>
        <w:t>B</w:t>
      </w:r>
      <w:bookmarkEnd w:id="36"/>
      <w:r w:rsidRPr="00D62FDF">
        <w:rPr>
          <w:rFonts w:eastAsia="Calibri Light" w:cs="Times New Roman"/>
          <w:bCs/>
          <w:sz w:val="20"/>
          <w:szCs w:val="20"/>
          <w:lang w:eastAsia="en-ZA"/>
        </w:rPr>
        <w:t>id Exchange Rate Conditions</w:t>
      </w:r>
      <w:bookmarkEnd w:id="37"/>
    </w:p>
    <w:p w14:paraId="1E96EA55" w14:textId="4D3B48DD" w:rsidR="00935E13" w:rsidRPr="0089122A" w:rsidRDefault="00935E13" w:rsidP="0089122A">
      <w:pPr>
        <w:rPr>
          <w:rFonts w:eastAsia="Calibri Light" w:cs="Times New Roman"/>
          <w:bCs/>
          <w:sz w:val="20"/>
          <w:szCs w:val="20"/>
          <w:lang w:eastAsia="en-ZA"/>
        </w:rPr>
      </w:pPr>
      <w:r w:rsidRPr="0089122A">
        <w:rPr>
          <w:rFonts w:eastAsia="Calibri Light" w:cs="Times New Roman"/>
          <w:bCs/>
          <w:sz w:val="20"/>
          <w:szCs w:val="20"/>
          <w:lang w:eastAsia="en-ZA"/>
        </w:rPr>
        <w:t>The bidders must use the exchange rate provided below to enable SITA to compare the prices provided by using the same exchange rate:</w:t>
      </w:r>
    </w:p>
    <w:p w14:paraId="53D3B23F" w14:textId="77777777" w:rsidR="00D62FDF" w:rsidRPr="00D62FDF" w:rsidRDefault="00D62FDF" w:rsidP="00D62FDF">
      <w:pPr>
        <w:pStyle w:val="ListParagraph"/>
        <w:ind w:left="1134"/>
        <w:rPr>
          <w:rFonts w:eastAsia="Calibri Light" w:cs="Times New Roman"/>
          <w:bCs/>
          <w:sz w:val="20"/>
          <w:szCs w:val="20"/>
          <w:lang w:eastAsia="en-ZA"/>
        </w:rPr>
      </w:pPr>
    </w:p>
    <w:tbl>
      <w:tblPr>
        <w:tblStyle w:val="TableGrid3"/>
        <w:tblW w:w="0" w:type="auto"/>
        <w:tblInd w:w="562" w:type="dxa"/>
        <w:tblLook w:val="04A0" w:firstRow="1" w:lastRow="0" w:firstColumn="1" w:lastColumn="0" w:noHBand="0" w:noVBand="1"/>
      </w:tblPr>
      <w:tblGrid>
        <w:gridCol w:w="4536"/>
        <w:gridCol w:w="4530"/>
      </w:tblGrid>
      <w:tr w:rsidR="00935E13" w:rsidRPr="00D62FDF" w14:paraId="02653E4A" w14:textId="77777777" w:rsidTr="00D62FDF">
        <w:tc>
          <w:tcPr>
            <w:tcW w:w="4536" w:type="dxa"/>
            <w:shd w:val="clear" w:color="auto" w:fill="C6D9F1"/>
            <w:hideMark/>
          </w:tcPr>
          <w:p w14:paraId="1EA88384" w14:textId="77777777" w:rsidR="00935E13" w:rsidRPr="00D62FDF" w:rsidRDefault="00935E13" w:rsidP="00D62FDF">
            <w:pPr>
              <w:spacing w:after="0"/>
              <w:ind w:left="1134"/>
              <w:outlineLvl w:val="0"/>
              <w:rPr>
                <w:bCs/>
                <w:sz w:val="20"/>
                <w:szCs w:val="20"/>
                <w:lang w:eastAsia="en-ZA"/>
              </w:rPr>
            </w:pPr>
            <w:r w:rsidRPr="00D62FDF">
              <w:rPr>
                <w:bCs/>
                <w:sz w:val="20"/>
                <w:szCs w:val="20"/>
                <w:lang w:eastAsia="en-ZA"/>
              </w:rPr>
              <w:t>Foreign currency</w:t>
            </w:r>
          </w:p>
        </w:tc>
        <w:tc>
          <w:tcPr>
            <w:tcW w:w="4530" w:type="dxa"/>
            <w:shd w:val="clear" w:color="auto" w:fill="C6D9F1"/>
            <w:hideMark/>
          </w:tcPr>
          <w:p w14:paraId="41CA211D" w14:textId="77777777" w:rsidR="00935E13" w:rsidRPr="00D62FDF" w:rsidRDefault="00935E13" w:rsidP="00D62FDF">
            <w:pPr>
              <w:spacing w:after="0"/>
              <w:ind w:left="1134"/>
              <w:outlineLvl w:val="0"/>
              <w:rPr>
                <w:bCs/>
                <w:sz w:val="20"/>
                <w:szCs w:val="20"/>
                <w:lang w:eastAsia="en-ZA"/>
              </w:rPr>
            </w:pPr>
            <w:r w:rsidRPr="00D62FDF">
              <w:rPr>
                <w:bCs/>
                <w:sz w:val="20"/>
                <w:szCs w:val="20"/>
                <w:lang w:eastAsia="en-ZA"/>
              </w:rPr>
              <w:t xml:space="preserve">South African Rand (ZAR) exchange rate </w:t>
            </w:r>
          </w:p>
        </w:tc>
      </w:tr>
      <w:tr w:rsidR="00935E13" w:rsidRPr="00D62FDF" w14:paraId="0B9C97D4" w14:textId="77777777" w:rsidTr="00D62FDF">
        <w:tc>
          <w:tcPr>
            <w:tcW w:w="4536" w:type="dxa"/>
            <w:hideMark/>
          </w:tcPr>
          <w:p w14:paraId="01134DD1" w14:textId="77777777" w:rsidR="00935E13" w:rsidRPr="00D62FDF" w:rsidRDefault="00935E13" w:rsidP="0089122A">
            <w:pPr>
              <w:spacing w:after="0"/>
              <w:jc w:val="center"/>
              <w:outlineLvl w:val="0"/>
              <w:rPr>
                <w:bCs/>
                <w:sz w:val="20"/>
                <w:szCs w:val="20"/>
                <w:lang w:eastAsia="en-ZA"/>
              </w:rPr>
            </w:pPr>
            <w:r w:rsidRPr="00D62FDF">
              <w:rPr>
                <w:bCs/>
                <w:sz w:val="20"/>
                <w:szCs w:val="20"/>
                <w:lang w:eastAsia="en-ZA"/>
              </w:rPr>
              <w:t>1 US Dollar</w:t>
            </w:r>
          </w:p>
        </w:tc>
        <w:tc>
          <w:tcPr>
            <w:tcW w:w="4530" w:type="dxa"/>
            <w:hideMark/>
          </w:tcPr>
          <w:p w14:paraId="5C9CEF7E" w14:textId="04CF135E" w:rsidR="00935E13" w:rsidRPr="00D62FDF" w:rsidRDefault="00A13B86" w:rsidP="00D62FDF">
            <w:pPr>
              <w:spacing w:after="0"/>
              <w:ind w:left="1134"/>
              <w:outlineLvl w:val="0"/>
              <w:rPr>
                <w:bCs/>
                <w:sz w:val="20"/>
                <w:szCs w:val="20"/>
                <w:lang w:eastAsia="en-ZA"/>
              </w:rPr>
            </w:pPr>
            <w:r w:rsidRPr="00D62FDF">
              <w:rPr>
                <w:bCs/>
                <w:sz w:val="20"/>
                <w:szCs w:val="20"/>
                <w:lang w:eastAsia="en-ZA"/>
              </w:rPr>
              <w:t>R18.</w:t>
            </w:r>
            <w:r w:rsidR="0058639B" w:rsidRPr="00D62FDF">
              <w:rPr>
                <w:bCs/>
                <w:sz w:val="20"/>
                <w:szCs w:val="20"/>
                <w:lang w:eastAsia="en-ZA"/>
              </w:rPr>
              <w:t>09</w:t>
            </w:r>
          </w:p>
        </w:tc>
      </w:tr>
      <w:tr w:rsidR="00935E13" w:rsidRPr="00D62FDF" w14:paraId="77C0F377" w14:textId="77777777" w:rsidTr="00D62FDF">
        <w:tc>
          <w:tcPr>
            <w:tcW w:w="4536" w:type="dxa"/>
            <w:hideMark/>
          </w:tcPr>
          <w:p w14:paraId="11794555" w14:textId="77777777" w:rsidR="00935E13" w:rsidRPr="00D62FDF" w:rsidRDefault="00935E13" w:rsidP="0089122A">
            <w:pPr>
              <w:spacing w:after="0"/>
              <w:jc w:val="center"/>
              <w:outlineLvl w:val="0"/>
              <w:rPr>
                <w:bCs/>
                <w:sz w:val="20"/>
                <w:szCs w:val="20"/>
                <w:lang w:eastAsia="en-ZA"/>
              </w:rPr>
            </w:pPr>
            <w:r w:rsidRPr="00D62FDF">
              <w:rPr>
                <w:bCs/>
                <w:sz w:val="20"/>
                <w:szCs w:val="20"/>
                <w:lang w:eastAsia="en-ZA"/>
              </w:rPr>
              <w:t>1 Euro</w:t>
            </w:r>
          </w:p>
        </w:tc>
        <w:tc>
          <w:tcPr>
            <w:tcW w:w="4530" w:type="dxa"/>
            <w:hideMark/>
          </w:tcPr>
          <w:p w14:paraId="746592E3" w14:textId="299F8557" w:rsidR="00935E13" w:rsidRPr="00D62FDF" w:rsidRDefault="00A13B86" w:rsidP="00D62FDF">
            <w:pPr>
              <w:spacing w:after="0"/>
              <w:ind w:left="1134"/>
              <w:outlineLvl w:val="0"/>
              <w:rPr>
                <w:bCs/>
                <w:sz w:val="20"/>
                <w:szCs w:val="20"/>
                <w:lang w:eastAsia="en-ZA"/>
              </w:rPr>
            </w:pPr>
            <w:r w:rsidRPr="00D62FDF">
              <w:rPr>
                <w:bCs/>
                <w:sz w:val="20"/>
                <w:szCs w:val="20"/>
                <w:lang w:eastAsia="en-ZA"/>
              </w:rPr>
              <w:t>R19.</w:t>
            </w:r>
            <w:r w:rsidR="00A355EF">
              <w:rPr>
                <w:bCs/>
                <w:sz w:val="20"/>
                <w:szCs w:val="20"/>
                <w:lang w:eastAsia="en-ZA"/>
              </w:rPr>
              <w:t>60</w:t>
            </w:r>
          </w:p>
        </w:tc>
      </w:tr>
      <w:tr w:rsidR="00935E13" w:rsidRPr="00D62FDF" w14:paraId="6E264334" w14:textId="77777777" w:rsidTr="00D62FDF">
        <w:tc>
          <w:tcPr>
            <w:tcW w:w="4536" w:type="dxa"/>
            <w:hideMark/>
          </w:tcPr>
          <w:p w14:paraId="404916BD" w14:textId="77777777" w:rsidR="00935E13" w:rsidRPr="00D62FDF" w:rsidRDefault="00935E13" w:rsidP="0089122A">
            <w:pPr>
              <w:spacing w:after="0"/>
              <w:jc w:val="center"/>
              <w:outlineLvl w:val="0"/>
              <w:rPr>
                <w:bCs/>
                <w:sz w:val="20"/>
                <w:szCs w:val="20"/>
                <w:lang w:eastAsia="en-ZA"/>
              </w:rPr>
            </w:pPr>
            <w:r w:rsidRPr="00D62FDF">
              <w:rPr>
                <w:bCs/>
                <w:sz w:val="20"/>
                <w:szCs w:val="20"/>
                <w:lang w:eastAsia="en-ZA"/>
              </w:rPr>
              <w:t>1 Pound</w:t>
            </w:r>
          </w:p>
        </w:tc>
        <w:tc>
          <w:tcPr>
            <w:tcW w:w="4530" w:type="dxa"/>
            <w:hideMark/>
          </w:tcPr>
          <w:p w14:paraId="4EFA29E6" w14:textId="7B1C3303" w:rsidR="00935E13" w:rsidRPr="00D62FDF" w:rsidRDefault="00A13B86" w:rsidP="00D62FDF">
            <w:pPr>
              <w:spacing w:after="0"/>
              <w:ind w:left="1134"/>
              <w:outlineLvl w:val="0"/>
              <w:rPr>
                <w:bCs/>
                <w:sz w:val="20"/>
                <w:szCs w:val="20"/>
                <w:lang w:eastAsia="en-ZA"/>
              </w:rPr>
            </w:pPr>
            <w:r w:rsidRPr="00D62FDF">
              <w:rPr>
                <w:bCs/>
                <w:sz w:val="20"/>
                <w:szCs w:val="20"/>
                <w:lang w:eastAsia="en-ZA"/>
              </w:rPr>
              <w:t>R23.</w:t>
            </w:r>
            <w:r w:rsidR="00A355EF">
              <w:rPr>
                <w:bCs/>
                <w:sz w:val="20"/>
                <w:szCs w:val="20"/>
                <w:lang w:eastAsia="en-ZA"/>
              </w:rPr>
              <w:t>27</w:t>
            </w:r>
          </w:p>
        </w:tc>
      </w:tr>
    </w:tbl>
    <w:p w14:paraId="4CED1C40" w14:textId="77777777" w:rsidR="00935E13" w:rsidRPr="00D62FDF" w:rsidRDefault="00935E13" w:rsidP="0089122A">
      <w:pPr>
        <w:spacing w:after="0"/>
        <w:ind w:left="1134"/>
        <w:outlineLvl w:val="0"/>
        <w:rPr>
          <w:rFonts w:eastAsia="Calibri Light" w:cs="Times New Roman"/>
          <w:bCs/>
          <w:sz w:val="20"/>
          <w:szCs w:val="20"/>
          <w:lang w:eastAsia="en-ZA"/>
        </w:rPr>
      </w:pPr>
      <w:bookmarkStart w:id="38" w:name="_Toc57764329"/>
      <w:bookmarkStart w:id="39" w:name="_Ref455341955"/>
    </w:p>
    <w:bookmarkEnd w:id="38"/>
    <w:bookmarkEnd w:id="39"/>
    <w:p w14:paraId="403FA025" w14:textId="77777777" w:rsidR="00935E13" w:rsidRDefault="00935E13" w:rsidP="0089122A">
      <w:pPr>
        <w:spacing w:after="0"/>
        <w:ind w:left="1134"/>
        <w:outlineLvl w:val="0"/>
        <w:rPr>
          <w:rFonts w:eastAsia="Calibri Light" w:cs="Times New Roman"/>
          <w:bCs/>
          <w:sz w:val="20"/>
          <w:szCs w:val="20"/>
          <w:lang w:eastAsia="en-ZA"/>
        </w:rPr>
      </w:pPr>
    </w:p>
    <w:p w14:paraId="4843814F" w14:textId="77777777" w:rsidR="0089122A" w:rsidRPr="00C65D8F" w:rsidRDefault="0089122A" w:rsidP="00C65D8F">
      <w:pPr>
        <w:pStyle w:val="Heading3"/>
        <w:ind w:hanging="425"/>
      </w:pPr>
      <w:bookmarkStart w:id="40" w:name="_Toc160095058"/>
      <w:r w:rsidRPr="00C65D8F">
        <w:t>Bid Pricing Schedule</w:t>
      </w:r>
      <w:bookmarkEnd w:id="40"/>
    </w:p>
    <w:p w14:paraId="60C4A105" w14:textId="77777777" w:rsidR="0089122A" w:rsidRPr="00D62FDF" w:rsidRDefault="0089122A" w:rsidP="00C65D8F">
      <w:pPr>
        <w:spacing w:after="0"/>
        <w:ind w:left="720"/>
        <w:outlineLvl w:val="0"/>
        <w:rPr>
          <w:rFonts w:eastAsia="Calibri Light" w:cs="Times New Roman"/>
          <w:bCs/>
          <w:sz w:val="20"/>
          <w:szCs w:val="20"/>
          <w:lang w:eastAsia="en-ZA"/>
        </w:rPr>
      </w:pPr>
      <w:r w:rsidRPr="00D62FDF">
        <w:rPr>
          <w:rFonts w:eastAsia="Calibri Light" w:cs="Times New Roman"/>
          <w:bCs/>
          <w:sz w:val="20"/>
          <w:szCs w:val="20"/>
          <w:lang w:eastAsia="en-ZA"/>
        </w:rPr>
        <w:t>Bidders must complete the bid pricing schedule in the Excel spreadsheet format provided and upload this as part of their submission.</w:t>
      </w:r>
    </w:p>
    <w:p w14:paraId="23016DED" w14:textId="77777777" w:rsidR="0089122A" w:rsidRPr="00D62FDF" w:rsidRDefault="0089122A" w:rsidP="0089122A">
      <w:pPr>
        <w:spacing w:after="0"/>
        <w:ind w:left="1134"/>
        <w:outlineLvl w:val="0"/>
        <w:rPr>
          <w:rFonts w:eastAsia="Calibri Light" w:cs="Times New Roman"/>
          <w:bCs/>
          <w:sz w:val="20"/>
          <w:szCs w:val="20"/>
          <w:lang w:eastAsia="en-ZA"/>
        </w:rPr>
      </w:pPr>
    </w:p>
    <w:p w14:paraId="63EF7DB6" w14:textId="60A128A9" w:rsidR="00935E13" w:rsidRPr="00D62FDF" w:rsidRDefault="00C65D8F" w:rsidP="0089122A">
      <w:pPr>
        <w:spacing w:after="0"/>
        <w:ind w:firstLine="360"/>
        <w:outlineLvl w:val="0"/>
        <w:rPr>
          <w:rFonts w:eastAsia="Calibri Light" w:cs="Times New Roman"/>
          <w:bCs/>
          <w:sz w:val="20"/>
          <w:szCs w:val="20"/>
          <w:lang w:eastAsia="en-ZA"/>
        </w:rPr>
      </w:pPr>
      <w:bookmarkStart w:id="41" w:name="_Toc127119463"/>
      <w:bookmarkStart w:id="42" w:name="_Ref455597629"/>
      <w:bookmarkStart w:id="43" w:name="_Ref455338328"/>
      <w:bookmarkStart w:id="44" w:name="_Toc435315930"/>
      <w:bookmarkStart w:id="45" w:name="_Toc160095059"/>
      <w:r>
        <w:rPr>
          <w:rFonts w:eastAsia="Calibri Light" w:cs="Times New Roman"/>
          <w:bCs/>
          <w:sz w:val="20"/>
          <w:szCs w:val="20"/>
          <w:lang w:eastAsia="en-ZA"/>
        </w:rPr>
        <w:t xml:space="preserve">    </w:t>
      </w:r>
      <w:r w:rsidR="00935E13" w:rsidRPr="00D62FDF">
        <w:rPr>
          <w:rFonts w:eastAsia="Calibri Light" w:cs="Times New Roman"/>
          <w:bCs/>
          <w:sz w:val="20"/>
          <w:szCs w:val="20"/>
          <w:lang w:eastAsia="en-ZA"/>
        </w:rPr>
        <w:t>D</w:t>
      </w:r>
      <w:bookmarkEnd w:id="41"/>
      <w:bookmarkEnd w:id="42"/>
      <w:bookmarkEnd w:id="43"/>
      <w:bookmarkEnd w:id="44"/>
      <w:r w:rsidR="00935E13" w:rsidRPr="00D62FDF">
        <w:rPr>
          <w:rFonts w:eastAsia="Calibri Light" w:cs="Times New Roman"/>
          <w:bCs/>
          <w:sz w:val="20"/>
          <w:szCs w:val="20"/>
          <w:lang w:eastAsia="en-ZA"/>
        </w:rPr>
        <w:t>eclaration of Acceptance</w:t>
      </w:r>
      <w:bookmarkEnd w:id="45"/>
    </w:p>
    <w:tbl>
      <w:tblPr>
        <w:tblStyle w:val="TableGrid3"/>
        <w:tblW w:w="4708" w:type="pct"/>
        <w:tblInd w:w="562" w:type="dxa"/>
        <w:tblLook w:val="04A0" w:firstRow="1" w:lastRow="0" w:firstColumn="1" w:lastColumn="0" w:noHBand="0" w:noVBand="1"/>
      </w:tblPr>
      <w:tblGrid>
        <w:gridCol w:w="6055"/>
        <w:gridCol w:w="1385"/>
        <w:gridCol w:w="1626"/>
      </w:tblGrid>
      <w:tr w:rsidR="00935E13" w:rsidRPr="00D62FDF" w14:paraId="050B1E4A" w14:textId="77777777" w:rsidTr="0089122A">
        <w:trPr>
          <w:tblHeader/>
        </w:trPr>
        <w:tc>
          <w:tcPr>
            <w:tcW w:w="3339" w:type="pct"/>
            <w:shd w:val="clear" w:color="auto" w:fill="C6D9F1"/>
          </w:tcPr>
          <w:p w14:paraId="75B699E3" w14:textId="77777777" w:rsidR="00935E13" w:rsidRPr="00D62FDF" w:rsidRDefault="00935E13" w:rsidP="00D62FDF">
            <w:pPr>
              <w:spacing w:after="0"/>
              <w:ind w:left="1134"/>
              <w:outlineLvl w:val="0"/>
              <w:rPr>
                <w:bCs/>
                <w:sz w:val="20"/>
                <w:szCs w:val="20"/>
                <w:lang w:eastAsia="en-ZA"/>
              </w:rPr>
            </w:pPr>
          </w:p>
        </w:tc>
        <w:tc>
          <w:tcPr>
            <w:tcW w:w="764" w:type="pct"/>
            <w:shd w:val="clear" w:color="auto" w:fill="C6D9F1"/>
            <w:hideMark/>
          </w:tcPr>
          <w:p w14:paraId="793A9372" w14:textId="77777777" w:rsidR="00935E13" w:rsidRPr="00D62FDF" w:rsidRDefault="00935E13" w:rsidP="00D62FDF">
            <w:pPr>
              <w:spacing w:after="0"/>
              <w:outlineLvl w:val="0"/>
              <w:rPr>
                <w:bCs/>
                <w:sz w:val="20"/>
                <w:szCs w:val="20"/>
                <w:lang w:eastAsia="en-ZA"/>
              </w:rPr>
            </w:pPr>
            <w:r w:rsidRPr="00D62FDF">
              <w:rPr>
                <w:bCs/>
                <w:sz w:val="20"/>
                <w:szCs w:val="20"/>
                <w:lang w:eastAsia="en-ZA"/>
              </w:rPr>
              <w:t>ACCEPT ALL</w:t>
            </w:r>
          </w:p>
        </w:tc>
        <w:tc>
          <w:tcPr>
            <w:tcW w:w="897" w:type="pct"/>
            <w:shd w:val="clear" w:color="auto" w:fill="C6D9F1"/>
            <w:hideMark/>
          </w:tcPr>
          <w:p w14:paraId="57377187" w14:textId="77777777" w:rsidR="00935E13" w:rsidRPr="00D62FDF" w:rsidRDefault="00935E13" w:rsidP="00D62FDF">
            <w:pPr>
              <w:spacing w:after="0"/>
              <w:outlineLvl w:val="0"/>
              <w:rPr>
                <w:bCs/>
                <w:sz w:val="20"/>
                <w:szCs w:val="20"/>
                <w:lang w:eastAsia="en-ZA"/>
              </w:rPr>
            </w:pPr>
            <w:r w:rsidRPr="00D62FDF">
              <w:rPr>
                <w:bCs/>
                <w:sz w:val="20"/>
                <w:szCs w:val="20"/>
                <w:lang w:eastAsia="en-ZA"/>
              </w:rPr>
              <w:t>DO NOT ACCEPT ALL</w:t>
            </w:r>
          </w:p>
        </w:tc>
      </w:tr>
      <w:tr w:rsidR="00935E13" w:rsidRPr="00D62FDF" w14:paraId="435E46A3" w14:textId="77777777" w:rsidTr="0089122A">
        <w:tc>
          <w:tcPr>
            <w:tcW w:w="3339" w:type="pct"/>
            <w:hideMark/>
          </w:tcPr>
          <w:p w14:paraId="1695B2FC" w14:textId="148C9C11" w:rsidR="00935E13" w:rsidRPr="00C65D8F" w:rsidRDefault="00935E13" w:rsidP="00D95F72">
            <w:pPr>
              <w:pStyle w:val="ListParagraph"/>
              <w:numPr>
                <w:ilvl w:val="0"/>
                <w:numId w:val="35"/>
              </w:numPr>
              <w:rPr>
                <w:bCs/>
                <w:sz w:val="20"/>
                <w:szCs w:val="20"/>
                <w:lang w:eastAsia="en-ZA"/>
              </w:rPr>
            </w:pPr>
            <w:r w:rsidRPr="00C65D8F">
              <w:rPr>
                <w:bCs/>
                <w:sz w:val="20"/>
                <w:szCs w:val="20"/>
                <w:lang w:eastAsia="en-ZA"/>
              </w:rPr>
              <w:t>The bidder declares to ACCEPT ALL the Costing and Pricing conditions as specified in par 5.1.2  above by indicating with an “X” in the “ACCEPT ALL” column, or</w:t>
            </w:r>
          </w:p>
          <w:p w14:paraId="08002692" w14:textId="01AF73C2" w:rsidR="00935E13" w:rsidRPr="00D62FDF" w:rsidRDefault="00935E13" w:rsidP="00D95F72">
            <w:pPr>
              <w:pStyle w:val="ListParagraph"/>
              <w:numPr>
                <w:ilvl w:val="0"/>
                <w:numId w:val="35"/>
              </w:numPr>
              <w:rPr>
                <w:bCs/>
                <w:sz w:val="20"/>
                <w:szCs w:val="20"/>
                <w:lang w:eastAsia="en-ZA"/>
              </w:rPr>
            </w:pPr>
            <w:r w:rsidRPr="00D62FDF">
              <w:rPr>
                <w:bCs/>
                <w:sz w:val="20"/>
                <w:szCs w:val="20"/>
                <w:lang w:eastAsia="en-ZA"/>
              </w:rPr>
              <w:t xml:space="preserve">The bidder declares to NOT ACCEPT ALL the Costing and Pricing Conditions as specified in par 5.1.2  above by - </w:t>
            </w:r>
          </w:p>
          <w:p w14:paraId="08D46B49" w14:textId="77777777" w:rsidR="00935E13" w:rsidRPr="00D62FDF" w:rsidRDefault="00935E13" w:rsidP="00D95F72">
            <w:pPr>
              <w:pStyle w:val="ListParagraph"/>
              <w:numPr>
                <w:ilvl w:val="0"/>
                <w:numId w:val="35"/>
              </w:numPr>
              <w:rPr>
                <w:bCs/>
                <w:sz w:val="20"/>
                <w:szCs w:val="20"/>
                <w:lang w:eastAsia="en-ZA"/>
              </w:rPr>
            </w:pPr>
            <w:r w:rsidRPr="00D62FDF">
              <w:rPr>
                <w:bCs/>
                <w:sz w:val="20"/>
                <w:szCs w:val="20"/>
                <w:lang w:eastAsia="en-ZA"/>
              </w:rPr>
              <w:t>Indicating with an “X” in the “DO NOT ACCEPT ALL” column, and;</w:t>
            </w:r>
          </w:p>
          <w:p w14:paraId="5824847E" w14:textId="77777777" w:rsidR="00935E13" w:rsidRPr="00D62FDF" w:rsidRDefault="00935E13" w:rsidP="00D95F72">
            <w:pPr>
              <w:pStyle w:val="ListParagraph"/>
              <w:numPr>
                <w:ilvl w:val="0"/>
                <w:numId w:val="35"/>
              </w:numPr>
              <w:rPr>
                <w:bCs/>
                <w:sz w:val="20"/>
                <w:szCs w:val="20"/>
                <w:lang w:eastAsia="en-ZA"/>
              </w:rPr>
            </w:pPr>
            <w:r w:rsidRPr="00D62FDF">
              <w:rPr>
                <w:bCs/>
                <w:sz w:val="20"/>
                <w:szCs w:val="20"/>
                <w:lang w:eastAsia="en-ZA"/>
              </w:rPr>
              <w:t xml:space="preserve">Provide reason and proposal for each of the condition not accepted. </w:t>
            </w:r>
          </w:p>
        </w:tc>
        <w:tc>
          <w:tcPr>
            <w:tcW w:w="764" w:type="pct"/>
          </w:tcPr>
          <w:p w14:paraId="0BFBBFBA" w14:textId="77777777" w:rsidR="00935E13" w:rsidRPr="00D62FDF" w:rsidRDefault="00935E13" w:rsidP="00C65D8F">
            <w:pPr>
              <w:spacing w:after="0"/>
              <w:ind w:left="1134"/>
              <w:outlineLvl w:val="0"/>
              <w:rPr>
                <w:bCs/>
                <w:sz w:val="20"/>
                <w:szCs w:val="20"/>
                <w:lang w:eastAsia="en-ZA"/>
              </w:rPr>
            </w:pPr>
          </w:p>
        </w:tc>
        <w:tc>
          <w:tcPr>
            <w:tcW w:w="897" w:type="pct"/>
          </w:tcPr>
          <w:p w14:paraId="53F6EFE7" w14:textId="77777777" w:rsidR="00935E13" w:rsidRPr="00D62FDF" w:rsidRDefault="00935E13" w:rsidP="00C65D8F">
            <w:pPr>
              <w:spacing w:after="0"/>
              <w:ind w:left="1134"/>
              <w:outlineLvl w:val="0"/>
              <w:rPr>
                <w:bCs/>
                <w:sz w:val="20"/>
                <w:szCs w:val="20"/>
                <w:lang w:eastAsia="en-ZA"/>
              </w:rPr>
            </w:pPr>
          </w:p>
        </w:tc>
      </w:tr>
      <w:tr w:rsidR="00935E13" w:rsidRPr="00D62FDF" w14:paraId="0D151FCA" w14:textId="77777777" w:rsidTr="0089122A">
        <w:tc>
          <w:tcPr>
            <w:tcW w:w="5000" w:type="pct"/>
            <w:gridSpan w:val="3"/>
          </w:tcPr>
          <w:p w14:paraId="12C8AD44" w14:textId="77777777" w:rsidR="00935E13" w:rsidRPr="00D62FDF" w:rsidRDefault="00935E13" w:rsidP="00D95F72">
            <w:pPr>
              <w:pStyle w:val="ListParagraph"/>
              <w:numPr>
                <w:ilvl w:val="0"/>
                <w:numId w:val="35"/>
              </w:numPr>
              <w:rPr>
                <w:bCs/>
                <w:sz w:val="20"/>
                <w:szCs w:val="20"/>
                <w:lang w:eastAsia="en-ZA"/>
              </w:rPr>
            </w:pPr>
            <w:r w:rsidRPr="00D62FDF">
              <w:rPr>
                <w:bCs/>
                <w:sz w:val="20"/>
                <w:szCs w:val="20"/>
                <w:lang w:eastAsia="en-ZA"/>
              </w:rPr>
              <w:t>Comments by bidder:</w:t>
            </w:r>
          </w:p>
          <w:p w14:paraId="37ABB935" w14:textId="77777777" w:rsidR="00935E13" w:rsidRPr="00D62FDF" w:rsidRDefault="00935E13" w:rsidP="00D95F72">
            <w:pPr>
              <w:pStyle w:val="ListParagraph"/>
              <w:numPr>
                <w:ilvl w:val="0"/>
                <w:numId w:val="35"/>
              </w:numPr>
              <w:rPr>
                <w:bCs/>
                <w:sz w:val="20"/>
                <w:szCs w:val="20"/>
                <w:lang w:eastAsia="en-ZA"/>
              </w:rPr>
            </w:pPr>
            <w:r w:rsidRPr="00D62FDF">
              <w:rPr>
                <w:bCs/>
                <w:sz w:val="20"/>
                <w:szCs w:val="20"/>
                <w:lang w:eastAsia="en-ZA"/>
              </w:rPr>
              <w:t>Provide the condition reference, the reasons for not accepting the condition.</w:t>
            </w:r>
          </w:p>
          <w:p w14:paraId="51ED063C" w14:textId="77777777" w:rsidR="00935E13" w:rsidRPr="00D62FDF" w:rsidRDefault="00935E13" w:rsidP="00C65D8F">
            <w:pPr>
              <w:spacing w:after="0"/>
              <w:ind w:left="1134"/>
              <w:outlineLvl w:val="0"/>
              <w:rPr>
                <w:bCs/>
                <w:sz w:val="20"/>
                <w:szCs w:val="20"/>
                <w:lang w:eastAsia="en-ZA"/>
              </w:rPr>
            </w:pPr>
          </w:p>
        </w:tc>
      </w:tr>
    </w:tbl>
    <w:p w14:paraId="7E7142C0" w14:textId="77777777" w:rsidR="00935E13" w:rsidRPr="00D62FDF" w:rsidRDefault="00935E13" w:rsidP="0089122A">
      <w:pPr>
        <w:spacing w:after="0"/>
        <w:ind w:left="1134"/>
        <w:outlineLvl w:val="0"/>
        <w:rPr>
          <w:rFonts w:eastAsia="Calibri Light" w:cs="Times New Roman"/>
          <w:bCs/>
          <w:sz w:val="20"/>
          <w:szCs w:val="20"/>
          <w:lang w:eastAsia="en-ZA"/>
        </w:rPr>
      </w:pPr>
    </w:p>
    <w:p w14:paraId="2D9FEFD8" w14:textId="77777777" w:rsidR="00BF2221" w:rsidRPr="0089122A" w:rsidRDefault="00BF2221" w:rsidP="0089122A">
      <w:pPr>
        <w:pStyle w:val="Heading3"/>
        <w:ind w:hanging="425"/>
      </w:pPr>
      <w:bookmarkStart w:id="46" w:name="_Toc153887435"/>
      <w:bookmarkEnd w:id="1"/>
      <w:bookmarkEnd w:id="2"/>
      <w:bookmarkEnd w:id="3"/>
      <w:bookmarkEnd w:id="4"/>
      <w:r w:rsidRPr="0089122A">
        <w:t>Preference Requirements</w:t>
      </w:r>
      <w:bookmarkEnd w:id="46"/>
    </w:p>
    <w:p w14:paraId="6BC0F1C1" w14:textId="77777777" w:rsidR="00BF2221" w:rsidRPr="00D62FDF" w:rsidRDefault="00BF2221" w:rsidP="0089122A">
      <w:pPr>
        <w:spacing w:after="0"/>
        <w:ind w:left="1134"/>
        <w:outlineLvl w:val="0"/>
        <w:rPr>
          <w:rFonts w:eastAsia="Calibri Light" w:cs="Times New Roman"/>
          <w:bCs/>
          <w:sz w:val="20"/>
          <w:szCs w:val="20"/>
          <w:lang w:eastAsia="en-ZA"/>
        </w:rPr>
      </w:pPr>
      <w:r w:rsidRPr="00D62FDF">
        <w:rPr>
          <w:rFonts w:eastAsia="Calibri Light" w:cs="Times New Roman"/>
          <w:bCs/>
          <w:sz w:val="20"/>
          <w:szCs w:val="20"/>
          <w:lang w:eastAsia="en-ZA"/>
        </w:rPr>
        <w:t>The bidder must complete in full all the PREFERENCE requirements.</w:t>
      </w:r>
    </w:p>
    <w:p w14:paraId="64077378" w14:textId="77777777" w:rsidR="00BF2221" w:rsidRPr="00BF2221" w:rsidRDefault="00BF2221" w:rsidP="00D95F72">
      <w:pPr>
        <w:numPr>
          <w:ilvl w:val="0"/>
          <w:numId w:val="30"/>
        </w:numPr>
        <w:ind w:left="1134"/>
        <w:rPr>
          <w:rFonts w:cs="Calibri"/>
        </w:rPr>
      </w:pPr>
      <w:r w:rsidRPr="00BF2221">
        <w:rPr>
          <w:rFonts w:cs="Calibri"/>
          <w:szCs w:val="24"/>
        </w:rPr>
        <w:t>Allocation of points per requirements:</w:t>
      </w:r>
      <w:r w:rsidRPr="00BF2221">
        <w:rPr>
          <w:rFonts w:cs="Calibri"/>
          <w:b/>
          <w:bCs/>
          <w:szCs w:val="24"/>
        </w:rPr>
        <w:t xml:space="preserve"> </w:t>
      </w:r>
      <w:r w:rsidRPr="00BF2221">
        <w:rPr>
          <w:rFonts w:cs="Calibri"/>
          <w:szCs w:val="24"/>
        </w:rPr>
        <w:t>The points allocation of bidders’ responses to the requirements will be determined by the completeness, relevance and accuracy of substantiating evidence.</w:t>
      </w:r>
    </w:p>
    <w:p w14:paraId="0CE5B443" w14:textId="77777777" w:rsidR="00BF2221" w:rsidRPr="00BF2221" w:rsidRDefault="00BF2221" w:rsidP="00D95F72">
      <w:pPr>
        <w:numPr>
          <w:ilvl w:val="0"/>
          <w:numId w:val="30"/>
        </w:numPr>
        <w:ind w:left="1134"/>
        <w:rPr>
          <w:rFonts w:cs="Calibri"/>
          <w:szCs w:val="24"/>
        </w:rPr>
      </w:pPr>
      <w:r w:rsidRPr="00BF2221">
        <w:rPr>
          <w:rFonts w:cs="Calibri"/>
          <w:szCs w:val="24"/>
        </w:rPr>
        <w:t xml:space="preserve">Points will be allocated for each PREFERENCE requirement as per the criteria set in </w:t>
      </w:r>
      <w:r w:rsidRPr="00BF2221">
        <w:rPr>
          <w:rFonts w:cs="Calibri"/>
          <w:b/>
          <w:bCs/>
          <w:szCs w:val="24"/>
        </w:rPr>
        <w:t>tables 5A</w:t>
      </w:r>
      <w:r w:rsidRPr="00BF2221">
        <w:rPr>
          <w:rFonts w:cs="Calibri"/>
          <w:szCs w:val="24"/>
        </w:rPr>
        <w:t xml:space="preserve">, </w:t>
      </w:r>
      <w:r w:rsidRPr="00BF2221">
        <w:rPr>
          <w:rFonts w:cs="Calibri"/>
          <w:b/>
          <w:bCs/>
          <w:szCs w:val="24"/>
        </w:rPr>
        <w:t>or 5B</w:t>
      </w:r>
      <w:r w:rsidRPr="00BF2221">
        <w:rPr>
          <w:rFonts w:cs="Calibri"/>
          <w:szCs w:val="24"/>
        </w:rPr>
        <w:t>, based on the offer submitted by the Bidder.</w:t>
      </w:r>
    </w:p>
    <w:p w14:paraId="634136DE" w14:textId="77777777" w:rsidR="00BF2221" w:rsidRPr="00BF2221" w:rsidRDefault="00BF2221" w:rsidP="00D95F72">
      <w:pPr>
        <w:numPr>
          <w:ilvl w:val="0"/>
          <w:numId w:val="30"/>
        </w:numPr>
        <w:ind w:left="1134"/>
        <w:rPr>
          <w:rFonts w:cs="Calibri"/>
          <w:szCs w:val="24"/>
        </w:rPr>
      </w:pPr>
      <w:r w:rsidRPr="00BF2221">
        <w:rPr>
          <w:rFonts w:cs="Calibri"/>
          <w:b/>
          <w:bCs/>
          <w:szCs w:val="24"/>
        </w:rPr>
        <w:t>The bidder must provide a unique reference number</w:t>
      </w:r>
      <w:r w:rsidRPr="00BF2221">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BF2221">
        <w:rPr>
          <w:rFonts w:cs="Calibri"/>
          <w:b/>
          <w:bCs/>
          <w:szCs w:val="24"/>
        </w:rPr>
        <w:t>Annex A</w:t>
      </w:r>
      <w:r w:rsidRPr="00BF2221">
        <w:rPr>
          <w:rFonts w:cs="Calibri"/>
          <w:szCs w:val="24"/>
        </w:rPr>
        <w:t>.</w:t>
      </w:r>
    </w:p>
    <w:p w14:paraId="57E2DC42" w14:textId="77777777" w:rsidR="00BF2221" w:rsidRPr="0089122A" w:rsidRDefault="00BF2221" w:rsidP="0089122A">
      <w:pPr>
        <w:pStyle w:val="Heading4"/>
      </w:pPr>
      <w:r w:rsidRPr="0089122A">
        <w:lastRenderedPageBreak/>
        <w:t>Preference Goal Requirements</w:t>
      </w:r>
    </w:p>
    <w:p w14:paraId="3528A240" w14:textId="77777777" w:rsidR="00BF2221" w:rsidRPr="00BF2221" w:rsidRDefault="00BF2221" w:rsidP="00D95F72">
      <w:pPr>
        <w:numPr>
          <w:ilvl w:val="1"/>
          <w:numId w:val="30"/>
        </w:numPr>
        <w:ind w:left="1701"/>
        <w:rPr>
          <w:rFonts w:cs="Calibri"/>
          <w:szCs w:val="24"/>
        </w:rPr>
      </w:pPr>
      <w:r w:rsidRPr="00BF2221">
        <w:rPr>
          <w:rFonts w:cs="Calibri"/>
          <w:szCs w:val="24"/>
        </w:rPr>
        <w:t xml:space="preserve">The </w:t>
      </w:r>
      <w:r w:rsidRPr="00BF2221">
        <w:rPr>
          <w:rFonts w:cs="Calibri"/>
          <w:b/>
          <w:bCs/>
          <w:szCs w:val="24"/>
        </w:rPr>
        <w:t>Bidder must complete either the 90/10 or 80/20 preference point system</w:t>
      </w:r>
      <w:r w:rsidRPr="00BF2221">
        <w:rPr>
          <w:rFonts w:cs="Calibri"/>
          <w:szCs w:val="24"/>
        </w:rPr>
        <w:t xml:space="preserve"> based on the offer submitted by the Bidder and submit proof or documentation required in terms of this tender.</w:t>
      </w:r>
    </w:p>
    <w:p w14:paraId="72E535A8" w14:textId="77777777" w:rsidR="00BF2221" w:rsidRPr="00BF2221" w:rsidRDefault="00BF2221" w:rsidP="00D95F72">
      <w:pPr>
        <w:numPr>
          <w:ilvl w:val="1"/>
          <w:numId w:val="30"/>
        </w:numPr>
        <w:ind w:left="1701"/>
        <w:rPr>
          <w:rFonts w:asciiTheme="minorHAnsi" w:hAnsiTheme="minorHAnsi" w:cs="Calibri"/>
        </w:rPr>
      </w:pPr>
      <w:r w:rsidRPr="00BF2221">
        <w:rPr>
          <w:rFonts w:asciiTheme="minorHAnsi" w:hAnsiTheme="minorHAnsi" w:cs="Calibri"/>
        </w:rPr>
        <w:t xml:space="preserve">The specific Preferential Goal Requirements for this tender is indicated in </w:t>
      </w:r>
      <w:r w:rsidRPr="00BF2221">
        <w:rPr>
          <w:rFonts w:asciiTheme="minorHAnsi" w:hAnsiTheme="minorHAnsi" w:cs="Calibri"/>
          <w:b/>
          <w:bCs/>
        </w:rPr>
        <w:t>table 4</w:t>
      </w:r>
      <w:r w:rsidRPr="00BF2221">
        <w:rPr>
          <w:rFonts w:asciiTheme="minorHAnsi" w:hAnsiTheme="minorHAnsi" w:cs="Calibri"/>
        </w:rPr>
        <w:t xml:space="preserve"> below.</w:t>
      </w:r>
    </w:p>
    <w:p w14:paraId="5E486803" w14:textId="77777777" w:rsidR="00BF2221" w:rsidRPr="00BF2221" w:rsidRDefault="00BF2221" w:rsidP="00D95F72">
      <w:pPr>
        <w:numPr>
          <w:ilvl w:val="1"/>
          <w:numId w:val="30"/>
        </w:numPr>
        <w:ind w:left="1701"/>
        <w:rPr>
          <w:rFonts w:asciiTheme="minorHAnsi" w:hAnsiTheme="minorHAnsi" w:cs="Calibri"/>
        </w:rPr>
      </w:pPr>
      <w:r w:rsidRPr="00BF2221">
        <w:rPr>
          <w:rFonts w:asciiTheme="minorHAnsi" w:hAnsiTheme="minorHAnsi" w:cs="Calibri"/>
        </w:rPr>
        <w:t xml:space="preserve">The Bidder </w:t>
      </w:r>
      <w:r w:rsidRPr="00BF2221">
        <w:rPr>
          <w:rFonts w:asciiTheme="minorHAnsi" w:hAnsiTheme="minorHAnsi" w:cs="Calibri"/>
          <w:b/>
          <w:bCs/>
        </w:rPr>
        <w:t>must indicate their commitment</w:t>
      </w:r>
      <w:r w:rsidRPr="00BF2221">
        <w:rPr>
          <w:rFonts w:asciiTheme="minorHAnsi" w:hAnsiTheme="minorHAnsi" w:cs="Calibri"/>
        </w:rPr>
        <w:t xml:space="preserve"> to claim points for each of the preference points by signing at </w:t>
      </w:r>
      <w:r w:rsidRPr="00BF2221">
        <w:rPr>
          <w:rFonts w:asciiTheme="minorHAnsi" w:hAnsiTheme="minorHAnsi" w:cs="Calibri"/>
          <w:b/>
          <w:bCs/>
        </w:rPr>
        <w:t>par 4.5</w:t>
      </w:r>
      <w:r w:rsidRPr="00BF2221">
        <w:rPr>
          <w:rFonts w:asciiTheme="minorHAnsi" w:hAnsiTheme="minorHAnsi" w:cs="Calibri"/>
        </w:rPr>
        <w:t xml:space="preserve"> in the Invitation to Bid document.</w:t>
      </w:r>
    </w:p>
    <w:p w14:paraId="1ACB3035" w14:textId="77777777" w:rsidR="00BF2221" w:rsidRPr="00BF2221" w:rsidRDefault="00BF2221" w:rsidP="00D95F72">
      <w:pPr>
        <w:numPr>
          <w:ilvl w:val="1"/>
          <w:numId w:val="30"/>
        </w:numPr>
        <w:ind w:left="1701"/>
        <w:rPr>
          <w:rFonts w:asciiTheme="minorHAnsi" w:hAnsiTheme="minorHAnsi" w:cs="Calibri"/>
        </w:rPr>
      </w:pPr>
      <w:r w:rsidRPr="00BF2221">
        <w:rPr>
          <w:rFonts w:asciiTheme="minorHAnsi" w:hAnsiTheme="minorHAnsi" w:cs="Calibri"/>
        </w:rPr>
        <w:t xml:space="preserve">Failure on the part of a bidder to submit proof or documentation required or to comply to </w:t>
      </w:r>
      <w:r w:rsidRPr="00BF2221">
        <w:rPr>
          <w:rFonts w:asciiTheme="minorHAnsi" w:hAnsiTheme="minorHAnsi" w:cs="Calibri"/>
          <w:b/>
          <w:bCs/>
        </w:rPr>
        <w:t>paragraph (d)</w:t>
      </w:r>
      <w:r w:rsidRPr="00BF2221">
        <w:rPr>
          <w:rFonts w:asciiTheme="minorHAnsi" w:hAnsiTheme="minorHAnsi" w:cs="Calibri"/>
        </w:rPr>
        <w:t xml:space="preserve"> above in terms of this tender to claim preference points for the </w:t>
      </w:r>
      <w:r w:rsidRPr="00BF2221">
        <w:rPr>
          <w:rFonts w:asciiTheme="minorHAnsi" w:hAnsiTheme="minorHAnsi" w:cs="Calibri"/>
          <w:b/>
          <w:bCs/>
        </w:rPr>
        <w:t>Preference Goal Requirements</w:t>
      </w:r>
      <w:r w:rsidRPr="00BF2221">
        <w:rPr>
          <w:rFonts w:asciiTheme="minorHAnsi" w:hAnsiTheme="minorHAnsi" w:cs="Calibri"/>
        </w:rPr>
        <w:t xml:space="preserve"> for this tender, will be interpreted to mean that preference points are not claimed.</w:t>
      </w:r>
    </w:p>
    <w:p w14:paraId="00051110" w14:textId="77777777" w:rsidR="00BF2221" w:rsidRPr="00BF2221" w:rsidRDefault="00BF2221" w:rsidP="00D95F72">
      <w:pPr>
        <w:numPr>
          <w:ilvl w:val="1"/>
          <w:numId w:val="30"/>
        </w:numPr>
        <w:ind w:left="1701"/>
        <w:rPr>
          <w:rFonts w:asciiTheme="minorHAnsi" w:hAnsiTheme="minorHAnsi" w:cs="Calibri"/>
        </w:rPr>
      </w:pPr>
      <w:r w:rsidRPr="00BF2221">
        <w:rPr>
          <w:rFonts w:asciiTheme="minorHAnsi" w:hAnsiTheme="minorHAnsi" w:cs="Calibri"/>
        </w:rPr>
        <w:t xml:space="preserve">The Bidder’s </w:t>
      </w:r>
      <w:r w:rsidRPr="00BF2221">
        <w:rPr>
          <w:rFonts w:asciiTheme="minorHAnsi" w:hAnsiTheme="minorHAnsi" w:cs="Calibri"/>
          <w:b/>
          <w:bCs/>
        </w:rPr>
        <w:t>commitment</w:t>
      </w:r>
      <w:r w:rsidRPr="00BF2221">
        <w:rPr>
          <w:rFonts w:asciiTheme="minorHAnsi" w:hAnsiTheme="minorHAnsi" w:cs="Calibri"/>
        </w:rPr>
        <w:t xml:space="preserve"> for the </w:t>
      </w:r>
      <w:r w:rsidRPr="00BF2221">
        <w:rPr>
          <w:rFonts w:asciiTheme="minorHAnsi" w:hAnsiTheme="minorHAnsi" w:cs="Calibri"/>
          <w:b/>
          <w:bCs/>
        </w:rPr>
        <w:t xml:space="preserve">Preference Goal Requirements </w:t>
      </w:r>
      <w:r w:rsidRPr="00BF2221">
        <w:rPr>
          <w:rFonts w:asciiTheme="minorHAnsi" w:hAnsiTheme="minorHAnsi" w:cs="Calibri"/>
        </w:rPr>
        <w:t xml:space="preserve">in this tender will be </w:t>
      </w:r>
      <w:r w:rsidRPr="00BF2221">
        <w:rPr>
          <w:rFonts w:asciiTheme="minorHAnsi" w:hAnsiTheme="minorHAnsi" w:cs="Calibri"/>
          <w:b/>
          <w:bCs/>
        </w:rPr>
        <w:t>legally binding</w:t>
      </w:r>
      <w:r w:rsidRPr="00BF2221">
        <w:rPr>
          <w:rFonts w:asciiTheme="minorHAnsi" w:hAnsiTheme="minorHAnsi" w:cs="Calibri"/>
        </w:rPr>
        <w:t xml:space="preserve"> and the Bidder needs to </w:t>
      </w:r>
      <w:r w:rsidRPr="00BF2221">
        <w:rPr>
          <w:rFonts w:asciiTheme="minorHAnsi" w:hAnsiTheme="minorHAnsi" w:cs="Calibri"/>
          <w:b/>
          <w:bCs/>
        </w:rPr>
        <w:t>perform against their commitment</w:t>
      </w:r>
      <w:r w:rsidRPr="00BF2221">
        <w:rPr>
          <w:rFonts w:asciiTheme="minorHAnsi" w:hAnsiTheme="minorHAnsi" w:cs="Calibri"/>
        </w:rPr>
        <w:t xml:space="preserve"> for the duration of the contract which will form part of the Contractual Agreement.</w:t>
      </w:r>
    </w:p>
    <w:p w14:paraId="5D6C41F1" w14:textId="77777777" w:rsidR="00BF2221" w:rsidRPr="00BF2221" w:rsidRDefault="00BF2221" w:rsidP="00D95F72">
      <w:pPr>
        <w:numPr>
          <w:ilvl w:val="1"/>
          <w:numId w:val="30"/>
        </w:numPr>
        <w:ind w:left="1701"/>
        <w:rPr>
          <w:rFonts w:asciiTheme="minorHAnsi" w:hAnsiTheme="minorHAnsi" w:cs="Calibri"/>
        </w:rPr>
      </w:pPr>
      <w:r w:rsidRPr="00BF2221">
        <w:rPr>
          <w:rFonts w:asciiTheme="minorHAnsi" w:hAnsiTheme="minorHAnsi" w:cs="Calibri"/>
        </w:rPr>
        <w:t xml:space="preserve">The Bidder </w:t>
      </w:r>
      <w:r w:rsidRPr="00BF2221">
        <w:rPr>
          <w:rFonts w:asciiTheme="minorHAnsi" w:hAnsiTheme="minorHAnsi" w:cs="Calibri"/>
          <w:b/>
          <w:bCs/>
        </w:rPr>
        <w:t>must sustain, or improve</w:t>
      </w:r>
      <w:r w:rsidRPr="00BF2221">
        <w:rPr>
          <w:rFonts w:asciiTheme="minorHAnsi" w:hAnsiTheme="minorHAnsi" w:cs="Calibri"/>
        </w:rPr>
        <w:t xml:space="preserve"> the company’s BBBEE Level for the duration of the contact which will form part of the Contractual Agreement.</w:t>
      </w:r>
    </w:p>
    <w:p w14:paraId="1D2A9E0F" w14:textId="77777777" w:rsidR="00BF2221" w:rsidRPr="00BF2221" w:rsidRDefault="00BF2221" w:rsidP="00D95F72">
      <w:pPr>
        <w:numPr>
          <w:ilvl w:val="1"/>
          <w:numId w:val="30"/>
        </w:numPr>
        <w:ind w:left="1701"/>
        <w:rPr>
          <w:rFonts w:asciiTheme="minorHAnsi" w:hAnsiTheme="minorHAnsi" w:cs="Calibri"/>
        </w:rPr>
      </w:pPr>
      <w:r w:rsidRPr="00BF2221">
        <w:rPr>
          <w:rFonts w:asciiTheme="minorHAnsi" w:hAnsiTheme="minorHAnsi" w:cs="Calibri"/>
          <w:b/>
          <w:bCs/>
        </w:rPr>
        <w:t>Performance of Preference Goal Requirements will be determined annually.</w:t>
      </w:r>
      <w:r w:rsidRPr="00BF2221">
        <w:rPr>
          <w:rFonts w:asciiTheme="minorHAnsi" w:hAnsiTheme="minorHAnsi" w:cs="Calibri"/>
        </w:rPr>
        <w:t xml:space="preserve"> Bidders must submit their Preference status report to SITA indicating progress against the Bidder’s Preferential commitments </w:t>
      </w:r>
      <w:r w:rsidRPr="00BF2221">
        <w:rPr>
          <w:rFonts w:asciiTheme="minorHAnsi" w:hAnsiTheme="minorHAnsi" w:cs="Calibri"/>
          <w:b/>
          <w:bCs/>
        </w:rPr>
        <w:t>within 30 days after each quarter from the commencement date of the contract</w:t>
      </w:r>
      <w:r w:rsidRPr="00BF2221">
        <w:rPr>
          <w:rFonts w:asciiTheme="minorHAnsi" w:hAnsiTheme="minorHAnsi" w:cs="Calibri"/>
        </w:rPr>
        <w:t>.</w:t>
      </w:r>
    </w:p>
    <w:p w14:paraId="06FE6F2F" w14:textId="77777777" w:rsidR="00BF2221" w:rsidRPr="00BF2221" w:rsidRDefault="00BF2221" w:rsidP="00D95F72">
      <w:pPr>
        <w:numPr>
          <w:ilvl w:val="1"/>
          <w:numId w:val="30"/>
        </w:numPr>
        <w:ind w:left="1701"/>
        <w:rPr>
          <w:rFonts w:asciiTheme="minorHAnsi" w:hAnsiTheme="minorHAnsi" w:cs="Calibri"/>
        </w:rPr>
      </w:pPr>
      <w:r w:rsidRPr="00BF2221">
        <w:rPr>
          <w:rFonts w:asciiTheme="minorHAnsi" w:hAnsiTheme="minorHAnsi" w:cs="Calibri"/>
        </w:rPr>
        <w:t xml:space="preserve">Bidders need to keep auditable substantive records / evidence and upon request by </w:t>
      </w:r>
      <w:r w:rsidRPr="00BF2221">
        <w:rPr>
          <w:rFonts w:asciiTheme="minorHAnsi" w:hAnsiTheme="minorHAnsi" w:cs="Calibri"/>
          <w:b/>
          <w:bCs/>
        </w:rPr>
        <w:t xml:space="preserve">SITA </w:t>
      </w:r>
      <w:r w:rsidRPr="00BF2221">
        <w:rPr>
          <w:rFonts w:asciiTheme="minorHAnsi" w:hAnsiTheme="minorHAnsi" w:cs="Calibri"/>
        </w:rPr>
        <w:t>must be made available for audit and, or due diligence purposes.</w:t>
      </w:r>
    </w:p>
    <w:p w14:paraId="69FC075C" w14:textId="77777777" w:rsidR="00BF2221" w:rsidRPr="00BF2221" w:rsidRDefault="00BF2221" w:rsidP="00D95F72">
      <w:pPr>
        <w:numPr>
          <w:ilvl w:val="1"/>
          <w:numId w:val="30"/>
        </w:numPr>
        <w:ind w:left="1701"/>
        <w:rPr>
          <w:rFonts w:asciiTheme="minorHAnsi" w:hAnsiTheme="minorHAnsi" w:cs="Calibri"/>
        </w:rPr>
      </w:pPr>
      <w:r w:rsidRPr="00BF2221">
        <w:rPr>
          <w:rFonts w:asciiTheme="minorHAnsi" w:hAnsiTheme="minorHAnsi" w:cs="Calibri"/>
          <w:b/>
          <w:bCs/>
        </w:rPr>
        <w:t>SITA reserves the right</w:t>
      </w:r>
      <w:r w:rsidRPr="00BF2221">
        <w:rPr>
          <w:rFonts w:asciiTheme="minorHAnsi" w:hAnsiTheme="minorHAnsi" w:cs="Calibri"/>
        </w:rPr>
        <w:t xml:space="preserve"> </w:t>
      </w:r>
      <w:r w:rsidRPr="00BF2221">
        <w:rPr>
          <w:rFonts w:asciiTheme="minorHAnsi" w:hAnsiTheme="minorHAnsi" w:cs="Calibri"/>
          <w:b/>
          <w:bCs/>
        </w:rPr>
        <w:t>to</w:t>
      </w:r>
      <w:r w:rsidRPr="00BF2221">
        <w:rPr>
          <w:rFonts w:asciiTheme="minorHAnsi" w:hAnsiTheme="minorHAnsi" w:cs="Calibri"/>
        </w:rPr>
        <w:t xml:space="preserve"> require from a Bidder, either before a bid is adjudicated or at any time subsequently, to substantiate any claim with regards to preferences, in any manner required by SITA.</w:t>
      </w:r>
    </w:p>
    <w:p w14:paraId="04B3317D" w14:textId="77777777" w:rsidR="00BF2221" w:rsidRPr="00BF2221" w:rsidRDefault="00BF2221" w:rsidP="00D95F72">
      <w:pPr>
        <w:numPr>
          <w:ilvl w:val="1"/>
          <w:numId w:val="30"/>
        </w:numPr>
        <w:ind w:left="1701"/>
        <w:rPr>
          <w:rFonts w:asciiTheme="minorHAnsi" w:hAnsiTheme="minorHAnsi" w:cs="Calibri"/>
        </w:rPr>
      </w:pPr>
      <w:r w:rsidRPr="00BF2221">
        <w:rPr>
          <w:rFonts w:asciiTheme="minorHAnsi" w:hAnsiTheme="minorHAnsi" w:cs="Calibri"/>
          <w:b/>
          <w:bCs/>
        </w:rPr>
        <w:t>SITA reserves the right to</w:t>
      </w:r>
      <w:r w:rsidRPr="00BF2221">
        <w:rPr>
          <w:rFonts w:asciiTheme="minorHAnsi" w:hAnsiTheme="minorHAnsi" w:cs="Calibri"/>
        </w:rPr>
        <w:t xml:space="preserve"> verify information / evidence provided by the Bidder.</w:t>
      </w:r>
    </w:p>
    <w:p w14:paraId="697E2C73" w14:textId="77777777" w:rsidR="00BF2221" w:rsidRPr="00BF2221" w:rsidRDefault="00BF2221" w:rsidP="00D95F72">
      <w:pPr>
        <w:numPr>
          <w:ilvl w:val="1"/>
          <w:numId w:val="30"/>
        </w:numPr>
        <w:ind w:left="1701"/>
        <w:rPr>
          <w:rFonts w:asciiTheme="minorHAnsi" w:hAnsiTheme="minorHAnsi" w:cs="Calibri"/>
          <w:b/>
          <w:bCs/>
        </w:rPr>
      </w:pPr>
      <w:r w:rsidRPr="00BF2221">
        <w:rPr>
          <w:rFonts w:asciiTheme="minorHAnsi" w:hAnsiTheme="minorHAnsi" w:cs="Calibri"/>
          <w:b/>
          <w:bCs/>
        </w:rPr>
        <w:t>SITA reserves the right to</w:t>
      </w:r>
      <w:r w:rsidRPr="00BF2221">
        <w:rPr>
          <w:rFonts w:asciiTheme="minorHAnsi" w:hAnsiTheme="minorHAnsi" w:cs="Calibri"/>
        </w:rPr>
        <w:t xml:space="preserve"> introduce a </w:t>
      </w:r>
      <w:r w:rsidRPr="00BF2221">
        <w:rPr>
          <w:rFonts w:asciiTheme="minorHAnsi" w:hAnsiTheme="minorHAnsi" w:cs="Calibri"/>
          <w:b/>
          <w:bCs/>
        </w:rPr>
        <w:t>penalty of 1%</w:t>
      </w:r>
      <w:r w:rsidRPr="00BF2221">
        <w:rPr>
          <w:rFonts w:asciiTheme="minorHAnsi" w:hAnsiTheme="minorHAnsi" w:cs="Calibri"/>
        </w:rPr>
        <w:t xml:space="preserve"> of the overall annual year spent by </w:t>
      </w:r>
      <w:r w:rsidRPr="00BF2221">
        <w:rPr>
          <w:rFonts w:asciiTheme="minorHAnsi" w:hAnsiTheme="minorHAnsi" w:cs="Calibri"/>
          <w:b/>
          <w:bCs/>
        </w:rPr>
        <w:t>SITA</w:t>
      </w:r>
      <w:r w:rsidRPr="00BF2221">
        <w:rPr>
          <w:rFonts w:asciiTheme="minorHAnsi" w:hAnsiTheme="minorHAnsi" w:cs="Calibri"/>
        </w:rPr>
        <w:t xml:space="preserve"> for the prior year if the Bidder fails to comply to </w:t>
      </w:r>
      <w:r w:rsidRPr="00BF2221">
        <w:rPr>
          <w:rFonts w:asciiTheme="minorHAnsi" w:hAnsiTheme="minorHAnsi" w:cs="Calibri"/>
          <w:b/>
          <w:bCs/>
        </w:rPr>
        <w:t>paragraphs (v), (vi)and (vii) above.</w:t>
      </w:r>
    </w:p>
    <w:p w14:paraId="287C1FC8" w14:textId="77777777" w:rsidR="00BF2221" w:rsidRPr="00BF2221" w:rsidRDefault="00BF2221" w:rsidP="00BF2221">
      <w:pPr>
        <w:ind w:left="1134"/>
        <w:rPr>
          <w:rFonts w:asciiTheme="minorHAnsi" w:hAnsiTheme="minorHAnsi" w:cs="Calibri"/>
          <w:b/>
          <w:bCs/>
        </w:rPr>
      </w:pPr>
    </w:p>
    <w:p w14:paraId="3CDBF3A1" w14:textId="77777777" w:rsidR="00BF2221" w:rsidRPr="00BF2221" w:rsidRDefault="00BF2221" w:rsidP="00BF2221">
      <w:pPr>
        <w:ind w:left="1134"/>
        <w:rPr>
          <w:rFonts w:asciiTheme="minorHAnsi" w:hAnsiTheme="minorHAnsi" w:cs="Calibri"/>
          <w:b/>
          <w:bCs/>
        </w:rPr>
      </w:pPr>
    </w:p>
    <w:p w14:paraId="6AEE3A02" w14:textId="77777777" w:rsidR="00BF2221" w:rsidRPr="00BF2221" w:rsidRDefault="00BF2221" w:rsidP="00BF2221">
      <w:pPr>
        <w:ind w:left="1134"/>
        <w:rPr>
          <w:rFonts w:asciiTheme="minorHAnsi" w:hAnsiTheme="minorHAnsi" w:cs="Calibri"/>
          <w:b/>
          <w:bCs/>
        </w:rPr>
      </w:pPr>
    </w:p>
    <w:p w14:paraId="5034436E" w14:textId="77777777" w:rsidR="00BF2221" w:rsidRPr="00BF2221" w:rsidRDefault="00BF2221" w:rsidP="00BF2221">
      <w:pPr>
        <w:ind w:left="1134"/>
        <w:rPr>
          <w:rFonts w:asciiTheme="minorHAnsi" w:hAnsiTheme="minorHAnsi" w:cs="Calibri"/>
          <w:b/>
          <w:bCs/>
        </w:rPr>
      </w:pPr>
    </w:p>
    <w:p w14:paraId="000BB199" w14:textId="77777777" w:rsidR="00BF2221" w:rsidRPr="00BF2221" w:rsidRDefault="00BF2221" w:rsidP="00BF2221">
      <w:pPr>
        <w:ind w:left="1134"/>
        <w:rPr>
          <w:rFonts w:asciiTheme="minorHAnsi" w:hAnsiTheme="minorHAnsi" w:cs="Calibri"/>
          <w:b/>
          <w:bCs/>
        </w:rPr>
      </w:pPr>
    </w:p>
    <w:p w14:paraId="5BA8FDDE" w14:textId="77777777" w:rsidR="00BF2221" w:rsidRPr="00BF2221" w:rsidRDefault="00BF2221" w:rsidP="00BF2221">
      <w:pPr>
        <w:ind w:left="1134"/>
        <w:rPr>
          <w:rFonts w:asciiTheme="minorHAnsi" w:hAnsiTheme="minorHAnsi" w:cs="Calibri"/>
          <w:b/>
          <w:bCs/>
        </w:rPr>
      </w:pPr>
    </w:p>
    <w:p w14:paraId="7D200BD5" w14:textId="77777777" w:rsidR="00BF2221" w:rsidRPr="00BF2221" w:rsidRDefault="00BF2221" w:rsidP="00BF2221">
      <w:pPr>
        <w:ind w:left="1134"/>
        <w:rPr>
          <w:rFonts w:asciiTheme="minorHAnsi" w:hAnsiTheme="minorHAnsi" w:cs="Calibri"/>
          <w:b/>
          <w:bCs/>
        </w:rPr>
      </w:pPr>
    </w:p>
    <w:p w14:paraId="5172DE38" w14:textId="77777777" w:rsidR="00BF2221" w:rsidRPr="00BF2221" w:rsidRDefault="00BF2221" w:rsidP="00BF2221">
      <w:pPr>
        <w:ind w:left="1134"/>
        <w:rPr>
          <w:rFonts w:asciiTheme="minorHAnsi" w:hAnsiTheme="minorHAnsi" w:cs="Calibri"/>
          <w:b/>
          <w:bCs/>
        </w:rPr>
      </w:pPr>
    </w:p>
    <w:p w14:paraId="3EC3DD4A" w14:textId="77777777" w:rsidR="00BF2221" w:rsidRPr="00BF2221" w:rsidRDefault="00BF2221" w:rsidP="00BF2221">
      <w:pPr>
        <w:ind w:left="1134"/>
        <w:rPr>
          <w:rFonts w:asciiTheme="minorHAnsi" w:hAnsiTheme="minorHAnsi" w:cs="Calibri"/>
          <w:b/>
          <w:bCs/>
        </w:rPr>
      </w:pPr>
    </w:p>
    <w:p w14:paraId="56182F79" w14:textId="77777777" w:rsidR="00BF2221" w:rsidRPr="00BF2221" w:rsidRDefault="00BF2221" w:rsidP="00BF2221">
      <w:pPr>
        <w:ind w:left="1134"/>
        <w:rPr>
          <w:rFonts w:asciiTheme="minorHAnsi" w:hAnsiTheme="minorHAnsi" w:cs="Calibri"/>
          <w:b/>
          <w:bCs/>
        </w:rPr>
      </w:pPr>
    </w:p>
    <w:p w14:paraId="78E207C0" w14:textId="77777777" w:rsidR="00BF2221" w:rsidRPr="00BF2221" w:rsidRDefault="00BF2221" w:rsidP="00BF2221">
      <w:pPr>
        <w:ind w:left="1134"/>
        <w:rPr>
          <w:rFonts w:asciiTheme="minorHAnsi" w:hAnsiTheme="minorHAnsi" w:cs="Calibri"/>
          <w:b/>
          <w:bCs/>
        </w:rPr>
        <w:sectPr w:rsidR="00BF2221" w:rsidRPr="00BF2221" w:rsidSect="00BF2221">
          <w:pgSz w:w="11906" w:h="16838"/>
          <w:pgMar w:top="1134" w:right="1134" w:bottom="1134" w:left="1134" w:header="680" w:footer="344" w:gutter="0"/>
          <w:cols w:space="720"/>
        </w:sectPr>
      </w:pPr>
    </w:p>
    <w:p w14:paraId="125045F1" w14:textId="77777777" w:rsidR="00BF2221" w:rsidRPr="00BF2221" w:rsidRDefault="00BF2221" w:rsidP="00BF2221">
      <w:pPr>
        <w:jc w:val="center"/>
        <w:rPr>
          <w:rFonts w:cs="Calibri"/>
          <w:b/>
          <w:bCs/>
        </w:rPr>
      </w:pPr>
      <w:r w:rsidRPr="00BF2221">
        <w:rPr>
          <w:rFonts w:cs="Calibri"/>
          <w:b/>
          <w:bCs/>
          <w:szCs w:val="24"/>
        </w:rPr>
        <w:lastRenderedPageBreak/>
        <w:t xml:space="preserve">Table 4: </w:t>
      </w:r>
      <w:r w:rsidRPr="00BF2221">
        <w:rPr>
          <w:rFonts w:cs="Calibri"/>
          <w:szCs w:val="24"/>
        </w:rPr>
        <w:t>Preference Goal Requirements (Specific Goals)</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2693"/>
        <w:gridCol w:w="6379"/>
        <w:gridCol w:w="3402"/>
      </w:tblGrid>
      <w:tr w:rsidR="00BF2221" w:rsidRPr="00BF2221" w14:paraId="0E9CE6A9" w14:textId="77777777" w:rsidTr="0089122A">
        <w:trPr>
          <w:trHeight w:val="496"/>
          <w:tblHeader/>
        </w:trPr>
        <w:tc>
          <w:tcPr>
            <w:tcW w:w="2684" w:type="dxa"/>
            <w:shd w:val="clear" w:color="000000" w:fill="DBE5F1"/>
          </w:tcPr>
          <w:p w14:paraId="2C97E553" w14:textId="77777777" w:rsidR="00BF2221" w:rsidRPr="00BF2221" w:rsidRDefault="00BF2221" w:rsidP="00BF2221">
            <w:pPr>
              <w:jc w:val="left"/>
              <w:rPr>
                <w:rFonts w:cs="Calibri"/>
                <w:b/>
                <w:bCs/>
                <w:color w:val="0E1B8D"/>
                <w:szCs w:val="24"/>
                <w:lang w:eastAsia="en-GB"/>
              </w:rPr>
            </w:pPr>
            <w:r w:rsidRPr="00BF2221">
              <w:rPr>
                <w:rFonts w:cs="Calibri"/>
                <w:b/>
                <w:bCs/>
                <w:color w:val="0E1B8D"/>
                <w:szCs w:val="24"/>
                <w:lang w:eastAsia="en-GB"/>
              </w:rPr>
              <w:t>Preference Goal Requirement #</w:t>
            </w:r>
          </w:p>
        </w:tc>
        <w:tc>
          <w:tcPr>
            <w:tcW w:w="2693" w:type="dxa"/>
            <w:shd w:val="clear" w:color="000000" w:fill="DBE5F1"/>
            <w:hideMark/>
          </w:tcPr>
          <w:p w14:paraId="5A457286" w14:textId="77777777" w:rsidR="00BF2221" w:rsidRPr="00BF2221" w:rsidRDefault="00BF2221" w:rsidP="00BF2221">
            <w:pPr>
              <w:jc w:val="left"/>
              <w:rPr>
                <w:rFonts w:cs="Calibri"/>
                <w:b/>
                <w:bCs/>
                <w:color w:val="0E1B8D"/>
                <w:szCs w:val="24"/>
                <w:lang w:eastAsia="en-GB"/>
              </w:rPr>
            </w:pPr>
            <w:r w:rsidRPr="00BF2221">
              <w:rPr>
                <w:rFonts w:cs="Calibri"/>
                <w:b/>
                <w:bCs/>
                <w:color w:val="0E1B8D"/>
                <w:szCs w:val="24"/>
                <w:lang w:eastAsia="en-GB"/>
              </w:rPr>
              <w:t>Preferential Goal Requirements</w:t>
            </w:r>
          </w:p>
        </w:tc>
        <w:tc>
          <w:tcPr>
            <w:tcW w:w="9781" w:type="dxa"/>
            <w:gridSpan w:val="2"/>
            <w:shd w:val="clear" w:color="000000" w:fill="DBE5F1"/>
            <w:hideMark/>
          </w:tcPr>
          <w:p w14:paraId="3547628F" w14:textId="77777777" w:rsidR="00BF2221" w:rsidRPr="00BF2221" w:rsidRDefault="00BF2221" w:rsidP="00BF2221">
            <w:pPr>
              <w:jc w:val="left"/>
              <w:rPr>
                <w:rFonts w:cs="Calibri"/>
                <w:b/>
                <w:bCs/>
                <w:color w:val="0E1B8D"/>
                <w:szCs w:val="24"/>
                <w:lang w:eastAsia="en-GB"/>
              </w:rPr>
            </w:pPr>
            <w:r w:rsidRPr="00BF2221">
              <w:rPr>
                <w:rFonts w:cs="Calibri"/>
                <w:b/>
                <w:bCs/>
                <w:color w:val="0E1B8D"/>
                <w:szCs w:val="24"/>
                <w:lang w:eastAsia="en-GB"/>
              </w:rPr>
              <w:t xml:space="preserve">Preferential Goal Requirements </w:t>
            </w:r>
          </w:p>
        </w:tc>
      </w:tr>
      <w:tr w:rsidR="00BF2221" w:rsidRPr="00BF2221" w14:paraId="16CFFF04" w14:textId="77777777" w:rsidTr="0089122A">
        <w:trPr>
          <w:trHeight w:val="1683"/>
          <w:tblHeader/>
        </w:trPr>
        <w:tc>
          <w:tcPr>
            <w:tcW w:w="2684" w:type="dxa"/>
            <w:shd w:val="clear" w:color="000000" w:fill="DBE5F1"/>
          </w:tcPr>
          <w:p w14:paraId="3449ABA6" w14:textId="77777777" w:rsidR="00BF2221" w:rsidRPr="00BF2221" w:rsidRDefault="00BF2221" w:rsidP="00BF2221">
            <w:pPr>
              <w:jc w:val="left"/>
              <w:rPr>
                <w:rFonts w:cs="Calibri"/>
                <w:b/>
                <w:bCs/>
                <w:color w:val="0E1B8D"/>
                <w:szCs w:val="24"/>
                <w:lang w:eastAsia="en-GB"/>
              </w:rPr>
            </w:pPr>
          </w:p>
        </w:tc>
        <w:tc>
          <w:tcPr>
            <w:tcW w:w="2693" w:type="dxa"/>
            <w:shd w:val="clear" w:color="000000" w:fill="DBE5F1"/>
            <w:hideMark/>
          </w:tcPr>
          <w:p w14:paraId="094AD95F" w14:textId="77777777" w:rsidR="00BF2221" w:rsidRPr="00BF2221" w:rsidRDefault="00BF2221" w:rsidP="00BF2221">
            <w:pPr>
              <w:jc w:val="left"/>
              <w:rPr>
                <w:rFonts w:cs="Calibri"/>
                <w:b/>
                <w:bCs/>
                <w:color w:val="0E1B8D"/>
                <w:szCs w:val="24"/>
                <w:lang w:eastAsia="en-GB"/>
              </w:rPr>
            </w:pPr>
            <w:r w:rsidRPr="00BF2221">
              <w:rPr>
                <w:rFonts w:cs="Calibri"/>
                <w:b/>
                <w:bCs/>
                <w:color w:val="0E1B8D"/>
                <w:szCs w:val="24"/>
                <w:lang w:eastAsia="en-GB"/>
              </w:rPr>
              <w:t>Preferential Goal Requirements allocated for this tender</w:t>
            </w:r>
          </w:p>
        </w:tc>
        <w:tc>
          <w:tcPr>
            <w:tcW w:w="6379" w:type="dxa"/>
            <w:shd w:val="clear" w:color="000000" w:fill="DBE5F1"/>
            <w:hideMark/>
          </w:tcPr>
          <w:p w14:paraId="1781D1BA" w14:textId="77777777" w:rsidR="00BF2221" w:rsidRPr="00BF2221" w:rsidRDefault="00BF2221" w:rsidP="00BF2221">
            <w:pPr>
              <w:jc w:val="left"/>
              <w:rPr>
                <w:rFonts w:cs="Calibri"/>
                <w:b/>
                <w:bCs/>
                <w:color w:val="0E1B8D"/>
                <w:szCs w:val="24"/>
                <w:highlight w:val="cyan"/>
                <w:lang w:eastAsia="en-GB"/>
              </w:rPr>
            </w:pPr>
          </w:p>
          <w:p w14:paraId="6A579998" w14:textId="77777777" w:rsidR="00BF2221" w:rsidRPr="00BF2221" w:rsidRDefault="00BF2221" w:rsidP="00BF2221">
            <w:pPr>
              <w:jc w:val="left"/>
              <w:rPr>
                <w:rFonts w:cs="Calibri"/>
                <w:b/>
                <w:bCs/>
                <w:color w:val="0E1B8D"/>
                <w:szCs w:val="24"/>
                <w:lang w:eastAsia="en-GB"/>
              </w:rPr>
            </w:pPr>
            <w:r w:rsidRPr="00BF2221">
              <w:rPr>
                <w:rFonts w:cs="Calibri"/>
                <w:b/>
                <w:bCs/>
                <w:color w:val="0E1B8D"/>
                <w:szCs w:val="24"/>
                <w:lang w:eastAsia="en-GB"/>
              </w:rPr>
              <w:t xml:space="preserve">Substantiating evidence and evidence reference to be completed by bidder. </w:t>
            </w:r>
            <w:r w:rsidRPr="00BF2221">
              <w:rPr>
                <w:rFonts w:cs="Calibri"/>
                <w:b/>
                <w:bCs/>
                <w:color w:val="0E1B8D"/>
                <w:szCs w:val="24"/>
                <w:lang w:eastAsia="en-GB"/>
              </w:rPr>
              <w:br/>
              <w:t xml:space="preserve">Evaluation per requirement: Each requirement indicated in the table below must be completed and points will be allocated based on the evidence required below </w:t>
            </w:r>
          </w:p>
        </w:tc>
        <w:tc>
          <w:tcPr>
            <w:tcW w:w="3402" w:type="dxa"/>
            <w:shd w:val="clear" w:color="000000" w:fill="DBE5F1"/>
            <w:hideMark/>
          </w:tcPr>
          <w:p w14:paraId="3DAC51EE" w14:textId="77777777" w:rsidR="00BF2221" w:rsidRPr="00BF2221" w:rsidRDefault="00BF2221" w:rsidP="00BF2221">
            <w:pPr>
              <w:jc w:val="left"/>
              <w:rPr>
                <w:rFonts w:cs="Calibri"/>
                <w:b/>
                <w:bCs/>
                <w:color w:val="0E1B8D"/>
                <w:szCs w:val="24"/>
                <w:lang w:eastAsia="en-GB"/>
              </w:rPr>
            </w:pPr>
            <w:r w:rsidRPr="00BF2221">
              <w:rPr>
                <w:rFonts w:cs="Calibri"/>
                <w:b/>
                <w:bCs/>
                <w:color w:val="0E1B8D"/>
                <w:szCs w:val="24"/>
                <w:lang w:eastAsia="en-GB"/>
              </w:rPr>
              <w:t>Evidence Reference</w:t>
            </w:r>
          </w:p>
        </w:tc>
      </w:tr>
      <w:tr w:rsidR="00BF2221" w:rsidRPr="00BF2221" w14:paraId="1D493813" w14:textId="77777777" w:rsidTr="0089122A">
        <w:trPr>
          <w:trHeight w:val="2144"/>
        </w:trPr>
        <w:tc>
          <w:tcPr>
            <w:tcW w:w="2684" w:type="dxa"/>
          </w:tcPr>
          <w:p w14:paraId="4476F0FA" w14:textId="620D02D4" w:rsidR="00BF2221" w:rsidRPr="00BF2221" w:rsidRDefault="00BF2221" w:rsidP="00BF2221">
            <w:pPr>
              <w:jc w:val="left"/>
              <w:rPr>
                <w:rFonts w:cs="Calibri"/>
                <w:szCs w:val="24"/>
                <w:lang w:eastAsia="en-GB"/>
              </w:rPr>
            </w:pPr>
            <w:r w:rsidRPr="00BF2221">
              <w:rPr>
                <w:rFonts w:cs="Calibri"/>
                <w:szCs w:val="24"/>
                <w:lang w:eastAsia="en-GB"/>
              </w:rPr>
              <w:t>1</w:t>
            </w:r>
          </w:p>
        </w:tc>
        <w:tc>
          <w:tcPr>
            <w:tcW w:w="2693" w:type="dxa"/>
            <w:shd w:val="clear" w:color="auto" w:fill="auto"/>
            <w:hideMark/>
          </w:tcPr>
          <w:p w14:paraId="22078D53" w14:textId="77777777" w:rsidR="00BF2221" w:rsidRPr="00BF2221" w:rsidRDefault="00BF2221" w:rsidP="00BF2221">
            <w:pPr>
              <w:jc w:val="left"/>
              <w:rPr>
                <w:rFonts w:cs="Calibri"/>
                <w:szCs w:val="24"/>
                <w:lang w:eastAsia="en-GB"/>
              </w:rPr>
            </w:pPr>
            <w:r w:rsidRPr="00BF2221">
              <w:rPr>
                <w:rFonts w:cs="Calibri"/>
                <w:b/>
                <w:bCs/>
                <w:szCs w:val="24"/>
                <w:lang w:eastAsia="en-GB"/>
              </w:rPr>
              <w:t>B-BBEE Requirements</w:t>
            </w:r>
          </w:p>
          <w:p w14:paraId="16C56F37" w14:textId="77777777" w:rsidR="00BF2221" w:rsidRPr="00BF2221" w:rsidRDefault="00BF2221" w:rsidP="00BF2221">
            <w:pPr>
              <w:jc w:val="left"/>
              <w:rPr>
                <w:rFonts w:cs="Calibri"/>
                <w:szCs w:val="24"/>
                <w:lang w:eastAsia="en-GB"/>
              </w:rPr>
            </w:pPr>
            <w:r w:rsidRPr="00BF2221">
              <w:rPr>
                <w:rFonts w:cs="Calibri"/>
                <w:szCs w:val="24"/>
                <w:lang w:eastAsia="en-GB"/>
              </w:rPr>
              <w:t>Promotion of Transformational Objectives.</w:t>
            </w:r>
          </w:p>
        </w:tc>
        <w:tc>
          <w:tcPr>
            <w:tcW w:w="6379" w:type="dxa"/>
            <w:shd w:val="clear" w:color="auto" w:fill="auto"/>
            <w:vAlign w:val="center"/>
            <w:hideMark/>
          </w:tcPr>
          <w:p w14:paraId="2F483E17" w14:textId="77777777" w:rsidR="00BF2221" w:rsidRPr="00BF2221" w:rsidRDefault="00BF2221" w:rsidP="00BF2221">
            <w:pPr>
              <w:jc w:val="center"/>
              <w:rPr>
                <w:rFonts w:cs="Calibri"/>
                <w:szCs w:val="24"/>
                <w:lang w:eastAsia="en-GB"/>
              </w:rPr>
            </w:pPr>
          </w:p>
          <w:p w14:paraId="0182B92C" w14:textId="77777777" w:rsidR="00BF2221" w:rsidRPr="00BF2221" w:rsidRDefault="00BF2221" w:rsidP="00BF2221">
            <w:pPr>
              <w:spacing w:after="0" w:line="240" w:lineRule="auto"/>
              <w:jc w:val="left"/>
              <w:rPr>
                <w:rFonts w:cs="Calibri"/>
                <w:szCs w:val="24"/>
                <w:lang w:eastAsia="en-GB"/>
              </w:rPr>
            </w:pPr>
            <w:r w:rsidRPr="00BF2221">
              <w:rPr>
                <w:rFonts w:cs="Calibri"/>
                <w:b/>
                <w:bCs/>
                <w:lang w:eastAsia="en-GB"/>
              </w:rPr>
              <w:t>Evidence:</w:t>
            </w:r>
            <w:r w:rsidRPr="00BF2221">
              <w:rPr>
                <w:rFonts w:cs="Calibri"/>
                <w:b/>
                <w:bCs/>
                <w:lang w:eastAsia="en-GB"/>
              </w:rPr>
              <w:br/>
            </w:r>
            <w:r w:rsidRPr="00BF2221">
              <w:rPr>
                <w:rFonts w:cs="Calibri"/>
                <w:szCs w:val="24"/>
                <w:lang w:eastAsia="en-GB"/>
              </w:rPr>
              <w:t>The Bidder must provide a copy of the following relevant evidence for the Preferential Goal points which the Bidder qualifies for:</w:t>
            </w:r>
          </w:p>
          <w:p w14:paraId="0F068509" w14:textId="77777777" w:rsidR="00BF2221" w:rsidRPr="00BF2221" w:rsidRDefault="00BF2221" w:rsidP="00D95F72">
            <w:pPr>
              <w:numPr>
                <w:ilvl w:val="0"/>
                <w:numId w:val="32"/>
              </w:numPr>
              <w:spacing w:after="0"/>
              <w:ind w:left="460" w:hanging="460"/>
              <w:jc w:val="left"/>
              <w:outlineLvl w:val="0"/>
              <w:rPr>
                <w:rFonts w:asciiTheme="minorHAnsi" w:hAnsiTheme="minorHAnsi" w:cs="Calibri"/>
                <w:szCs w:val="24"/>
              </w:rPr>
            </w:pPr>
            <w:r w:rsidRPr="00BF2221">
              <w:rPr>
                <w:rFonts w:asciiTheme="minorHAnsi" w:hAnsiTheme="minorHAnsi" w:cs="Calibri"/>
                <w:b/>
                <w:bCs/>
                <w:szCs w:val="24"/>
              </w:rPr>
              <w:t>Columns A, B, C and D in tables 5A or 5B</w:t>
            </w:r>
          </w:p>
          <w:p w14:paraId="082A58A8" w14:textId="77777777" w:rsidR="00BF2221" w:rsidRPr="00BF2221" w:rsidRDefault="00BF2221" w:rsidP="00BF2221">
            <w:pPr>
              <w:spacing w:after="0"/>
              <w:ind w:left="460"/>
              <w:jc w:val="left"/>
              <w:outlineLvl w:val="0"/>
              <w:rPr>
                <w:rFonts w:asciiTheme="minorHAnsi" w:hAnsiTheme="minorHAnsi" w:cs="Calibri"/>
                <w:szCs w:val="24"/>
              </w:rPr>
            </w:pPr>
            <w:r w:rsidRPr="00BF2221">
              <w:rPr>
                <w:rFonts w:asciiTheme="minorHAnsi" w:hAnsiTheme="minorHAnsi"/>
                <w:bCs/>
                <w:szCs w:val="24"/>
              </w:rPr>
              <w:t xml:space="preserve">Copy of relevant proof of the following to confirm the B-BBEE status of the contributor </w:t>
            </w:r>
            <w:r w:rsidRPr="00BF2221">
              <w:rPr>
                <w:rFonts w:asciiTheme="minorHAnsi" w:hAnsiTheme="minorHAnsi" w:cs="Calibri"/>
                <w:szCs w:val="24"/>
              </w:rPr>
              <w:t xml:space="preserve">as defined in </w:t>
            </w:r>
            <w:r w:rsidRPr="00BF2221">
              <w:rPr>
                <w:rFonts w:asciiTheme="minorHAnsi" w:hAnsiTheme="minorHAnsi"/>
                <w:bCs/>
                <w:szCs w:val="24"/>
              </w:rPr>
              <w:t>the</w:t>
            </w:r>
            <w:r w:rsidRPr="00BF2221">
              <w:rPr>
                <w:rFonts w:asciiTheme="minorHAnsi" w:hAnsiTheme="minorHAnsi" w:cs="Calibri"/>
                <w:szCs w:val="24"/>
              </w:rPr>
              <w:t xml:space="preserve"> Broad-Based Black Economic Empowerment Act:</w:t>
            </w:r>
          </w:p>
          <w:p w14:paraId="5B97CE5A" w14:textId="77777777" w:rsidR="00BF2221" w:rsidRPr="00BF2221" w:rsidRDefault="00BF2221" w:rsidP="00D95F72">
            <w:pPr>
              <w:numPr>
                <w:ilvl w:val="4"/>
                <w:numId w:val="30"/>
              </w:numPr>
              <w:spacing w:after="0"/>
              <w:ind w:left="746" w:hanging="284"/>
              <w:jc w:val="left"/>
              <w:outlineLvl w:val="0"/>
              <w:rPr>
                <w:rFonts w:asciiTheme="minorHAnsi" w:hAnsiTheme="minorHAnsi"/>
                <w:bCs/>
                <w:i/>
                <w:iCs/>
                <w:szCs w:val="24"/>
              </w:rPr>
            </w:pPr>
            <w:r w:rsidRPr="00BF2221">
              <w:rPr>
                <w:rFonts w:asciiTheme="minorHAnsi" w:hAnsiTheme="minorHAnsi"/>
                <w:b/>
                <w:i/>
                <w:iCs/>
                <w:szCs w:val="24"/>
              </w:rPr>
              <w:t>B-BBEE certificate</w:t>
            </w:r>
            <w:r w:rsidRPr="00BF2221">
              <w:rPr>
                <w:rFonts w:asciiTheme="minorHAnsi" w:hAnsiTheme="minorHAnsi"/>
                <w:bCs/>
                <w:i/>
                <w:iCs/>
                <w:szCs w:val="24"/>
              </w:rPr>
              <w:t xml:space="preserve"> (from a SANAS Accredited Agency);</w:t>
            </w:r>
          </w:p>
          <w:p w14:paraId="69D4466B" w14:textId="77777777" w:rsidR="00BF2221" w:rsidRPr="00BF2221" w:rsidRDefault="00BF2221" w:rsidP="00BF2221">
            <w:pPr>
              <w:spacing w:after="0"/>
              <w:ind w:left="746"/>
              <w:jc w:val="left"/>
              <w:outlineLvl w:val="0"/>
              <w:rPr>
                <w:rFonts w:asciiTheme="minorHAnsi" w:hAnsiTheme="minorHAnsi"/>
                <w:b/>
                <w:szCs w:val="24"/>
              </w:rPr>
            </w:pPr>
            <w:r w:rsidRPr="00BF2221">
              <w:rPr>
                <w:rFonts w:asciiTheme="minorHAnsi" w:hAnsiTheme="minorHAnsi"/>
                <w:b/>
                <w:szCs w:val="24"/>
              </w:rPr>
              <w:t xml:space="preserve">or </w:t>
            </w:r>
          </w:p>
          <w:p w14:paraId="0F9E78CD" w14:textId="77777777" w:rsidR="00BF2221" w:rsidRPr="00BF2221" w:rsidRDefault="00BF2221" w:rsidP="00BF2221">
            <w:pPr>
              <w:spacing w:after="0"/>
              <w:ind w:left="746"/>
              <w:jc w:val="left"/>
              <w:outlineLvl w:val="0"/>
              <w:rPr>
                <w:rFonts w:asciiTheme="minorHAnsi" w:hAnsiTheme="minorHAnsi" w:cs="Calibri"/>
                <w:bCs/>
                <w:szCs w:val="24"/>
              </w:rPr>
            </w:pPr>
            <w:r w:rsidRPr="00BF2221">
              <w:rPr>
                <w:rFonts w:asciiTheme="minorHAnsi" w:hAnsiTheme="minorHAnsi"/>
                <w:b/>
                <w:i/>
                <w:iCs/>
                <w:szCs w:val="24"/>
              </w:rPr>
              <w:t xml:space="preserve">Sworn affidavit </w:t>
            </w:r>
            <w:r w:rsidRPr="00BF2221">
              <w:rPr>
                <w:rFonts w:asciiTheme="minorHAnsi" w:hAnsiTheme="minorHAnsi"/>
                <w:bCs/>
                <w:szCs w:val="24"/>
              </w:rPr>
              <w:t>in the format provided by CIPC -</w:t>
            </w:r>
            <w:r w:rsidRPr="00BF2221">
              <w:rPr>
                <w:rFonts w:asciiTheme="minorHAnsi" w:hAnsiTheme="minorHAnsi"/>
                <w:b/>
                <w:i/>
                <w:iCs/>
                <w:szCs w:val="24"/>
              </w:rPr>
              <w:t xml:space="preserve"> Applicable to EMEs and QSEs only</w:t>
            </w:r>
            <w:r w:rsidRPr="00BF2221">
              <w:rPr>
                <w:rFonts w:asciiTheme="minorHAnsi" w:hAnsiTheme="minorHAnsi"/>
                <w:bCs/>
                <w:i/>
                <w:iCs/>
                <w:szCs w:val="24"/>
              </w:rPr>
              <w:t>;</w:t>
            </w:r>
          </w:p>
          <w:p w14:paraId="4D8D0299" w14:textId="77777777" w:rsidR="00BF2221" w:rsidRPr="00BF2221" w:rsidRDefault="00BF2221" w:rsidP="00BF2221">
            <w:pPr>
              <w:spacing w:after="0"/>
              <w:ind w:left="460"/>
              <w:jc w:val="left"/>
              <w:outlineLvl w:val="0"/>
              <w:rPr>
                <w:rFonts w:asciiTheme="minorHAnsi" w:hAnsiTheme="minorHAnsi" w:cs="Calibri"/>
                <w:szCs w:val="24"/>
              </w:rPr>
            </w:pPr>
            <w:r w:rsidRPr="00BF2221">
              <w:rPr>
                <w:rFonts w:asciiTheme="minorHAnsi" w:hAnsiTheme="minorHAnsi" w:cs="Calibri"/>
                <w:b/>
                <w:bCs/>
                <w:szCs w:val="24"/>
              </w:rPr>
              <w:t>and/ or</w:t>
            </w:r>
          </w:p>
          <w:p w14:paraId="35A99547" w14:textId="77777777" w:rsidR="00BF2221" w:rsidRPr="00BF2221" w:rsidRDefault="00BF2221" w:rsidP="00D95F72">
            <w:pPr>
              <w:numPr>
                <w:ilvl w:val="0"/>
                <w:numId w:val="32"/>
              </w:numPr>
              <w:spacing w:after="0"/>
              <w:ind w:left="460" w:hanging="460"/>
              <w:jc w:val="left"/>
              <w:outlineLvl w:val="0"/>
              <w:rPr>
                <w:rFonts w:asciiTheme="minorHAnsi" w:hAnsiTheme="minorHAnsi" w:cs="Calibri"/>
                <w:b/>
                <w:bCs/>
                <w:szCs w:val="24"/>
              </w:rPr>
            </w:pPr>
            <w:r w:rsidRPr="00BF2221">
              <w:rPr>
                <w:rFonts w:asciiTheme="minorHAnsi" w:hAnsiTheme="minorHAnsi" w:cs="Calibri"/>
                <w:b/>
                <w:bCs/>
                <w:szCs w:val="24"/>
              </w:rPr>
              <w:t>Column D in tables 5A or 5B</w:t>
            </w:r>
          </w:p>
          <w:p w14:paraId="45D09BA3" w14:textId="77777777" w:rsidR="00BF2221" w:rsidRPr="00BF2221" w:rsidRDefault="00BF2221" w:rsidP="00BF2221">
            <w:pPr>
              <w:spacing w:after="0"/>
              <w:ind w:left="460"/>
              <w:jc w:val="left"/>
              <w:outlineLvl w:val="0"/>
              <w:rPr>
                <w:rFonts w:asciiTheme="minorHAnsi" w:hAnsiTheme="minorHAnsi"/>
                <w:bCs/>
                <w:szCs w:val="24"/>
              </w:rPr>
            </w:pPr>
            <w:r w:rsidRPr="00BF2221">
              <w:rPr>
                <w:rFonts w:asciiTheme="minorHAnsi" w:hAnsiTheme="minorHAnsi"/>
                <w:bCs/>
                <w:szCs w:val="24"/>
              </w:rPr>
              <w:t xml:space="preserve">Copy of </w:t>
            </w:r>
            <w:r w:rsidRPr="00BF2221">
              <w:rPr>
                <w:rFonts w:asciiTheme="minorHAnsi" w:hAnsiTheme="minorHAnsi"/>
                <w:b/>
                <w:i/>
                <w:iCs/>
                <w:szCs w:val="24"/>
              </w:rPr>
              <w:t>South African Identification Document (ID)</w:t>
            </w:r>
            <w:r w:rsidRPr="00BF2221">
              <w:rPr>
                <w:rFonts w:asciiTheme="minorHAnsi" w:hAnsiTheme="minorHAnsi"/>
                <w:bCs/>
                <w:szCs w:val="24"/>
              </w:rPr>
              <w:t xml:space="preserve">; </w:t>
            </w:r>
          </w:p>
          <w:p w14:paraId="6EEF83B2" w14:textId="77777777" w:rsidR="00BF2221" w:rsidRPr="00BF2221" w:rsidRDefault="00BF2221" w:rsidP="00BF2221">
            <w:pPr>
              <w:spacing w:after="0"/>
              <w:ind w:left="460"/>
              <w:jc w:val="left"/>
              <w:outlineLvl w:val="0"/>
              <w:rPr>
                <w:rFonts w:asciiTheme="minorHAnsi" w:hAnsiTheme="minorHAnsi"/>
                <w:b/>
                <w:szCs w:val="24"/>
              </w:rPr>
            </w:pPr>
            <w:r w:rsidRPr="00BF2221">
              <w:rPr>
                <w:rFonts w:asciiTheme="minorHAnsi" w:hAnsiTheme="minorHAnsi"/>
                <w:b/>
                <w:szCs w:val="24"/>
              </w:rPr>
              <w:t>and/ or</w:t>
            </w:r>
          </w:p>
          <w:p w14:paraId="759C2871" w14:textId="77777777" w:rsidR="00BF2221" w:rsidRPr="00BF2221" w:rsidRDefault="00BF2221" w:rsidP="00D95F72">
            <w:pPr>
              <w:numPr>
                <w:ilvl w:val="0"/>
                <w:numId w:val="32"/>
              </w:numPr>
              <w:spacing w:after="0"/>
              <w:ind w:left="460" w:hanging="460"/>
              <w:jc w:val="left"/>
              <w:outlineLvl w:val="0"/>
              <w:rPr>
                <w:rFonts w:asciiTheme="minorHAnsi" w:hAnsiTheme="minorHAnsi" w:cs="Calibri"/>
                <w:b/>
                <w:bCs/>
                <w:szCs w:val="24"/>
              </w:rPr>
            </w:pPr>
            <w:r w:rsidRPr="00BF2221">
              <w:rPr>
                <w:rFonts w:asciiTheme="minorHAnsi" w:hAnsiTheme="minorHAnsi" w:cs="Calibri"/>
                <w:b/>
                <w:bCs/>
                <w:szCs w:val="24"/>
              </w:rPr>
              <w:t>Column E in tables 5A or 5B</w:t>
            </w:r>
          </w:p>
          <w:p w14:paraId="02C85CBC" w14:textId="77777777" w:rsidR="00BF2221" w:rsidRPr="00BF2221" w:rsidRDefault="00BF2221" w:rsidP="00BF2221">
            <w:pPr>
              <w:spacing w:after="0"/>
              <w:ind w:left="460"/>
              <w:jc w:val="left"/>
              <w:outlineLvl w:val="0"/>
              <w:rPr>
                <w:rFonts w:asciiTheme="minorHAnsi" w:hAnsiTheme="minorHAnsi" w:cs="Calibri"/>
                <w:szCs w:val="24"/>
              </w:rPr>
            </w:pPr>
            <w:r w:rsidRPr="00BF2221">
              <w:rPr>
                <w:rFonts w:asciiTheme="minorHAnsi" w:hAnsiTheme="minorHAnsi"/>
                <w:bCs/>
                <w:szCs w:val="24"/>
              </w:rPr>
              <w:t xml:space="preserve">Copy of </w:t>
            </w:r>
            <w:r w:rsidRPr="00BF2221">
              <w:rPr>
                <w:rFonts w:asciiTheme="minorHAnsi" w:hAnsiTheme="minorHAnsi"/>
                <w:b/>
                <w:i/>
                <w:iCs/>
                <w:szCs w:val="24"/>
              </w:rPr>
              <w:t>Medical Certificate</w:t>
            </w:r>
            <w:r w:rsidRPr="00BF2221">
              <w:rPr>
                <w:rFonts w:asciiTheme="minorHAnsi" w:hAnsiTheme="minorHAnsi"/>
                <w:bCs/>
                <w:szCs w:val="24"/>
              </w:rPr>
              <w:t xml:space="preserve"> </w:t>
            </w:r>
            <w:r w:rsidRPr="00BF2221">
              <w:rPr>
                <w:rFonts w:asciiTheme="minorHAnsi" w:hAnsiTheme="minorHAnsi"/>
                <w:b/>
                <w:i/>
                <w:iCs/>
                <w:szCs w:val="24"/>
              </w:rPr>
              <w:t xml:space="preserve">clearly indicating the disability in line with the B-BBEE status claimed </w:t>
            </w:r>
            <w:r w:rsidRPr="00BF2221">
              <w:rPr>
                <w:rFonts w:asciiTheme="minorHAnsi" w:hAnsiTheme="minorHAnsi" w:cs="Calibri"/>
                <w:b/>
                <w:i/>
                <w:iCs/>
                <w:szCs w:val="24"/>
              </w:rPr>
              <w:t xml:space="preserve">as defined in </w:t>
            </w:r>
            <w:r w:rsidRPr="00BF2221">
              <w:rPr>
                <w:rFonts w:asciiTheme="minorHAnsi" w:hAnsiTheme="minorHAnsi"/>
                <w:b/>
                <w:i/>
                <w:iCs/>
                <w:szCs w:val="24"/>
              </w:rPr>
              <w:t>the</w:t>
            </w:r>
            <w:r w:rsidRPr="00BF2221">
              <w:rPr>
                <w:rFonts w:asciiTheme="minorHAnsi" w:hAnsiTheme="minorHAnsi" w:cs="Calibri"/>
                <w:b/>
                <w:i/>
                <w:iCs/>
                <w:szCs w:val="24"/>
              </w:rPr>
              <w:t xml:space="preserve"> Broad-Based Black Economic Empowerment Act</w:t>
            </w:r>
            <w:r w:rsidRPr="00BF2221">
              <w:rPr>
                <w:rFonts w:asciiTheme="minorHAnsi" w:hAnsiTheme="minorHAnsi" w:cs="Calibri"/>
                <w:szCs w:val="24"/>
              </w:rPr>
              <w:t>.</w:t>
            </w:r>
          </w:p>
          <w:p w14:paraId="5B9A3824" w14:textId="77777777" w:rsidR="00BF2221" w:rsidRPr="00BF2221" w:rsidRDefault="00BF2221" w:rsidP="00BF2221">
            <w:pPr>
              <w:jc w:val="left"/>
              <w:rPr>
                <w:rFonts w:cs="Calibri"/>
                <w:b/>
                <w:bCs/>
              </w:rPr>
            </w:pPr>
            <w:r w:rsidRPr="00BF2221">
              <w:rPr>
                <w:rFonts w:cs="Calibri"/>
                <w:b/>
                <w:bCs/>
              </w:rPr>
              <w:lastRenderedPageBreak/>
              <w:t>Note:</w:t>
            </w:r>
          </w:p>
          <w:p w14:paraId="46689E7D" w14:textId="77777777" w:rsidR="00BF2221" w:rsidRPr="00BF2221" w:rsidRDefault="00BF2221" w:rsidP="00BF2221">
            <w:pPr>
              <w:jc w:val="left"/>
              <w:rPr>
                <w:bCs/>
                <w:szCs w:val="24"/>
              </w:rPr>
            </w:pPr>
            <w:r w:rsidRPr="00BF2221">
              <w:rPr>
                <w:bCs/>
                <w:szCs w:val="24"/>
              </w:rPr>
              <w:t>The  CIPC (Companies and Intellectual Property Commission) registration documents will also be used as evidence to confirm compliance to the Preferential procurement requirements as part of the evaluation process.</w:t>
            </w:r>
          </w:p>
          <w:p w14:paraId="3694F0FC" w14:textId="77777777" w:rsidR="00BF2221" w:rsidRPr="00BF2221" w:rsidRDefault="00BF2221" w:rsidP="00BF2221">
            <w:pPr>
              <w:spacing w:after="0"/>
              <w:ind w:left="460"/>
              <w:jc w:val="left"/>
              <w:outlineLvl w:val="0"/>
              <w:rPr>
                <w:rFonts w:asciiTheme="minorHAnsi" w:hAnsiTheme="minorHAnsi" w:cs="Calibri"/>
                <w:b/>
                <w:bCs/>
                <w:szCs w:val="24"/>
                <w:lang w:eastAsia="en-GB"/>
              </w:rPr>
            </w:pPr>
          </w:p>
          <w:p w14:paraId="0AEDC9A5" w14:textId="54BD8131" w:rsidR="00BF2221" w:rsidRPr="00BF2221" w:rsidRDefault="00BF2221" w:rsidP="00BF2221">
            <w:pPr>
              <w:jc w:val="left"/>
              <w:rPr>
                <w:rFonts w:cs="Calibri"/>
                <w:b/>
                <w:bCs/>
                <w:szCs w:val="24"/>
                <w:lang w:eastAsia="en-GB"/>
              </w:rPr>
            </w:pPr>
            <w:r w:rsidRPr="00BF2221">
              <w:rPr>
                <w:rFonts w:cs="Calibri"/>
                <w:b/>
                <w:bCs/>
                <w:szCs w:val="24"/>
                <w:lang w:eastAsia="en-GB"/>
              </w:rPr>
              <w:t>Points allocation:</w:t>
            </w:r>
            <w:r w:rsidRPr="00BF2221">
              <w:rPr>
                <w:rFonts w:cs="Calibri"/>
                <w:b/>
                <w:bCs/>
                <w:szCs w:val="24"/>
                <w:lang w:eastAsia="en-GB"/>
              </w:rPr>
              <w:br/>
            </w:r>
            <w:r w:rsidRPr="00BF2221">
              <w:rPr>
                <w:rFonts w:cs="Calibri"/>
                <w:szCs w:val="24"/>
                <w:lang w:eastAsia="en-GB"/>
              </w:rPr>
              <w:t xml:space="preserve">Points will be allocated for bidders that meets the requirements as indicated in </w:t>
            </w:r>
            <w:r w:rsidRPr="00BF2221">
              <w:rPr>
                <w:rFonts w:cs="Calibri"/>
                <w:sz w:val="23"/>
                <w:szCs w:val="23"/>
              </w:rPr>
              <w:t xml:space="preserve">either </w:t>
            </w:r>
            <w:r w:rsidRPr="00BF2221" w:rsidDel="00FC1EAF">
              <w:rPr>
                <w:rFonts w:cs="Calibri"/>
                <w:b/>
                <w:bCs/>
                <w:sz w:val="23"/>
                <w:szCs w:val="23"/>
              </w:rPr>
              <w:t>table</w:t>
            </w:r>
            <w:r w:rsidRPr="00BF2221">
              <w:rPr>
                <w:rFonts w:cs="Calibri"/>
                <w:b/>
                <w:bCs/>
                <w:sz w:val="23"/>
                <w:szCs w:val="23"/>
              </w:rPr>
              <w:t xml:space="preserve"> 5A, or B</w:t>
            </w:r>
            <w:r w:rsidRPr="00BF2221">
              <w:rPr>
                <w:rFonts w:cs="Calibri"/>
                <w:szCs w:val="24"/>
                <w:lang w:eastAsia="en-GB"/>
              </w:rPr>
              <w:t>.</w:t>
            </w:r>
          </w:p>
        </w:tc>
        <w:tc>
          <w:tcPr>
            <w:tcW w:w="3402" w:type="dxa"/>
            <w:shd w:val="clear" w:color="auto" w:fill="auto"/>
            <w:hideMark/>
          </w:tcPr>
          <w:p w14:paraId="5F5D671A" w14:textId="77777777" w:rsidR="00BF2221" w:rsidRPr="00BF2221" w:rsidRDefault="00BF2221" w:rsidP="00BF2221">
            <w:pPr>
              <w:jc w:val="left"/>
              <w:rPr>
                <w:rFonts w:cs="Calibri"/>
                <w:color w:val="FF0000"/>
                <w:szCs w:val="24"/>
                <w:lang w:eastAsia="en-GB"/>
              </w:rPr>
            </w:pPr>
            <w:r w:rsidRPr="00BF2221">
              <w:rPr>
                <w:rFonts w:cs="Calibri"/>
                <w:color w:val="FF0000"/>
                <w:szCs w:val="24"/>
                <w:lang w:eastAsia="en-GB"/>
              </w:rPr>
              <w:lastRenderedPageBreak/>
              <w:t xml:space="preserve">&lt;provide unique reference to locate  the substantiating evidence in the bid response – </w:t>
            </w:r>
            <w:r w:rsidRPr="00BF2221">
              <w:rPr>
                <w:rFonts w:cs="Calibri"/>
                <w:b/>
                <w:bCs/>
                <w:color w:val="FF0000"/>
                <w:szCs w:val="24"/>
                <w:lang w:eastAsia="en-GB"/>
              </w:rPr>
              <w:t>Annex A, section 5.3</w:t>
            </w:r>
            <w:r w:rsidRPr="00BF2221">
              <w:rPr>
                <w:rFonts w:cs="Calibri"/>
                <w:color w:val="FF0000"/>
                <w:szCs w:val="24"/>
                <w:lang w:eastAsia="en-GB"/>
              </w:rPr>
              <w:t>&gt;</w:t>
            </w:r>
          </w:p>
        </w:tc>
      </w:tr>
    </w:tbl>
    <w:p w14:paraId="1CF8EC66" w14:textId="77777777" w:rsidR="00BF2221" w:rsidRPr="00BF2221" w:rsidRDefault="00BF2221" w:rsidP="00BF2221">
      <w:pPr>
        <w:rPr>
          <w:rFonts w:cs="Calibri"/>
          <w:szCs w:val="24"/>
        </w:rPr>
      </w:pPr>
    </w:p>
    <w:p w14:paraId="1491C113" w14:textId="77777777" w:rsidR="00BF2221" w:rsidRPr="00BF2221" w:rsidRDefault="00BF2221" w:rsidP="00BF2221">
      <w:pPr>
        <w:rPr>
          <w:rFonts w:cs="Calibri"/>
          <w:szCs w:val="24"/>
        </w:rPr>
      </w:pPr>
    </w:p>
    <w:p w14:paraId="36A8BC56" w14:textId="77777777" w:rsidR="00BF2221" w:rsidRPr="00BF2221" w:rsidRDefault="00BF2221" w:rsidP="00BF2221">
      <w:pPr>
        <w:rPr>
          <w:rFonts w:cs="Calibri"/>
          <w:szCs w:val="24"/>
        </w:rPr>
        <w:sectPr w:rsidR="00BF2221" w:rsidRPr="00BF2221" w:rsidSect="00BF2221">
          <w:pgSz w:w="16838" w:h="11906" w:orient="landscape"/>
          <w:pgMar w:top="1134" w:right="1134" w:bottom="1134" w:left="1134" w:header="680" w:footer="344" w:gutter="0"/>
          <w:cols w:space="720"/>
          <w:docGrid w:linePitch="299"/>
        </w:sectPr>
      </w:pPr>
    </w:p>
    <w:p w14:paraId="024DFF32" w14:textId="77777777" w:rsidR="00BF2221" w:rsidRPr="00BF2221" w:rsidRDefault="00BF2221" w:rsidP="00BF2221">
      <w:pPr>
        <w:rPr>
          <w:rFonts w:cs="Calibri"/>
          <w:b/>
          <w:bCs/>
          <w:sz w:val="20"/>
          <w:szCs w:val="20"/>
          <w:lang w:eastAsia="en-GB"/>
        </w:rPr>
      </w:pPr>
      <w:r w:rsidRPr="00BF2221">
        <w:rPr>
          <w:rFonts w:cs="Calibri"/>
          <w:b/>
          <w:bCs/>
          <w:sz w:val="20"/>
          <w:szCs w:val="20"/>
          <w:lang w:eastAsia="en-GB"/>
        </w:rPr>
        <w:lastRenderedPageBreak/>
        <w:t>Table 5A: B-BBEE Points as part of the Preference Goal requirements (Preferential  Goal Requirements for (80/20) system)</w:t>
      </w:r>
    </w:p>
    <w:p w14:paraId="0543CD60" w14:textId="77777777" w:rsidR="00BF2221" w:rsidRPr="00BF2221" w:rsidRDefault="00BF2221" w:rsidP="00BF2221">
      <w:pPr>
        <w:rPr>
          <w:rFonts w:cs="Calibri"/>
          <w:b/>
          <w:color w:val="FF0000"/>
          <w:kern w:val="24"/>
          <w:sz w:val="20"/>
          <w:szCs w:val="20"/>
          <w:lang w:eastAsia="en-GB"/>
        </w:rPr>
      </w:pPr>
      <w:r w:rsidRPr="00BF2221">
        <w:rPr>
          <w:rFonts w:cs="Calibri"/>
          <w:b/>
          <w:color w:val="FF0000"/>
          <w:kern w:val="24"/>
          <w:sz w:val="20"/>
          <w:szCs w:val="20"/>
          <w:lang w:eastAsia="en-GB"/>
        </w:rPr>
        <w:t>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BF2221" w:rsidRPr="00BF2221" w14:paraId="23324562" w14:textId="77777777" w:rsidTr="008D5A9C">
        <w:trPr>
          <w:trHeight w:val="340"/>
        </w:trPr>
        <w:tc>
          <w:tcPr>
            <w:tcW w:w="236" w:type="dxa"/>
            <w:tcBorders>
              <w:top w:val="nil"/>
              <w:left w:val="nil"/>
              <w:bottom w:val="nil"/>
              <w:right w:val="nil"/>
            </w:tcBorders>
            <w:shd w:val="clear" w:color="auto" w:fill="auto"/>
            <w:noWrap/>
            <w:vAlign w:val="bottom"/>
            <w:hideMark/>
          </w:tcPr>
          <w:p w14:paraId="152A95CD"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nil"/>
              <w:bottom w:val="nil"/>
              <w:right w:val="nil"/>
            </w:tcBorders>
            <w:shd w:val="clear" w:color="auto" w:fill="auto"/>
            <w:noWrap/>
            <w:vAlign w:val="bottom"/>
            <w:hideMark/>
          </w:tcPr>
          <w:p w14:paraId="1DC18D3E"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985" w:type="dxa"/>
            <w:tcBorders>
              <w:top w:val="nil"/>
              <w:left w:val="nil"/>
              <w:bottom w:val="nil"/>
              <w:right w:val="nil"/>
            </w:tcBorders>
            <w:shd w:val="clear" w:color="auto" w:fill="auto"/>
            <w:noWrap/>
            <w:vAlign w:val="bottom"/>
            <w:hideMark/>
          </w:tcPr>
          <w:p w14:paraId="25543B76"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2B79D4FB"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BEC585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xml:space="preserve">Ownership </w:t>
            </w:r>
          </w:p>
        </w:tc>
        <w:tc>
          <w:tcPr>
            <w:tcW w:w="993" w:type="dxa"/>
            <w:tcBorders>
              <w:top w:val="nil"/>
              <w:left w:val="nil"/>
              <w:bottom w:val="nil"/>
              <w:right w:val="nil"/>
            </w:tcBorders>
            <w:shd w:val="clear" w:color="auto" w:fill="auto"/>
            <w:noWrap/>
            <w:vAlign w:val="bottom"/>
            <w:hideMark/>
          </w:tcPr>
          <w:p w14:paraId="3506F2AA"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c>
          <w:tcPr>
            <w:tcW w:w="1701" w:type="dxa"/>
            <w:tcBorders>
              <w:top w:val="nil"/>
              <w:left w:val="nil"/>
              <w:bottom w:val="nil"/>
              <w:right w:val="nil"/>
            </w:tcBorders>
            <w:shd w:val="clear" w:color="auto" w:fill="auto"/>
            <w:noWrap/>
            <w:vAlign w:val="bottom"/>
            <w:hideMark/>
          </w:tcPr>
          <w:p w14:paraId="66984430"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shd w:val="clear" w:color="auto" w:fill="auto"/>
            <w:noWrap/>
            <w:vAlign w:val="bottom"/>
            <w:hideMark/>
          </w:tcPr>
          <w:p w14:paraId="7A7CDCDF"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r>
      <w:tr w:rsidR="00BF2221" w:rsidRPr="00BF2221" w14:paraId="5382FDE0" w14:textId="77777777" w:rsidTr="008D5A9C">
        <w:trPr>
          <w:trHeight w:val="320"/>
        </w:trPr>
        <w:tc>
          <w:tcPr>
            <w:tcW w:w="236" w:type="dxa"/>
            <w:tcBorders>
              <w:top w:val="nil"/>
              <w:left w:val="nil"/>
              <w:bottom w:val="nil"/>
              <w:right w:val="nil"/>
            </w:tcBorders>
            <w:shd w:val="clear" w:color="auto" w:fill="auto"/>
            <w:noWrap/>
            <w:vAlign w:val="bottom"/>
            <w:hideMark/>
          </w:tcPr>
          <w:p w14:paraId="5A9C8981"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2540FF3" w14:textId="77777777" w:rsidR="00BF2221" w:rsidRPr="00BF2221" w:rsidRDefault="00BF2221" w:rsidP="00BF2221">
            <w:pPr>
              <w:spacing w:after="0" w:line="240" w:lineRule="auto"/>
              <w:ind w:firstLine="3"/>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F4C14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A8B9F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shd w:val="clear" w:color="auto" w:fill="auto"/>
            <w:vAlign w:val="center"/>
            <w:hideMark/>
          </w:tcPr>
          <w:p w14:paraId="60F3BA8F" w14:textId="77777777" w:rsidR="00BF2221" w:rsidRPr="00BF2221" w:rsidRDefault="00BF2221" w:rsidP="00BF2221">
            <w:pPr>
              <w:spacing w:after="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Black Owned</w:t>
            </w:r>
            <w:r w:rsidRPr="00BF2221">
              <w:rPr>
                <w:rFonts w:eastAsia="Times New Roman" w:cs="Calibri Light"/>
                <w:b/>
                <w:bCs/>
                <w:sz w:val="20"/>
                <w:szCs w:val="20"/>
                <w:lang w:eastAsia="en-GB"/>
              </w:rPr>
              <w:br/>
              <w:t>(BO)</w:t>
            </w:r>
            <w:r w:rsidRPr="00BF2221">
              <w:rPr>
                <w:rFonts w:eastAsia="Times New Roman" w:cs="Calibri Light"/>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0148DAC4" w14:textId="77777777" w:rsidR="00BF2221" w:rsidRPr="00BF2221" w:rsidRDefault="00BF2221" w:rsidP="00BF2221">
            <w:pPr>
              <w:spacing w:after="24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Woman Owned</w:t>
            </w:r>
            <w:r w:rsidRPr="00BF2221">
              <w:rPr>
                <w:rFonts w:eastAsia="Times New Roman" w:cs="Calibri Light"/>
                <w:b/>
                <w:bCs/>
                <w:sz w:val="20"/>
                <w:szCs w:val="20"/>
                <w:lang w:eastAsia="en-GB"/>
              </w:rPr>
              <w:br/>
              <w:t>(BWO)</w:t>
            </w:r>
            <w:r w:rsidRPr="00BF2221">
              <w:rPr>
                <w:rFonts w:eastAsia="Times New Roman" w:cs="Calibri Light"/>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shd w:val="clear" w:color="auto" w:fill="auto"/>
            <w:vAlign w:val="center"/>
            <w:hideMark/>
          </w:tcPr>
          <w:p w14:paraId="62FD4A5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Youth  Owned</w:t>
            </w:r>
          </w:p>
        </w:tc>
        <w:tc>
          <w:tcPr>
            <w:tcW w:w="1592" w:type="dxa"/>
            <w:vMerge w:val="restart"/>
            <w:tcBorders>
              <w:top w:val="nil"/>
              <w:left w:val="single" w:sz="8" w:space="0" w:color="auto"/>
              <w:bottom w:val="single" w:sz="8" w:space="0" w:color="000000"/>
              <w:right w:val="single" w:sz="8" w:space="0" w:color="auto"/>
            </w:tcBorders>
            <w:shd w:val="clear" w:color="auto" w:fill="auto"/>
            <w:vAlign w:val="center"/>
            <w:hideMark/>
          </w:tcPr>
          <w:p w14:paraId="2A1B0F0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Owned by People living with  disabilities</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1D6AA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911E9F" w14:textId="77777777" w:rsidR="00BF2221" w:rsidRPr="00BF2221" w:rsidRDefault="00BF2221" w:rsidP="00BF2221">
            <w:pPr>
              <w:spacing w:after="0" w:line="240" w:lineRule="auto"/>
              <w:jc w:val="center"/>
              <w:rPr>
                <w:rFonts w:eastAsia="Times New Roman" w:cs="Calibri Light"/>
                <w:b/>
                <w:bCs/>
                <w:color w:val="FF0000"/>
                <w:sz w:val="20"/>
                <w:szCs w:val="20"/>
                <w:lang w:eastAsia="en-GB"/>
              </w:rPr>
            </w:pPr>
            <w:r w:rsidRPr="00BF2221">
              <w:rPr>
                <w:rFonts w:eastAsia="Times New Roman" w:cs="Calibri Light"/>
                <w:b/>
                <w:bCs/>
                <w:color w:val="FF0000"/>
                <w:sz w:val="20"/>
                <w:szCs w:val="20"/>
                <w:lang w:eastAsia="en-GB"/>
              </w:rPr>
              <w:t>Bidder to select the section for points they wish to claim</w:t>
            </w:r>
            <w:r w:rsidRPr="00BF2221">
              <w:rPr>
                <w:rFonts w:eastAsia="Times New Roman" w:cs="Calibri Light"/>
                <w:b/>
                <w:bCs/>
                <w:color w:val="FF0000"/>
                <w:sz w:val="20"/>
                <w:szCs w:val="20"/>
                <w:lang w:eastAsia="en-GB"/>
              </w:rPr>
              <w:br/>
              <w:t>(Mark as Y= Yes)</w:t>
            </w:r>
          </w:p>
        </w:tc>
        <w:tc>
          <w:tcPr>
            <w:tcW w:w="1863" w:type="dxa"/>
            <w:tcBorders>
              <w:top w:val="nil"/>
              <w:left w:val="nil"/>
              <w:bottom w:val="nil"/>
              <w:right w:val="nil"/>
            </w:tcBorders>
            <w:shd w:val="clear" w:color="auto" w:fill="auto"/>
            <w:noWrap/>
            <w:vAlign w:val="bottom"/>
            <w:hideMark/>
          </w:tcPr>
          <w:p w14:paraId="74509C24" w14:textId="77777777" w:rsidR="00BF2221" w:rsidRPr="00BF2221" w:rsidRDefault="00BF2221" w:rsidP="00BF2221">
            <w:pPr>
              <w:spacing w:after="0" w:line="240" w:lineRule="auto"/>
              <w:jc w:val="center"/>
              <w:rPr>
                <w:rFonts w:eastAsia="Times New Roman" w:cs="Calibri Light"/>
                <w:b/>
                <w:bCs/>
                <w:color w:val="FF0000"/>
                <w:sz w:val="20"/>
                <w:szCs w:val="20"/>
                <w:lang w:eastAsia="en-GB"/>
              </w:rPr>
            </w:pPr>
          </w:p>
        </w:tc>
      </w:tr>
      <w:tr w:rsidR="00BF2221" w:rsidRPr="00BF2221" w14:paraId="675CB66B" w14:textId="77777777" w:rsidTr="008D5A9C">
        <w:trPr>
          <w:trHeight w:val="803"/>
        </w:trPr>
        <w:tc>
          <w:tcPr>
            <w:tcW w:w="236" w:type="dxa"/>
            <w:tcBorders>
              <w:top w:val="nil"/>
              <w:left w:val="nil"/>
              <w:bottom w:val="nil"/>
              <w:right w:val="nil"/>
            </w:tcBorders>
            <w:shd w:val="clear" w:color="auto" w:fill="auto"/>
            <w:noWrap/>
            <w:vAlign w:val="bottom"/>
            <w:hideMark/>
          </w:tcPr>
          <w:p w14:paraId="63524A52"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66FA24B9"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255FAD7E"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28F7DE8"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35DE23E5" w14:textId="77777777" w:rsidR="00BF2221" w:rsidRPr="00BF2221" w:rsidRDefault="00BF2221" w:rsidP="00BF2221">
            <w:pPr>
              <w:spacing w:after="0" w:line="240" w:lineRule="auto"/>
              <w:jc w:val="left"/>
              <w:rPr>
                <w:rFonts w:eastAsia="Times New Roman" w:cs="Calibri Light"/>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2613D046" w14:textId="77777777" w:rsidR="00BF2221" w:rsidRPr="00BF2221" w:rsidRDefault="00BF2221" w:rsidP="00BF2221">
            <w:pPr>
              <w:spacing w:after="0" w:line="240" w:lineRule="auto"/>
              <w:jc w:val="left"/>
              <w:rPr>
                <w:rFonts w:eastAsia="Times New Roman" w:cs="Calibri Light"/>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6129DD3A"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1E18E512"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C18A5B4"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899ACC8" w14:textId="77777777" w:rsidR="00BF2221" w:rsidRPr="00BF2221" w:rsidRDefault="00BF2221" w:rsidP="00BF2221">
            <w:pPr>
              <w:spacing w:after="0" w:line="240" w:lineRule="auto"/>
              <w:jc w:val="left"/>
              <w:rPr>
                <w:rFonts w:eastAsia="Times New Roman" w:cs="Calibri Light"/>
                <w:b/>
                <w:bCs/>
                <w:color w:val="FF0000"/>
                <w:sz w:val="20"/>
                <w:szCs w:val="20"/>
                <w:lang w:eastAsia="en-GB"/>
              </w:rPr>
            </w:pPr>
          </w:p>
        </w:tc>
        <w:tc>
          <w:tcPr>
            <w:tcW w:w="1863" w:type="dxa"/>
            <w:tcBorders>
              <w:top w:val="nil"/>
              <w:left w:val="nil"/>
              <w:bottom w:val="nil"/>
              <w:right w:val="nil"/>
            </w:tcBorders>
            <w:shd w:val="clear" w:color="auto" w:fill="auto"/>
            <w:noWrap/>
            <w:vAlign w:val="bottom"/>
            <w:hideMark/>
          </w:tcPr>
          <w:p w14:paraId="5A862595"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r>
      <w:tr w:rsidR="00BF2221" w:rsidRPr="00BF2221" w14:paraId="6608DBBB" w14:textId="77777777" w:rsidTr="008D5A9C">
        <w:trPr>
          <w:trHeight w:val="340"/>
        </w:trPr>
        <w:tc>
          <w:tcPr>
            <w:tcW w:w="236" w:type="dxa"/>
            <w:tcBorders>
              <w:top w:val="nil"/>
              <w:left w:val="nil"/>
              <w:bottom w:val="nil"/>
              <w:right w:val="nil"/>
            </w:tcBorders>
            <w:shd w:val="clear" w:color="auto" w:fill="auto"/>
            <w:noWrap/>
            <w:vAlign w:val="bottom"/>
            <w:hideMark/>
          </w:tcPr>
          <w:p w14:paraId="6ACF1949"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2609ED5F" w14:textId="77777777" w:rsidR="00BF2221" w:rsidRPr="00BF2221" w:rsidRDefault="00BF2221" w:rsidP="00BF2221">
            <w:pPr>
              <w:spacing w:after="0" w:line="240" w:lineRule="auto"/>
              <w:rPr>
                <w:rFonts w:eastAsia="Times New Roman" w:cs="Calibri Light"/>
                <w:color w:val="000000"/>
                <w:sz w:val="20"/>
                <w:szCs w:val="20"/>
                <w:lang w:eastAsia="en-GB"/>
              </w:rPr>
            </w:pPr>
            <w:r w:rsidRPr="00BF2221">
              <w:rPr>
                <w:rFonts w:eastAsia="Times New Roman" w:cs="Calibri Light"/>
                <w:color w:val="000000"/>
                <w:sz w:val="20"/>
                <w:szCs w:val="20"/>
                <w:lang w:eastAsia="en-GB"/>
              </w:rPr>
              <w:t> </w:t>
            </w:r>
          </w:p>
        </w:tc>
        <w:tc>
          <w:tcPr>
            <w:tcW w:w="1985" w:type="dxa"/>
            <w:tcBorders>
              <w:top w:val="nil"/>
              <w:left w:val="nil"/>
              <w:bottom w:val="single" w:sz="8" w:space="0" w:color="auto"/>
              <w:right w:val="single" w:sz="8" w:space="0" w:color="auto"/>
            </w:tcBorders>
            <w:shd w:val="clear" w:color="auto" w:fill="auto"/>
            <w:vAlign w:val="center"/>
            <w:hideMark/>
          </w:tcPr>
          <w:p w14:paraId="65E4260F" w14:textId="77777777" w:rsidR="00BF2221" w:rsidRPr="00BF2221" w:rsidRDefault="00BF2221" w:rsidP="00BF2221">
            <w:pPr>
              <w:spacing w:after="0" w:line="240" w:lineRule="auto"/>
              <w:jc w:val="left"/>
              <w:rPr>
                <w:rFonts w:eastAsia="Times New Roman" w:cs="Calibri Light"/>
                <w:color w:val="000000"/>
                <w:lang w:eastAsia="en-GB"/>
              </w:rPr>
            </w:pPr>
            <w:r w:rsidRPr="00BF2221">
              <w:rPr>
                <w:rFonts w:eastAsia="Times New Roman" w:cs="Calibri Light"/>
                <w:color w:val="000000"/>
                <w:lang w:eastAsia="en-GB"/>
              </w:rPr>
              <w:t> </w:t>
            </w:r>
          </w:p>
        </w:tc>
        <w:tc>
          <w:tcPr>
            <w:tcW w:w="1275" w:type="dxa"/>
            <w:tcBorders>
              <w:top w:val="nil"/>
              <w:left w:val="nil"/>
              <w:bottom w:val="single" w:sz="8" w:space="0" w:color="auto"/>
              <w:right w:val="single" w:sz="8" w:space="0" w:color="auto"/>
            </w:tcBorders>
            <w:shd w:val="clear" w:color="auto" w:fill="auto"/>
            <w:vAlign w:val="center"/>
            <w:hideMark/>
          </w:tcPr>
          <w:p w14:paraId="7C94F16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(A)</w:t>
            </w:r>
          </w:p>
        </w:tc>
        <w:tc>
          <w:tcPr>
            <w:tcW w:w="2277" w:type="dxa"/>
            <w:tcBorders>
              <w:top w:val="nil"/>
              <w:left w:val="nil"/>
              <w:bottom w:val="single" w:sz="8" w:space="0" w:color="auto"/>
              <w:right w:val="single" w:sz="8" w:space="0" w:color="auto"/>
            </w:tcBorders>
            <w:shd w:val="clear" w:color="auto" w:fill="auto"/>
            <w:vAlign w:val="center"/>
            <w:hideMark/>
          </w:tcPr>
          <w:p w14:paraId="78FDE21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(B)</w:t>
            </w:r>
          </w:p>
        </w:tc>
        <w:tc>
          <w:tcPr>
            <w:tcW w:w="1976" w:type="dxa"/>
            <w:tcBorders>
              <w:top w:val="nil"/>
              <w:left w:val="nil"/>
              <w:bottom w:val="single" w:sz="8" w:space="0" w:color="auto"/>
              <w:right w:val="single" w:sz="8" w:space="0" w:color="auto"/>
            </w:tcBorders>
            <w:shd w:val="clear" w:color="auto" w:fill="auto"/>
            <w:vAlign w:val="center"/>
            <w:hideMark/>
          </w:tcPr>
          <w:p w14:paraId="3ED79F4A"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(C)</w:t>
            </w:r>
          </w:p>
        </w:tc>
        <w:tc>
          <w:tcPr>
            <w:tcW w:w="1526" w:type="dxa"/>
            <w:tcBorders>
              <w:top w:val="nil"/>
              <w:left w:val="nil"/>
              <w:bottom w:val="single" w:sz="8" w:space="0" w:color="auto"/>
              <w:right w:val="single" w:sz="8" w:space="0" w:color="auto"/>
            </w:tcBorders>
            <w:shd w:val="clear" w:color="auto" w:fill="auto"/>
            <w:vAlign w:val="center"/>
            <w:hideMark/>
          </w:tcPr>
          <w:p w14:paraId="7106BB5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(D)</w:t>
            </w:r>
          </w:p>
        </w:tc>
        <w:tc>
          <w:tcPr>
            <w:tcW w:w="1592" w:type="dxa"/>
            <w:tcBorders>
              <w:top w:val="nil"/>
              <w:left w:val="nil"/>
              <w:bottom w:val="single" w:sz="8" w:space="0" w:color="auto"/>
              <w:right w:val="single" w:sz="8" w:space="0" w:color="auto"/>
            </w:tcBorders>
            <w:shd w:val="clear" w:color="auto" w:fill="auto"/>
            <w:vAlign w:val="center"/>
            <w:hideMark/>
          </w:tcPr>
          <w:p w14:paraId="2A4EC4B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(E)</w:t>
            </w:r>
          </w:p>
        </w:tc>
        <w:tc>
          <w:tcPr>
            <w:tcW w:w="993" w:type="dxa"/>
            <w:tcBorders>
              <w:top w:val="nil"/>
              <w:left w:val="nil"/>
              <w:bottom w:val="single" w:sz="8" w:space="0" w:color="auto"/>
              <w:right w:val="single" w:sz="8" w:space="0" w:color="auto"/>
            </w:tcBorders>
            <w:shd w:val="clear" w:color="auto" w:fill="auto"/>
            <w:vAlign w:val="center"/>
            <w:hideMark/>
          </w:tcPr>
          <w:p w14:paraId="2ADC6EFA"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(F)</w:t>
            </w:r>
          </w:p>
        </w:tc>
        <w:tc>
          <w:tcPr>
            <w:tcW w:w="1701" w:type="dxa"/>
            <w:tcBorders>
              <w:top w:val="nil"/>
              <w:left w:val="nil"/>
              <w:bottom w:val="single" w:sz="8" w:space="0" w:color="auto"/>
              <w:right w:val="single" w:sz="8" w:space="0" w:color="auto"/>
            </w:tcBorders>
            <w:shd w:val="clear" w:color="auto" w:fill="auto"/>
            <w:vAlign w:val="center"/>
            <w:hideMark/>
          </w:tcPr>
          <w:p w14:paraId="659A3AE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68D2475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5D986F91" w14:textId="77777777" w:rsidTr="008D5A9C">
        <w:trPr>
          <w:trHeight w:val="340"/>
        </w:trPr>
        <w:tc>
          <w:tcPr>
            <w:tcW w:w="236" w:type="dxa"/>
            <w:tcBorders>
              <w:top w:val="nil"/>
              <w:left w:val="nil"/>
              <w:bottom w:val="nil"/>
              <w:right w:val="nil"/>
            </w:tcBorders>
            <w:shd w:val="clear" w:color="auto" w:fill="auto"/>
            <w:noWrap/>
            <w:vAlign w:val="bottom"/>
            <w:hideMark/>
          </w:tcPr>
          <w:p w14:paraId="7CE27510"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16B1E8B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1985" w:type="dxa"/>
            <w:tcBorders>
              <w:top w:val="nil"/>
              <w:left w:val="nil"/>
              <w:bottom w:val="single" w:sz="8" w:space="0" w:color="auto"/>
              <w:right w:val="single" w:sz="8" w:space="0" w:color="auto"/>
            </w:tcBorders>
            <w:shd w:val="clear" w:color="auto" w:fill="auto"/>
            <w:vAlign w:val="center"/>
            <w:hideMark/>
          </w:tcPr>
          <w:p w14:paraId="423A734D"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5766263D" w14:textId="77777777" w:rsidR="00BF2221" w:rsidRPr="00BF2221" w:rsidRDefault="00BF2221" w:rsidP="00BF2221">
            <w:pPr>
              <w:spacing w:after="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04D5E721" w14:textId="77777777" w:rsidR="00BF2221" w:rsidRPr="00BF2221" w:rsidRDefault="00BF2221" w:rsidP="00BF2221">
            <w:pPr>
              <w:spacing w:after="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1D107EDC" w14:textId="77777777" w:rsidR="00BF2221" w:rsidRPr="00BF2221" w:rsidRDefault="00BF2221" w:rsidP="00BF2221">
            <w:pPr>
              <w:spacing w:after="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4</w:t>
            </w:r>
          </w:p>
        </w:tc>
        <w:tc>
          <w:tcPr>
            <w:tcW w:w="1526" w:type="dxa"/>
            <w:tcBorders>
              <w:top w:val="nil"/>
              <w:left w:val="nil"/>
              <w:bottom w:val="single" w:sz="8" w:space="0" w:color="auto"/>
              <w:right w:val="single" w:sz="8" w:space="0" w:color="auto"/>
            </w:tcBorders>
            <w:shd w:val="clear" w:color="auto" w:fill="auto"/>
            <w:vAlign w:val="center"/>
            <w:hideMark/>
          </w:tcPr>
          <w:p w14:paraId="1CDF754C" w14:textId="77777777" w:rsidR="00BF2221" w:rsidRPr="00BF2221" w:rsidRDefault="00BF2221" w:rsidP="00BF2221">
            <w:pPr>
              <w:spacing w:after="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4</w:t>
            </w:r>
          </w:p>
        </w:tc>
        <w:tc>
          <w:tcPr>
            <w:tcW w:w="1592" w:type="dxa"/>
            <w:tcBorders>
              <w:top w:val="nil"/>
              <w:left w:val="nil"/>
              <w:bottom w:val="single" w:sz="8" w:space="0" w:color="auto"/>
              <w:right w:val="single" w:sz="8" w:space="0" w:color="auto"/>
            </w:tcBorders>
            <w:shd w:val="clear" w:color="auto" w:fill="auto"/>
            <w:vAlign w:val="center"/>
            <w:hideMark/>
          </w:tcPr>
          <w:p w14:paraId="43A3A10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993" w:type="dxa"/>
            <w:tcBorders>
              <w:top w:val="nil"/>
              <w:left w:val="nil"/>
              <w:bottom w:val="single" w:sz="8" w:space="0" w:color="auto"/>
              <w:right w:val="single" w:sz="8" w:space="0" w:color="auto"/>
            </w:tcBorders>
            <w:shd w:val="clear" w:color="auto" w:fill="auto"/>
            <w:vAlign w:val="center"/>
            <w:hideMark/>
          </w:tcPr>
          <w:p w14:paraId="7764664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20</w:t>
            </w:r>
          </w:p>
        </w:tc>
        <w:tc>
          <w:tcPr>
            <w:tcW w:w="1701" w:type="dxa"/>
            <w:tcBorders>
              <w:top w:val="nil"/>
              <w:left w:val="nil"/>
              <w:bottom w:val="single" w:sz="8" w:space="0" w:color="auto"/>
              <w:right w:val="single" w:sz="8" w:space="0" w:color="auto"/>
            </w:tcBorders>
            <w:shd w:val="clear" w:color="auto" w:fill="auto"/>
            <w:vAlign w:val="center"/>
            <w:hideMark/>
          </w:tcPr>
          <w:p w14:paraId="61B46D2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61CBAC2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770208E5" w14:textId="77777777" w:rsidTr="008D5A9C">
        <w:trPr>
          <w:trHeight w:val="340"/>
        </w:trPr>
        <w:tc>
          <w:tcPr>
            <w:tcW w:w="236" w:type="dxa"/>
            <w:tcBorders>
              <w:top w:val="nil"/>
              <w:left w:val="nil"/>
              <w:bottom w:val="nil"/>
              <w:right w:val="nil"/>
            </w:tcBorders>
            <w:shd w:val="clear" w:color="auto" w:fill="auto"/>
            <w:noWrap/>
            <w:vAlign w:val="bottom"/>
            <w:hideMark/>
          </w:tcPr>
          <w:p w14:paraId="3BFD033D"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747214C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1985" w:type="dxa"/>
            <w:tcBorders>
              <w:top w:val="nil"/>
              <w:left w:val="nil"/>
              <w:bottom w:val="single" w:sz="8" w:space="0" w:color="auto"/>
              <w:right w:val="single" w:sz="8" w:space="0" w:color="auto"/>
            </w:tcBorders>
            <w:shd w:val="clear" w:color="auto" w:fill="auto"/>
            <w:vAlign w:val="center"/>
            <w:hideMark/>
          </w:tcPr>
          <w:p w14:paraId="5793D30F"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5D14CC4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01ED93D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124E577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auto" w:fill="auto"/>
            <w:vAlign w:val="center"/>
            <w:hideMark/>
          </w:tcPr>
          <w:p w14:paraId="627EED7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3A69C328"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06709AD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14</w:t>
            </w:r>
          </w:p>
        </w:tc>
        <w:tc>
          <w:tcPr>
            <w:tcW w:w="1701" w:type="dxa"/>
            <w:tcBorders>
              <w:top w:val="nil"/>
              <w:left w:val="nil"/>
              <w:bottom w:val="single" w:sz="8" w:space="0" w:color="auto"/>
              <w:right w:val="single" w:sz="8" w:space="0" w:color="auto"/>
            </w:tcBorders>
            <w:shd w:val="clear" w:color="auto" w:fill="auto"/>
            <w:vAlign w:val="center"/>
            <w:hideMark/>
          </w:tcPr>
          <w:p w14:paraId="28F1049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414B0B6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4E5068CA" w14:textId="77777777" w:rsidTr="008D5A9C">
        <w:trPr>
          <w:trHeight w:val="340"/>
        </w:trPr>
        <w:tc>
          <w:tcPr>
            <w:tcW w:w="236" w:type="dxa"/>
            <w:tcBorders>
              <w:top w:val="nil"/>
              <w:left w:val="nil"/>
              <w:bottom w:val="nil"/>
              <w:right w:val="nil"/>
            </w:tcBorders>
            <w:shd w:val="clear" w:color="auto" w:fill="auto"/>
            <w:noWrap/>
            <w:vAlign w:val="bottom"/>
            <w:hideMark/>
          </w:tcPr>
          <w:p w14:paraId="241C3127"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689677A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3</w:t>
            </w:r>
          </w:p>
        </w:tc>
        <w:tc>
          <w:tcPr>
            <w:tcW w:w="1985" w:type="dxa"/>
            <w:tcBorders>
              <w:top w:val="nil"/>
              <w:left w:val="nil"/>
              <w:bottom w:val="single" w:sz="8" w:space="0" w:color="auto"/>
              <w:right w:val="single" w:sz="8" w:space="0" w:color="auto"/>
            </w:tcBorders>
            <w:shd w:val="clear" w:color="auto" w:fill="auto"/>
            <w:vAlign w:val="center"/>
            <w:hideMark/>
          </w:tcPr>
          <w:p w14:paraId="6F798E12"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254C362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77C692D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17FC3B0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4271CF11"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23219040"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59A7AF4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12</w:t>
            </w:r>
          </w:p>
        </w:tc>
        <w:tc>
          <w:tcPr>
            <w:tcW w:w="1701" w:type="dxa"/>
            <w:tcBorders>
              <w:top w:val="nil"/>
              <w:left w:val="nil"/>
              <w:bottom w:val="single" w:sz="8" w:space="0" w:color="auto"/>
              <w:right w:val="single" w:sz="8" w:space="0" w:color="auto"/>
            </w:tcBorders>
            <w:shd w:val="clear" w:color="auto" w:fill="auto"/>
            <w:vAlign w:val="center"/>
            <w:hideMark/>
          </w:tcPr>
          <w:p w14:paraId="10FB3FC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11CBB0F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54F02A28" w14:textId="77777777" w:rsidTr="008D5A9C">
        <w:trPr>
          <w:trHeight w:val="340"/>
        </w:trPr>
        <w:tc>
          <w:tcPr>
            <w:tcW w:w="236" w:type="dxa"/>
            <w:tcBorders>
              <w:top w:val="nil"/>
              <w:left w:val="nil"/>
              <w:bottom w:val="nil"/>
              <w:right w:val="nil"/>
            </w:tcBorders>
            <w:shd w:val="clear" w:color="auto" w:fill="auto"/>
            <w:noWrap/>
            <w:vAlign w:val="bottom"/>
            <w:hideMark/>
          </w:tcPr>
          <w:p w14:paraId="7DD0F9A7"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506679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w:t>
            </w:r>
          </w:p>
        </w:tc>
        <w:tc>
          <w:tcPr>
            <w:tcW w:w="1985" w:type="dxa"/>
            <w:tcBorders>
              <w:top w:val="nil"/>
              <w:left w:val="nil"/>
              <w:bottom w:val="single" w:sz="8" w:space="0" w:color="auto"/>
              <w:right w:val="single" w:sz="8" w:space="0" w:color="auto"/>
            </w:tcBorders>
            <w:shd w:val="clear" w:color="auto" w:fill="auto"/>
            <w:vAlign w:val="center"/>
            <w:hideMark/>
          </w:tcPr>
          <w:p w14:paraId="71BFEEBA" w14:textId="77777777" w:rsidR="00BF2221" w:rsidRPr="00BF2221" w:rsidRDefault="00BF2221" w:rsidP="00BF2221">
            <w:pPr>
              <w:spacing w:after="0" w:line="240" w:lineRule="auto"/>
              <w:rPr>
                <w:rFonts w:eastAsia="Times New Roman" w:cs="Calibri Light"/>
                <w:b/>
                <w:bCs/>
                <w:sz w:val="20"/>
                <w:szCs w:val="20"/>
                <w:lang w:eastAsia="en-GB"/>
              </w:rPr>
            </w:pPr>
            <w:r w:rsidRPr="00BF2221">
              <w:rPr>
                <w:rFonts w:eastAsia="Times New Roman" w:cs="Calibri Light"/>
                <w:b/>
                <w:bCs/>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6B36599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1F17F82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7597EB92"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60354675"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76DCF19C"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152DD83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10</w:t>
            </w:r>
          </w:p>
        </w:tc>
        <w:tc>
          <w:tcPr>
            <w:tcW w:w="1701" w:type="dxa"/>
            <w:tcBorders>
              <w:top w:val="nil"/>
              <w:left w:val="nil"/>
              <w:bottom w:val="single" w:sz="8" w:space="0" w:color="auto"/>
              <w:right w:val="single" w:sz="8" w:space="0" w:color="auto"/>
            </w:tcBorders>
            <w:shd w:val="clear" w:color="auto" w:fill="auto"/>
            <w:vAlign w:val="center"/>
            <w:hideMark/>
          </w:tcPr>
          <w:p w14:paraId="1ACCC193"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3C2AE71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39FE6CC4" w14:textId="77777777" w:rsidTr="008D5A9C">
        <w:trPr>
          <w:trHeight w:val="340"/>
        </w:trPr>
        <w:tc>
          <w:tcPr>
            <w:tcW w:w="236" w:type="dxa"/>
            <w:tcBorders>
              <w:top w:val="nil"/>
              <w:left w:val="nil"/>
              <w:bottom w:val="nil"/>
              <w:right w:val="nil"/>
            </w:tcBorders>
            <w:shd w:val="clear" w:color="auto" w:fill="auto"/>
            <w:noWrap/>
            <w:vAlign w:val="bottom"/>
            <w:hideMark/>
          </w:tcPr>
          <w:p w14:paraId="1C8E2157"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13A1D42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5</w:t>
            </w:r>
          </w:p>
        </w:tc>
        <w:tc>
          <w:tcPr>
            <w:tcW w:w="1985" w:type="dxa"/>
            <w:tcBorders>
              <w:top w:val="nil"/>
              <w:left w:val="nil"/>
              <w:bottom w:val="single" w:sz="8" w:space="0" w:color="auto"/>
              <w:right w:val="single" w:sz="8" w:space="0" w:color="auto"/>
            </w:tcBorders>
            <w:shd w:val="clear" w:color="auto" w:fill="auto"/>
            <w:vAlign w:val="center"/>
            <w:hideMark/>
          </w:tcPr>
          <w:p w14:paraId="4254DC4C"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4C941A5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68C24C9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0100714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auto" w:fill="auto"/>
            <w:vAlign w:val="center"/>
            <w:hideMark/>
          </w:tcPr>
          <w:p w14:paraId="090599E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auto" w:fill="auto"/>
            <w:vAlign w:val="center"/>
            <w:hideMark/>
          </w:tcPr>
          <w:p w14:paraId="36ED7A0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4F7008D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9</w:t>
            </w:r>
          </w:p>
        </w:tc>
        <w:tc>
          <w:tcPr>
            <w:tcW w:w="1701" w:type="dxa"/>
            <w:tcBorders>
              <w:top w:val="nil"/>
              <w:left w:val="nil"/>
              <w:bottom w:val="single" w:sz="8" w:space="0" w:color="auto"/>
              <w:right w:val="single" w:sz="8" w:space="0" w:color="auto"/>
            </w:tcBorders>
            <w:shd w:val="clear" w:color="auto" w:fill="auto"/>
            <w:vAlign w:val="center"/>
            <w:hideMark/>
          </w:tcPr>
          <w:p w14:paraId="1811216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643AACA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2DC183F3" w14:textId="77777777" w:rsidTr="008D5A9C">
        <w:trPr>
          <w:trHeight w:val="340"/>
        </w:trPr>
        <w:tc>
          <w:tcPr>
            <w:tcW w:w="236" w:type="dxa"/>
            <w:tcBorders>
              <w:top w:val="nil"/>
              <w:left w:val="nil"/>
              <w:bottom w:val="nil"/>
              <w:right w:val="nil"/>
            </w:tcBorders>
            <w:shd w:val="clear" w:color="auto" w:fill="auto"/>
            <w:noWrap/>
            <w:vAlign w:val="bottom"/>
            <w:hideMark/>
          </w:tcPr>
          <w:p w14:paraId="709F7CD5"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184EB3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6</w:t>
            </w:r>
          </w:p>
        </w:tc>
        <w:tc>
          <w:tcPr>
            <w:tcW w:w="1985" w:type="dxa"/>
            <w:tcBorders>
              <w:top w:val="nil"/>
              <w:left w:val="nil"/>
              <w:bottom w:val="single" w:sz="8" w:space="0" w:color="auto"/>
              <w:right w:val="single" w:sz="8" w:space="0" w:color="auto"/>
            </w:tcBorders>
            <w:shd w:val="clear" w:color="auto" w:fill="auto"/>
            <w:vAlign w:val="center"/>
            <w:hideMark/>
          </w:tcPr>
          <w:p w14:paraId="5340964A"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6FD271A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775E9BD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038D32F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auto" w:fill="auto"/>
            <w:vAlign w:val="center"/>
            <w:hideMark/>
          </w:tcPr>
          <w:p w14:paraId="5AE8051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12173BE3"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20613DB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8</w:t>
            </w:r>
          </w:p>
        </w:tc>
        <w:tc>
          <w:tcPr>
            <w:tcW w:w="1701" w:type="dxa"/>
            <w:tcBorders>
              <w:top w:val="nil"/>
              <w:left w:val="nil"/>
              <w:bottom w:val="single" w:sz="8" w:space="0" w:color="auto"/>
              <w:right w:val="single" w:sz="8" w:space="0" w:color="auto"/>
            </w:tcBorders>
            <w:shd w:val="clear" w:color="auto" w:fill="auto"/>
            <w:vAlign w:val="center"/>
            <w:hideMark/>
          </w:tcPr>
          <w:p w14:paraId="4D8995E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3248CBD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5E1EF938" w14:textId="77777777" w:rsidTr="008D5A9C">
        <w:trPr>
          <w:trHeight w:val="340"/>
        </w:trPr>
        <w:tc>
          <w:tcPr>
            <w:tcW w:w="236" w:type="dxa"/>
            <w:tcBorders>
              <w:top w:val="nil"/>
              <w:left w:val="nil"/>
              <w:bottom w:val="nil"/>
              <w:right w:val="nil"/>
            </w:tcBorders>
            <w:shd w:val="clear" w:color="auto" w:fill="auto"/>
            <w:noWrap/>
            <w:vAlign w:val="bottom"/>
            <w:hideMark/>
          </w:tcPr>
          <w:p w14:paraId="73EFD0A0"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22371A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7</w:t>
            </w:r>
          </w:p>
        </w:tc>
        <w:tc>
          <w:tcPr>
            <w:tcW w:w="1985" w:type="dxa"/>
            <w:tcBorders>
              <w:top w:val="nil"/>
              <w:left w:val="nil"/>
              <w:bottom w:val="single" w:sz="8" w:space="0" w:color="auto"/>
              <w:right w:val="single" w:sz="8" w:space="0" w:color="auto"/>
            </w:tcBorders>
            <w:shd w:val="clear" w:color="auto" w:fill="auto"/>
            <w:vAlign w:val="center"/>
            <w:hideMark/>
          </w:tcPr>
          <w:p w14:paraId="34CCD4E3"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310FD68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47A6505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5263E14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5CC6674A"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2755D72"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2B8EB6E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7</w:t>
            </w:r>
          </w:p>
        </w:tc>
        <w:tc>
          <w:tcPr>
            <w:tcW w:w="1701" w:type="dxa"/>
            <w:tcBorders>
              <w:top w:val="nil"/>
              <w:left w:val="nil"/>
              <w:bottom w:val="single" w:sz="8" w:space="0" w:color="auto"/>
              <w:right w:val="single" w:sz="8" w:space="0" w:color="auto"/>
            </w:tcBorders>
            <w:shd w:val="clear" w:color="auto" w:fill="auto"/>
            <w:vAlign w:val="center"/>
            <w:hideMark/>
          </w:tcPr>
          <w:p w14:paraId="1D0BA99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6376C2E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3BD6905B" w14:textId="77777777" w:rsidTr="008D5A9C">
        <w:trPr>
          <w:trHeight w:val="340"/>
        </w:trPr>
        <w:tc>
          <w:tcPr>
            <w:tcW w:w="236" w:type="dxa"/>
            <w:tcBorders>
              <w:top w:val="nil"/>
              <w:left w:val="nil"/>
              <w:bottom w:val="nil"/>
              <w:right w:val="nil"/>
            </w:tcBorders>
            <w:shd w:val="clear" w:color="auto" w:fill="auto"/>
            <w:noWrap/>
            <w:vAlign w:val="bottom"/>
            <w:hideMark/>
          </w:tcPr>
          <w:p w14:paraId="654BBE1F"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25C990D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8</w:t>
            </w:r>
          </w:p>
        </w:tc>
        <w:tc>
          <w:tcPr>
            <w:tcW w:w="1985" w:type="dxa"/>
            <w:tcBorders>
              <w:top w:val="nil"/>
              <w:left w:val="nil"/>
              <w:bottom w:val="single" w:sz="8" w:space="0" w:color="auto"/>
              <w:right w:val="single" w:sz="8" w:space="0" w:color="auto"/>
            </w:tcBorders>
            <w:shd w:val="clear" w:color="auto" w:fill="auto"/>
            <w:vAlign w:val="center"/>
            <w:hideMark/>
          </w:tcPr>
          <w:p w14:paraId="40C753D0" w14:textId="77777777" w:rsidR="00BF2221" w:rsidRPr="00BF2221" w:rsidRDefault="00BF2221" w:rsidP="00BF2221">
            <w:pPr>
              <w:spacing w:after="0" w:line="240" w:lineRule="auto"/>
              <w:rPr>
                <w:rFonts w:eastAsia="Times New Roman" w:cs="Calibri Light"/>
                <w:b/>
                <w:bCs/>
                <w:sz w:val="20"/>
                <w:szCs w:val="20"/>
                <w:lang w:eastAsia="en-GB"/>
              </w:rPr>
            </w:pPr>
            <w:r w:rsidRPr="00BF2221">
              <w:rPr>
                <w:rFonts w:eastAsia="Times New Roman" w:cs="Calibri Light"/>
                <w:b/>
                <w:bCs/>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39E7311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755454F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3F4B83DB"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4F0E4E63"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72E20008"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63282B7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6</w:t>
            </w:r>
          </w:p>
        </w:tc>
        <w:tc>
          <w:tcPr>
            <w:tcW w:w="1701" w:type="dxa"/>
            <w:tcBorders>
              <w:top w:val="nil"/>
              <w:left w:val="nil"/>
              <w:bottom w:val="single" w:sz="8" w:space="0" w:color="auto"/>
              <w:right w:val="single" w:sz="8" w:space="0" w:color="auto"/>
            </w:tcBorders>
            <w:shd w:val="clear" w:color="auto" w:fill="auto"/>
            <w:vAlign w:val="center"/>
            <w:hideMark/>
          </w:tcPr>
          <w:p w14:paraId="1718581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1BF908E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730A590A" w14:textId="77777777" w:rsidTr="008D5A9C">
        <w:trPr>
          <w:trHeight w:val="340"/>
        </w:trPr>
        <w:tc>
          <w:tcPr>
            <w:tcW w:w="236" w:type="dxa"/>
            <w:tcBorders>
              <w:top w:val="nil"/>
              <w:left w:val="nil"/>
              <w:bottom w:val="nil"/>
              <w:right w:val="nil"/>
            </w:tcBorders>
            <w:shd w:val="clear" w:color="auto" w:fill="auto"/>
            <w:noWrap/>
            <w:vAlign w:val="bottom"/>
            <w:hideMark/>
          </w:tcPr>
          <w:p w14:paraId="316CCD20"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60604D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9</w:t>
            </w:r>
          </w:p>
        </w:tc>
        <w:tc>
          <w:tcPr>
            <w:tcW w:w="1985" w:type="dxa"/>
            <w:tcBorders>
              <w:top w:val="nil"/>
              <w:left w:val="nil"/>
              <w:bottom w:val="single" w:sz="8" w:space="0" w:color="auto"/>
              <w:right w:val="single" w:sz="8" w:space="0" w:color="auto"/>
            </w:tcBorders>
            <w:shd w:val="clear" w:color="auto" w:fill="auto"/>
            <w:vAlign w:val="center"/>
            <w:hideMark/>
          </w:tcPr>
          <w:p w14:paraId="1FF47922"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00D7DCB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743AA693"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1976" w:type="dxa"/>
            <w:tcBorders>
              <w:top w:val="nil"/>
              <w:left w:val="nil"/>
              <w:bottom w:val="single" w:sz="8" w:space="0" w:color="auto"/>
              <w:right w:val="single" w:sz="8" w:space="0" w:color="auto"/>
            </w:tcBorders>
            <w:shd w:val="clear" w:color="auto" w:fill="auto"/>
            <w:vAlign w:val="center"/>
            <w:hideMark/>
          </w:tcPr>
          <w:p w14:paraId="091556A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auto" w:fill="auto"/>
            <w:vAlign w:val="center"/>
            <w:hideMark/>
          </w:tcPr>
          <w:p w14:paraId="12AA36C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auto" w:fill="auto"/>
            <w:vAlign w:val="center"/>
            <w:hideMark/>
          </w:tcPr>
          <w:p w14:paraId="2704890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993" w:type="dxa"/>
            <w:tcBorders>
              <w:top w:val="nil"/>
              <w:left w:val="nil"/>
              <w:bottom w:val="single" w:sz="8" w:space="0" w:color="auto"/>
              <w:right w:val="single" w:sz="8" w:space="0" w:color="auto"/>
            </w:tcBorders>
            <w:shd w:val="clear" w:color="auto" w:fill="auto"/>
            <w:vAlign w:val="center"/>
            <w:hideMark/>
          </w:tcPr>
          <w:p w14:paraId="74087F8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4,5</w:t>
            </w:r>
          </w:p>
        </w:tc>
        <w:tc>
          <w:tcPr>
            <w:tcW w:w="1701" w:type="dxa"/>
            <w:tcBorders>
              <w:top w:val="nil"/>
              <w:left w:val="nil"/>
              <w:bottom w:val="single" w:sz="8" w:space="0" w:color="auto"/>
              <w:right w:val="single" w:sz="8" w:space="0" w:color="auto"/>
            </w:tcBorders>
            <w:shd w:val="clear" w:color="auto" w:fill="auto"/>
            <w:vAlign w:val="center"/>
            <w:hideMark/>
          </w:tcPr>
          <w:p w14:paraId="0510E5D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744E186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37A468D4" w14:textId="77777777" w:rsidTr="008D5A9C">
        <w:trPr>
          <w:trHeight w:val="340"/>
        </w:trPr>
        <w:tc>
          <w:tcPr>
            <w:tcW w:w="236" w:type="dxa"/>
            <w:tcBorders>
              <w:top w:val="nil"/>
              <w:left w:val="nil"/>
              <w:bottom w:val="nil"/>
              <w:right w:val="nil"/>
            </w:tcBorders>
            <w:shd w:val="clear" w:color="auto" w:fill="auto"/>
            <w:noWrap/>
            <w:vAlign w:val="bottom"/>
            <w:hideMark/>
          </w:tcPr>
          <w:p w14:paraId="6F06D522"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742B66F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10</w:t>
            </w:r>
          </w:p>
        </w:tc>
        <w:tc>
          <w:tcPr>
            <w:tcW w:w="1985" w:type="dxa"/>
            <w:tcBorders>
              <w:top w:val="nil"/>
              <w:left w:val="nil"/>
              <w:bottom w:val="single" w:sz="8" w:space="0" w:color="auto"/>
              <w:right w:val="single" w:sz="8" w:space="0" w:color="auto"/>
            </w:tcBorders>
            <w:shd w:val="clear" w:color="auto" w:fill="auto"/>
            <w:vAlign w:val="center"/>
            <w:hideMark/>
          </w:tcPr>
          <w:p w14:paraId="401A2E68"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47731E6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266322DA"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auto" w:fill="auto"/>
            <w:vAlign w:val="center"/>
            <w:hideMark/>
          </w:tcPr>
          <w:p w14:paraId="443CC43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auto" w:fill="auto"/>
            <w:vAlign w:val="center"/>
            <w:hideMark/>
          </w:tcPr>
          <w:p w14:paraId="6A401C3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38883B15"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5D4F762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3,5</w:t>
            </w:r>
          </w:p>
        </w:tc>
        <w:tc>
          <w:tcPr>
            <w:tcW w:w="1701" w:type="dxa"/>
            <w:tcBorders>
              <w:top w:val="nil"/>
              <w:left w:val="nil"/>
              <w:bottom w:val="single" w:sz="8" w:space="0" w:color="auto"/>
              <w:right w:val="single" w:sz="8" w:space="0" w:color="auto"/>
            </w:tcBorders>
            <w:shd w:val="clear" w:color="auto" w:fill="auto"/>
            <w:vAlign w:val="center"/>
            <w:hideMark/>
          </w:tcPr>
          <w:p w14:paraId="4C75D5F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5F9D7BD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1534E9E1" w14:textId="77777777" w:rsidTr="008D5A9C">
        <w:trPr>
          <w:trHeight w:val="340"/>
        </w:trPr>
        <w:tc>
          <w:tcPr>
            <w:tcW w:w="236" w:type="dxa"/>
            <w:tcBorders>
              <w:top w:val="nil"/>
              <w:left w:val="nil"/>
              <w:bottom w:val="nil"/>
              <w:right w:val="nil"/>
            </w:tcBorders>
            <w:shd w:val="clear" w:color="auto" w:fill="auto"/>
            <w:noWrap/>
            <w:vAlign w:val="bottom"/>
            <w:hideMark/>
          </w:tcPr>
          <w:p w14:paraId="39566DAD"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43BA457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11</w:t>
            </w:r>
          </w:p>
        </w:tc>
        <w:tc>
          <w:tcPr>
            <w:tcW w:w="1985" w:type="dxa"/>
            <w:tcBorders>
              <w:top w:val="nil"/>
              <w:left w:val="nil"/>
              <w:bottom w:val="single" w:sz="8" w:space="0" w:color="auto"/>
              <w:right w:val="single" w:sz="8" w:space="0" w:color="auto"/>
            </w:tcBorders>
            <w:shd w:val="clear" w:color="auto" w:fill="auto"/>
            <w:vAlign w:val="center"/>
            <w:hideMark/>
          </w:tcPr>
          <w:p w14:paraId="5C07A1DF"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2BD9D85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5F4CF31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auto" w:fill="auto"/>
            <w:vAlign w:val="center"/>
            <w:hideMark/>
          </w:tcPr>
          <w:p w14:paraId="2615CA3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2CFC51B0"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66D6AA5F"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5452EBC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3</w:t>
            </w:r>
          </w:p>
        </w:tc>
        <w:tc>
          <w:tcPr>
            <w:tcW w:w="1701" w:type="dxa"/>
            <w:tcBorders>
              <w:top w:val="nil"/>
              <w:left w:val="nil"/>
              <w:bottom w:val="single" w:sz="8" w:space="0" w:color="auto"/>
              <w:right w:val="single" w:sz="8" w:space="0" w:color="auto"/>
            </w:tcBorders>
            <w:shd w:val="clear" w:color="auto" w:fill="auto"/>
            <w:vAlign w:val="center"/>
            <w:hideMark/>
          </w:tcPr>
          <w:p w14:paraId="0C2B44E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72FDFF3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3288D768" w14:textId="77777777" w:rsidTr="008D5A9C">
        <w:trPr>
          <w:trHeight w:val="340"/>
        </w:trPr>
        <w:tc>
          <w:tcPr>
            <w:tcW w:w="236" w:type="dxa"/>
            <w:tcBorders>
              <w:top w:val="nil"/>
              <w:left w:val="nil"/>
              <w:bottom w:val="nil"/>
              <w:right w:val="nil"/>
            </w:tcBorders>
            <w:shd w:val="clear" w:color="auto" w:fill="auto"/>
            <w:noWrap/>
            <w:vAlign w:val="bottom"/>
            <w:hideMark/>
          </w:tcPr>
          <w:p w14:paraId="29FD0AD2"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6B94E8F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12</w:t>
            </w:r>
          </w:p>
        </w:tc>
        <w:tc>
          <w:tcPr>
            <w:tcW w:w="1985" w:type="dxa"/>
            <w:tcBorders>
              <w:top w:val="nil"/>
              <w:left w:val="nil"/>
              <w:bottom w:val="single" w:sz="8" w:space="0" w:color="auto"/>
              <w:right w:val="single" w:sz="8" w:space="0" w:color="auto"/>
            </w:tcBorders>
            <w:shd w:val="clear" w:color="auto" w:fill="auto"/>
            <w:vAlign w:val="center"/>
            <w:hideMark/>
          </w:tcPr>
          <w:p w14:paraId="4ABA1AEE" w14:textId="77777777" w:rsidR="00BF2221" w:rsidRPr="00BF2221" w:rsidRDefault="00BF2221" w:rsidP="00BF2221">
            <w:pPr>
              <w:spacing w:after="0" w:line="240" w:lineRule="auto"/>
              <w:rPr>
                <w:rFonts w:eastAsia="Times New Roman" w:cs="Calibri Light"/>
                <w:b/>
                <w:bCs/>
                <w:sz w:val="20"/>
                <w:szCs w:val="20"/>
                <w:lang w:eastAsia="en-GB"/>
              </w:rPr>
            </w:pPr>
            <w:r w:rsidRPr="00BF2221">
              <w:rPr>
                <w:rFonts w:eastAsia="Times New Roman" w:cs="Calibri Light"/>
                <w:b/>
                <w:bCs/>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60A7F62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269AF9E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2271F48D"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08BF92B4"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86BAFD3"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1645007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2,5</w:t>
            </w:r>
          </w:p>
        </w:tc>
        <w:tc>
          <w:tcPr>
            <w:tcW w:w="1701" w:type="dxa"/>
            <w:tcBorders>
              <w:top w:val="nil"/>
              <w:left w:val="nil"/>
              <w:bottom w:val="single" w:sz="8" w:space="0" w:color="auto"/>
              <w:right w:val="single" w:sz="8" w:space="0" w:color="auto"/>
            </w:tcBorders>
            <w:shd w:val="clear" w:color="auto" w:fill="auto"/>
            <w:vAlign w:val="center"/>
            <w:hideMark/>
          </w:tcPr>
          <w:p w14:paraId="7030257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0219CAE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7F974E68" w14:textId="77777777" w:rsidTr="008D5A9C">
        <w:trPr>
          <w:trHeight w:val="340"/>
        </w:trPr>
        <w:tc>
          <w:tcPr>
            <w:tcW w:w="236" w:type="dxa"/>
            <w:tcBorders>
              <w:top w:val="nil"/>
              <w:left w:val="nil"/>
              <w:bottom w:val="nil"/>
              <w:right w:val="nil"/>
            </w:tcBorders>
            <w:shd w:val="clear" w:color="auto" w:fill="auto"/>
            <w:noWrap/>
            <w:vAlign w:val="bottom"/>
            <w:hideMark/>
          </w:tcPr>
          <w:p w14:paraId="46BC7711"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4730A03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13</w:t>
            </w:r>
          </w:p>
        </w:tc>
        <w:tc>
          <w:tcPr>
            <w:tcW w:w="1985" w:type="dxa"/>
            <w:tcBorders>
              <w:top w:val="nil"/>
              <w:left w:val="nil"/>
              <w:bottom w:val="single" w:sz="8" w:space="0" w:color="auto"/>
              <w:right w:val="single" w:sz="8" w:space="0" w:color="auto"/>
            </w:tcBorders>
            <w:shd w:val="clear" w:color="auto" w:fill="auto"/>
            <w:vAlign w:val="center"/>
            <w:hideMark/>
          </w:tcPr>
          <w:p w14:paraId="2F7E498D"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6</w:t>
            </w:r>
          </w:p>
        </w:tc>
        <w:tc>
          <w:tcPr>
            <w:tcW w:w="1275" w:type="dxa"/>
            <w:tcBorders>
              <w:top w:val="nil"/>
              <w:left w:val="nil"/>
              <w:bottom w:val="single" w:sz="8" w:space="0" w:color="auto"/>
              <w:right w:val="single" w:sz="8" w:space="0" w:color="auto"/>
            </w:tcBorders>
            <w:shd w:val="clear" w:color="auto" w:fill="auto"/>
            <w:vAlign w:val="center"/>
            <w:hideMark/>
          </w:tcPr>
          <w:p w14:paraId="1AD86038"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79F00E72"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09671DE8"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53F315BC"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2F95BFF0"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1EF1309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25E1882A"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58318A6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764F3D05" w14:textId="77777777" w:rsidTr="008D5A9C">
        <w:trPr>
          <w:trHeight w:val="340"/>
        </w:trPr>
        <w:tc>
          <w:tcPr>
            <w:tcW w:w="236" w:type="dxa"/>
            <w:tcBorders>
              <w:top w:val="nil"/>
              <w:left w:val="nil"/>
              <w:bottom w:val="nil"/>
              <w:right w:val="nil"/>
            </w:tcBorders>
            <w:shd w:val="clear" w:color="auto" w:fill="auto"/>
            <w:noWrap/>
            <w:vAlign w:val="bottom"/>
            <w:hideMark/>
          </w:tcPr>
          <w:p w14:paraId="6AA7E670"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46403DD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14</w:t>
            </w:r>
          </w:p>
        </w:tc>
        <w:tc>
          <w:tcPr>
            <w:tcW w:w="1985" w:type="dxa"/>
            <w:tcBorders>
              <w:top w:val="nil"/>
              <w:left w:val="nil"/>
              <w:bottom w:val="single" w:sz="8" w:space="0" w:color="auto"/>
              <w:right w:val="single" w:sz="8" w:space="0" w:color="auto"/>
            </w:tcBorders>
            <w:shd w:val="clear" w:color="auto" w:fill="auto"/>
            <w:vAlign w:val="center"/>
            <w:hideMark/>
          </w:tcPr>
          <w:p w14:paraId="299225B2"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7</w:t>
            </w:r>
          </w:p>
        </w:tc>
        <w:tc>
          <w:tcPr>
            <w:tcW w:w="1275" w:type="dxa"/>
            <w:tcBorders>
              <w:top w:val="nil"/>
              <w:left w:val="nil"/>
              <w:bottom w:val="single" w:sz="8" w:space="0" w:color="auto"/>
              <w:right w:val="single" w:sz="8" w:space="0" w:color="auto"/>
            </w:tcBorders>
            <w:shd w:val="clear" w:color="auto" w:fill="auto"/>
            <w:vAlign w:val="center"/>
            <w:hideMark/>
          </w:tcPr>
          <w:p w14:paraId="66BCF268"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79AC6A53"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6677FD98"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24488B69"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0E18F0CC"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6DDA77A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712E498A"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17C832B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4A27C5D8" w14:textId="77777777" w:rsidTr="008D5A9C">
        <w:trPr>
          <w:trHeight w:val="340"/>
        </w:trPr>
        <w:tc>
          <w:tcPr>
            <w:tcW w:w="236" w:type="dxa"/>
            <w:tcBorders>
              <w:top w:val="nil"/>
              <w:left w:val="nil"/>
              <w:bottom w:val="nil"/>
              <w:right w:val="nil"/>
            </w:tcBorders>
            <w:shd w:val="clear" w:color="auto" w:fill="auto"/>
            <w:noWrap/>
            <w:vAlign w:val="bottom"/>
            <w:hideMark/>
          </w:tcPr>
          <w:p w14:paraId="58E4EA24"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60F754B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15</w:t>
            </w:r>
          </w:p>
        </w:tc>
        <w:tc>
          <w:tcPr>
            <w:tcW w:w="1985" w:type="dxa"/>
            <w:tcBorders>
              <w:top w:val="nil"/>
              <w:left w:val="nil"/>
              <w:bottom w:val="single" w:sz="8" w:space="0" w:color="auto"/>
              <w:right w:val="single" w:sz="8" w:space="0" w:color="auto"/>
            </w:tcBorders>
            <w:shd w:val="clear" w:color="auto" w:fill="auto"/>
            <w:vAlign w:val="center"/>
            <w:hideMark/>
          </w:tcPr>
          <w:p w14:paraId="0B7926E8"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8</w:t>
            </w:r>
          </w:p>
        </w:tc>
        <w:tc>
          <w:tcPr>
            <w:tcW w:w="1275" w:type="dxa"/>
            <w:tcBorders>
              <w:top w:val="nil"/>
              <w:left w:val="nil"/>
              <w:bottom w:val="single" w:sz="8" w:space="0" w:color="auto"/>
              <w:right w:val="single" w:sz="8" w:space="0" w:color="auto"/>
            </w:tcBorders>
            <w:shd w:val="clear" w:color="auto" w:fill="auto"/>
            <w:vAlign w:val="center"/>
            <w:hideMark/>
          </w:tcPr>
          <w:p w14:paraId="41D63785"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521CCDB8"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360CF4F8"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2A1EA1DE"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743477F8"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1BEB5963"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2ED0DAD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1D686CE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3609AF64" w14:textId="77777777" w:rsidTr="008D5A9C">
        <w:trPr>
          <w:trHeight w:val="340"/>
        </w:trPr>
        <w:tc>
          <w:tcPr>
            <w:tcW w:w="236" w:type="dxa"/>
            <w:tcBorders>
              <w:top w:val="nil"/>
              <w:left w:val="nil"/>
              <w:bottom w:val="nil"/>
              <w:right w:val="nil"/>
            </w:tcBorders>
            <w:shd w:val="clear" w:color="auto" w:fill="auto"/>
            <w:noWrap/>
            <w:vAlign w:val="bottom"/>
            <w:hideMark/>
          </w:tcPr>
          <w:p w14:paraId="72DDD212"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42D0FE3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16</w:t>
            </w:r>
          </w:p>
        </w:tc>
        <w:tc>
          <w:tcPr>
            <w:tcW w:w="1985" w:type="dxa"/>
            <w:tcBorders>
              <w:top w:val="nil"/>
              <w:left w:val="nil"/>
              <w:bottom w:val="single" w:sz="8" w:space="0" w:color="auto"/>
              <w:right w:val="single" w:sz="8" w:space="0" w:color="auto"/>
            </w:tcBorders>
            <w:shd w:val="clear" w:color="auto" w:fill="auto"/>
            <w:vAlign w:val="center"/>
            <w:hideMark/>
          </w:tcPr>
          <w:p w14:paraId="66B6542F"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Non-Contributor</w:t>
            </w:r>
          </w:p>
        </w:tc>
        <w:tc>
          <w:tcPr>
            <w:tcW w:w="1275" w:type="dxa"/>
            <w:tcBorders>
              <w:top w:val="nil"/>
              <w:left w:val="nil"/>
              <w:bottom w:val="single" w:sz="8" w:space="0" w:color="auto"/>
              <w:right w:val="single" w:sz="8" w:space="0" w:color="auto"/>
            </w:tcBorders>
            <w:shd w:val="clear" w:color="auto" w:fill="auto"/>
            <w:vAlign w:val="center"/>
            <w:hideMark/>
          </w:tcPr>
          <w:p w14:paraId="7BC869BC"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528D4942"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11403B7A"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68366A45"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0A97C6B1"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7BAE1DC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61BA802A"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4AD3AFB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1A11120E" w14:textId="77777777" w:rsidTr="008D5A9C">
        <w:trPr>
          <w:trHeight w:val="340"/>
        </w:trPr>
        <w:tc>
          <w:tcPr>
            <w:tcW w:w="236" w:type="dxa"/>
            <w:tcBorders>
              <w:top w:val="nil"/>
              <w:left w:val="nil"/>
              <w:bottom w:val="nil"/>
              <w:right w:val="nil"/>
            </w:tcBorders>
            <w:shd w:val="clear" w:color="auto" w:fill="auto"/>
            <w:noWrap/>
            <w:vAlign w:val="bottom"/>
            <w:hideMark/>
          </w:tcPr>
          <w:p w14:paraId="2C9A5EFA"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3372" w:type="dxa"/>
            <w:gridSpan w:val="2"/>
            <w:tcBorders>
              <w:top w:val="single" w:sz="8" w:space="0" w:color="auto"/>
              <w:left w:val="nil"/>
              <w:bottom w:val="nil"/>
              <w:right w:val="nil"/>
            </w:tcBorders>
            <w:shd w:val="clear" w:color="auto" w:fill="auto"/>
            <w:noWrap/>
            <w:vAlign w:val="center"/>
            <w:hideMark/>
          </w:tcPr>
          <w:p w14:paraId="393A79E2"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3629D8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20</w:t>
            </w:r>
          </w:p>
        </w:tc>
        <w:tc>
          <w:tcPr>
            <w:tcW w:w="2277" w:type="dxa"/>
            <w:tcBorders>
              <w:top w:val="nil"/>
              <w:left w:val="nil"/>
              <w:bottom w:val="nil"/>
              <w:right w:val="nil"/>
            </w:tcBorders>
            <w:shd w:val="clear" w:color="auto" w:fill="auto"/>
            <w:noWrap/>
            <w:vAlign w:val="center"/>
            <w:hideMark/>
          </w:tcPr>
          <w:p w14:paraId="494145D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c>
          <w:tcPr>
            <w:tcW w:w="1976" w:type="dxa"/>
            <w:tcBorders>
              <w:top w:val="nil"/>
              <w:left w:val="nil"/>
              <w:bottom w:val="nil"/>
              <w:right w:val="nil"/>
            </w:tcBorders>
            <w:shd w:val="clear" w:color="auto" w:fill="auto"/>
            <w:noWrap/>
            <w:vAlign w:val="bottom"/>
            <w:hideMark/>
          </w:tcPr>
          <w:p w14:paraId="68220D9E" w14:textId="77777777" w:rsidR="00BF2221" w:rsidRPr="00BF2221" w:rsidRDefault="00BF2221" w:rsidP="00BF2221">
            <w:pPr>
              <w:spacing w:after="0" w:line="240" w:lineRule="auto"/>
              <w:jc w:val="center"/>
              <w:rPr>
                <w:rFonts w:ascii="Times New Roman" w:eastAsia="Times New Roman" w:hAnsi="Times New Roman" w:cs="Times New Roman"/>
                <w:sz w:val="20"/>
                <w:szCs w:val="20"/>
                <w:lang w:eastAsia="en-GB"/>
              </w:rPr>
            </w:pPr>
          </w:p>
        </w:tc>
        <w:tc>
          <w:tcPr>
            <w:tcW w:w="1526" w:type="dxa"/>
            <w:tcBorders>
              <w:top w:val="nil"/>
              <w:left w:val="nil"/>
              <w:bottom w:val="nil"/>
              <w:right w:val="nil"/>
            </w:tcBorders>
            <w:shd w:val="clear" w:color="auto" w:fill="auto"/>
            <w:noWrap/>
            <w:vAlign w:val="bottom"/>
            <w:hideMark/>
          </w:tcPr>
          <w:p w14:paraId="7D715A89"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592" w:type="dxa"/>
            <w:tcBorders>
              <w:top w:val="nil"/>
              <w:left w:val="nil"/>
              <w:bottom w:val="nil"/>
              <w:right w:val="nil"/>
            </w:tcBorders>
            <w:shd w:val="clear" w:color="auto" w:fill="auto"/>
            <w:noWrap/>
            <w:vAlign w:val="bottom"/>
            <w:hideMark/>
          </w:tcPr>
          <w:p w14:paraId="00AB2871"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993" w:type="dxa"/>
            <w:tcBorders>
              <w:top w:val="nil"/>
              <w:left w:val="nil"/>
              <w:bottom w:val="nil"/>
              <w:right w:val="nil"/>
            </w:tcBorders>
            <w:shd w:val="clear" w:color="auto" w:fill="auto"/>
            <w:noWrap/>
            <w:vAlign w:val="bottom"/>
            <w:hideMark/>
          </w:tcPr>
          <w:p w14:paraId="413B3577"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701" w:type="dxa"/>
            <w:tcBorders>
              <w:top w:val="nil"/>
              <w:left w:val="nil"/>
              <w:bottom w:val="nil"/>
              <w:right w:val="nil"/>
            </w:tcBorders>
            <w:shd w:val="clear" w:color="auto" w:fill="auto"/>
            <w:vAlign w:val="center"/>
            <w:hideMark/>
          </w:tcPr>
          <w:p w14:paraId="177EFBD6"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shd w:val="clear" w:color="auto" w:fill="auto"/>
            <w:noWrap/>
            <w:vAlign w:val="bottom"/>
            <w:hideMark/>
          </w:tcPr>
          <w:p w14:paraId="7D900B5E" w14:textId="77777777" w:rsidR="00BF2221" w:rsidRPr="00BF2221" w:rsidRDefault="00BF2221" w:rsidP="00BF2221">
            <w:pPr>
              <w:spacing w:after="0" w:line="240" w:lineRule="auto"/>
              <w:rPr>
                <w:rFonts w:ascii="Times New Roman" w:eastAsia="Times New Roman" w:hAnsi="Times New Roman" w:cs="Times New Roman"/>
                <w:sz w:val="20"/>
                <w:szCs w:val="20"/>
                <w:lang w:eastAsia="en-GB"/>
              </w:rPr>
            </w:pPr>
          </w:p>
        </w:tc>
      </w:tr>
      <w:tr w:rsidR="00BF2221" w:rsidRPr="00BF2221" w14:paraId="7D1428CF" w14:textId="77777777" w:rsidTr="008D5A9C">
        <w:trPr>
          <w:trHeight w:val="320"/>
        </w:trPr>
        <w:tc>
          <w:tcPr>
            <w:tcW w:w="236" w:type="dxa"/>
            <w:tcBorders>
              <w:top w:val="nil"/>
              <w:left w:val="nil"/>
              <w:bottom w:val="nil"/>
              <w:right w:val="nil"/>
            </w:tcBorders>
            <w:shd w:val="clear" w:color="auto" w:fill="auto"/>
            <w:noWrap/>
            <w:vAlign w:val="bottom"/>
            <w:hideMark/>
          </w:tcPr>
          <w:p w14:paraId="1BEE7523"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3011" w:type="dxa"/>
            <w:gridSpan w:val="8"/>
            <w:tcBorders>
              <w:top w:val="nil"/>
              <w:left w:val="nil"/>
              <w:bottom w:val="nil"/>
              <w:right w:val="nil"/>
            </w:tcBorders>
            <w:shd w:val="clear" w:color="auto" w:fill="auto"/>
            <w:noWrap/>
            <w:vAlign w:val="center"/>
            <w:hideMark/>
          </w:tcPr>
          <w:p w14:paraId="26106F39" w14:textId="77777777" w:rsidR="00BF2221" w:rsidRPr="00BF2221" w:rsidRDefault="00BF2221" w:rsidP="00BF2221">
            <w:pPr>
              <w:spacing w:after="0" w:line="240" w:lineRule="auto"/>
              <w:rPr>
                <w:rFonts w:eastAsia="Times New Roman" w:cs="Calibri Light"/>
                <w:color w:val="000000"/>
                <w:sz w:val="20"/>
                <w:szCs w:val="20"/>
                <w:lang w:eastAsia="en-GB"/>
              </w:rPr>
            </w:pPr>
            <w:r w:rsidRPr="00BF2221">
              <w:rPr>
                <w:rFonts w:eastAsia="Times New Roman" w:cs="Calibri Light"/>
                <w:color w:val="000000"/>
                <w:sz w:val="20"/>
                <w:szCs w:val="20"/>
                <w:lang w:eastAsia="en-GB"/>
              </w:rPr>
              <w:t>F= A+B+C+D+E</w:t>
            </w:r>
          </w:p>
        </w:tc>
        <w:tc>
          <w:tcPr>
            <w:tcW w:w="1701" w:type="dxa"/>
            <w:tcBorders>
              <w:top w:val="nil"/>
              <w:left w:val="nil"/>
              <w:bottom w:val="nil"/>
              <w:right w:val="nil"/>
            </w:tcBorders>
            <w:shd w:val="clear" w:color="auto" w:fill="auto"/>
            <w:vAlign w:val="center"/>
            <w:hideMark/>
          </w:tcPr>
          <w:p w14:paraId="5F879753" w14:textId="77777777" w:rsidR="00BF2221" w:rsidRPr="00BF2221" w:rsidRDefault="00BF2221" w:rsidP="00BF2221">
            <w:pPr>
              <w:spacing w:after="0" w:line="240" w:lineRule="auto"/>
              <w:rPr>
                <w:rFonts w:eastAsia="Times New Roman" w:cs="Calibri Light"/>
                <w:color w:val="000000"/>
                <w:sz w:val="20"/>
                <w:szCs w:val="20"/>
                <w:lang w:eastAsia="en-GB"/>
              </w:rPr>
            </w:pPr>
          </w:p>
        </w:tc>
        <w:tc>
          <w:tcPr>
            <w:tcW w:w="1863" w:type="dxa"/>
            <w:tcBorders>
              <w:top w:val="nil"/>
              <w:left w:val="nil"/>
              <w:bottom w:val="nil"/>
              <w:right w:val="nil"/>
            </w:tcBorders>
            <w:shd w:val="clear" w:color="auto" w:fill="auto"/>
            <w:noWrap/>
            <w:vAlign w:val="bottom"/>
            <w:hideMark/>
          </w:tcPr>
          <w:p w14:paraId="6FC53F24" w14:textId="77777777" w:rsidR="00BF2221" w:rsidRPr="00BF2221" w:rsidRDefault="00BF2221" w:rsidP="00BF2221">
            <w:pPr>
              <w:spacing w:after="0" w:line="240" w:lineRule="auto"/>
              <w:rPr>
                <w:rFonts w:ascii="Times New Roman" w:eastAsia="Times New Roman" w:hAnsi="Times New Roman" w:cs="Times New Roman"/>
                <w:sz w:val="20"/>
                <w:szCs w:val="20"/>
                <w:lang w:eastAsia="en-GB"/>
              </w:rPr>
            </w:pPr>
          </w:p>
        </w:tc>
      </w:tr>
    </w:tbl>
    <w:p w14:paraId="096E7A39" w14:textId="77777777" w:rsidR="00BF2221" w:rsidRPr="00BF2221" w:rsidRDefault="00BF2221" w:rsidP="00BF2221">
      <w:pPr>
        <w:rPr>
          <w:rFonts w:cs="Calibri"/>
          <w:b/>
          <w:bCs/>
          <w:sz w:val="20"/>
          <w:szCs w:val="20"/>
          <w:lang w:eastAsia="en-GB"/>
        </w:rPr>
      </w:pPr>
    </w:p>
    <w:p w14:paraId="6E539B45" w14:textId="77777777" w:rsidR="00BF2221" w:rsidRPr="00BF2221" w:rsidRDefault="00BF2221" w:rsidP="00BF2221">
      <w:pPr>
        <w:rPr>
          <w:rFonts w:cs="Calibri"/>
          <w:b/>
          <w:bCs/>
          <w:sz w:val="20"/>
          <w:szCs w:val="20"/>
          <w:lang w:eastAsia="en-GB"/>
        </w:rPr>
      </w:pPr>
      <w:r w:rsidRPr="00BF2221">
        <w:rPr>
          <w:rFonts w:cs="Calibri"/>
          <w:b/>
          <w:bCs/>
          <w:sz w:val="20"/>
          <w:szCs w:val="20"/>
          <w:lang w:eastAsia="en-GB"/>
        </w:rPr>
        <w:lastRenderedPageBreak/>
        <w:t>Table 5B: B-BBEE Points as part of the Preference Goal requirements</w:t>
      </w:r>
      <w:r w:rsidRPr="00BF2221">
        <w:rPr>
          <w:rFonts w:cs="Calibri"/>
          <w:b/>
          <w:bCs/>
          <w:color w:val="0E1B8D"/>
          <w:sz w:val="20"/>
          <w:szCs w:val="20"/>
          <w:lang w:eastAsia="en-GB"/>
        </w:rPr>
        <w:t xml:space="preserve"> </w:t>
      </w:r>
      <w:r w:rsidRPr="00BF2221">
        <w:rPr>
          <w:rFonts w:cs="Calibri"/>
          <w:b/>
          <w:bCs/>
          <w:sz w:val="20"/>
          <w:szCs w:val="20"/>
          <w:lang w:eastAsia="en-GB"/>
        </w:rPr>
        <w:t>(Preferential  Goal Requirements for (90/10) system)</w:t>
      </w:r>
    </w:p>
    <w:p w14:paraId="1878999C" w14:textId="77777777" w:rsidR="00BF2221" w:rsidRPr="00BF2221" w:rsidRDefault="00BF2221" w:rsidP="00BF2221">
      <w:pPr>
        <w:rPr>
          <w:rFonts w:cs="Calibri"/>
          <w:b/>
          <w:color w:val="FF0000"/>
          <w:kern w:val="24"/>
          <w:sz w:val="20"/>
          <w:szCs w:val="20"/>
          <w:lang w:eastAsia="en-GB"/>
        </w:rPr>
      </w:pPr>
      <w:r w:rsidRPr="00BF2221">
        <w:rPr>
          <w:rFonts w:cs="Calibri"/>
          <w:b/>
          <w:color w:val="FF0000"/>
          <w:kern w:val="24"/>
          <w:sz w:val="20"/>
          <w:szCs w:val="20"/>
          <w:lang w:eastAsia="en-GB"/>
        </w:rPr>
        <w:t>Note: Bidder to select the section for points they wish to claim (Mark as Y=Yes) in the table below.</w:t>
      </w:r>
    </w:p>
    <w:tbl>
      <w:tblPr>
        <w:tblW w:w="17784" w:type="dxa"/>
        <w:tblInd w:w="108" w:type="dxa"/>
        <w:tblLayout w:type="fixed"/>
        <w:tblLook w:val="04A0" w:firstRow="1" w:lastRow="0" w:firstColumn="1" w:lastColumn="0" w:noHBand="0" w:noVBand="1"/>
      </w:tblPr>
      <w:tblGrid>
        <w:gridCol w:w="318"/>
        <w:gridCol w:w="1275"/>
        <w:gridCol w:w="2410"/>
        <w:gridCol w:w="1134"/>
        <w:gridCol w:w="2347"/>
        <w:gridCol w:w="2000"/>
        <w:gridCol w:w="1440"/>
        <w:gridCol w:w="1584"/>
        <w:gridCol w:w="709"/>
        <w:gridCol w:w="1843"/>
        <w:gridCol w:w="2724"/>
      </w:tblGrid>
      <w:tr w:rsidR="00BF2221" w:rsidRPr="00BF2221" w14:paraId="7E174B9D" w14:textId="77777777" w:rsidTr="008D5A9C">
        <w:trPr>
          <w:trHeight w:val="340"/>
        </w:trPr>
        <w:tc>
          <w:tcPr>
            <w:tcW w:w="318" w:type="dxa"/>
            <w:tcBorders>
              <w:top w:val="nil"/>
              <w:left w:val="nil"/>
              <w:bottom w:val="nil"/>
              <w:right w:val="nil"/>
            </w:tcBorders>
            <w:shd w:val="clear" w:color="auto" w:fill="auto"/>
            <w:noWrap/>
            <w:vAlign w:val="bottom"/>
            <w:hideMark/>
          </w:tcPr>
          <w:p w14:paraId="65A9ACBE"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3954E245"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2410" w:type="dxa"/>
            <w:tcBorders>
              <w:top w:val="nil"/>
              <w:left w:val="nil"/>
              <w:bottom w:val="nil"/>
              <w:right w:val="nil"/>
            </w:tcBorders>
            <w:shd w:val="clear" w:color="auto" w:fill="auto"/>
            <w:noWrap/>
            <w:vAlign w:val="bottom"/>
            <w:hideMark/>
          </w:tcPr>
          <w:p w14:paraId="08794477"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2F444314"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8CE126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xml:space="preserve">Ownership </w:t>
            </w:r>
          </w:p>
        </w:tc>
        <w:tc>
          <w:tcPr>
            <w:tcW w:w="709" w:type="dxa"/>
            <w:tcBorders>
              <w:top w:val="nil"/>
              <w:left w:val="nil"/>
              <w:bottom w:val="nil"/>
              <w:right w:val="nil"/>
            </w:tcBorders>
            <w:shd w:val="clear" w:color="auto" w:fill="auto"/>
            <w:noWrap/>
            <w:vAlign w:val="bottom"/>
            <w:hideMark/>
          </w:tcPr>
          <w:p w14:paraId="44A600B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c>
          <w:tcPr>
            <w:tcW w:w="1843" w:type="dxa"/>
            <w:tcBorders>
              <w:top w:val="nil"/>
              <w:left w:val="nil"/>
              <w:bottom w:val="nil"/>
              <w:right w:val="nil"/>
            </w:tcBorders>
            <w:shd w:val="clear" w:color="auto" w:fill="auto"/>
            <w:noWrap/>
            <w:vAlign w:val="bottom"/>
            <w:hideMark/>
          </w:tcPr>
          <w:p w14:paraId="2F75745F"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47FE33D5"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r>
      <w:tr w:rsidR="00BF2221" w:rsidRPr="00BF2221" w14:paraId="2A4D376A" w14:textId="77777777" w:rsidTr="008D5A9C">
        <w:trPr>
          <w:trHeight w:val="320"/>
        </w:trPr>
        <w:tc>
          <w:tcPr>
            <w:tcW w:w="318" w:type="dxa"/>
            <w:tcBorders>
              <w:top w:val="nil"/>
              <w:left w:val="nil"/>
              <w:bottom w:val="nil"/>
              <w:right w:val="nil"/>
            </w:tcBorders>
            <w:shd w:val="clear" w:color="auto" w:fill="auto"/>
            <w:noWrap/>
            <w:vAlign w:val="bottom"/>
            <w:hideMark/>
          </w:tcPr>
          <w:p w14:paraId="5EBCD30C"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CF96DDF"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Reference #</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F8B6D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Contributor Level as defined in the Broad-Based Black Economic Empowerment Act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8A293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EME/QSEs</w:t>
            </w:r>
          </w:p>
        </w:tc>
        <w:tc>
          <w:tcPr>
            <w:tcW w:w="2347" w:type="dxa"/>
            <w:vMerge w:val="restart"/>
            <w:tcBorders>
              <w:top w:val="nil"/>
              <w:left w:val="single" w:sz="8" w:space="0" w:color="auto"/>
              <w:bottom w:val="single" w:sz="8" w:space="0" w:color="000000"/>
              <w:right w:val="single" w:sz="8" w:space="0" w:color="auto"/>
            </w:tcBorders>
            <w:shd w:val="clear" w:color="auto" w:fill="auto"/>
            <w:vAlign w:val="center"/>
            <w:hideMark/>
          </w:tcPr>
          <w:p w14:paraId="7E5D2E00" w14:textId="77777777" w:rsidR="00BF2221" w:rsidRPr="00BF2221" w:rsidRDefault="00BF2221" w:rsidP="00BF2221">
            <w:pPr>
              <w:spacing w:after="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Black Owned</w:t>
            </w:r>
            <w:r w:rsidRPr="00BF2221">
              <w:rPr>
                <w:rFonts w:eastAsia="Times New Roman" w:cs="Calibri Light"/>
                <w:b/>
                <w:bCs/>
                <w:sz w:val="20"/>
                <w:szCs w:val="20"/>
                <w:lang w:eastAsia="en-GB"/>
              </w:rPr>
              <w:br/>
              <w:t>(BO)</w:t>
            </w:r>
            <w:r w:rsidRPr="00BF2221">
              <w:rPr>
                <w:rFonts w:eastAsia="Times New Roman" w:cs="Calibri Light"/>
                <w:b/>
                <w:bCs/>
                <w:sz w:val="20"/>
                <w:szCs w:val="20"/>
                <w:lang w:eastAsia="en-GB"/>
              </w:rPr>
              <w:br/>
              <w:t>(51% or more)</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57BAA737" w14:textId="77777777" w:rsidR="00BF2221" w:rsidRPr="00BF2221" w:rsidRDefault="00BF2221" w:rsidP="00BF2221">
            <w:pPr>
              <w:spacing w:after="24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Woman Owned</w:t>
            </w:r>
            <w:r w:rsidRPr="00BF2221">
              <w:rPr>
                <w:rFonts w:eastAsia="Times New Roman" w:cs="Calibri Light"/>
                <w:b/>
                <w:bCs/>
                <w:sz w:val="20"/>
                <w:szCs w:val="20"/>
                <w:lang w:eastAsia="en-GB"/>
              </w:rPr>
              <w:br/>
              <w:t>(BWO)</w:t>
            </w:r>
            <w:r w:rsidRPr="00BF2221">
              <w:rPr>
                <w:rFonts w:eastAsia="Times New Roman" w:cs="Calibri Light"/>
                <w:b/>
                <w:bCs/>
                <w:sz w:val="20"/>
                <w:szCs w:val="20"/>
                <w:lang w:eastAsia="en-GB"/>
              </w:rPr>
              <w:br/>
              <w:t>(More than 30%)</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2EADD48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Youth  Owned</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14:paraId="5DBE257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Owned by People living with  disabilities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AF2BF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Score</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36098D" w14:textId="77777777" w:rsidR="00BF2221" w:rsidRPr="00BF2221" w:rsidRDefault="00BF2221" w:rsidP="00BF2221">
            <w:pPr>
              <w:spacing w:after="0" w:line="240" w:lineRule="auto"/>
              <w:jc w:val="center"/>
              <w:rPr>
                <w:rFonts w:eastAsia="Times New Roman" w:cs="Calibri Light"/>
                <w:b/>
                <w:bCs/>
                <w:color w:val="FF0000"/>
                <w:sz w:val="20"/>
                <w:szCs w:val="20"/>
                <w:lang w:eastAsia="en-GB"/>
              </w:rPr>
            </w:pPr>
            <w:r w:rsidRPr="00BF2221">
              <w:rPr>
                <w:rFonts w:eastAsia="Times New Roman" w:cs="Calibri Light"/>
                <w:b/>
                <w:bCs/>
                <w:color w:val="FF0000"/>
                <w:sz w:val="20"/>
                <w:szCs w:val="20"/>
                <w:lang w:eastAsia="en-GB"/>
              </w:rPr>
              <w:t>Bidder to select the section for points they wish to claim</w:t>
            </w:r>
            <w:r w:rsidRPr="00BF2221">
              <w:rPr>
                <w:rFonts w:eastAsia="Times New Roman" w:cs="Calibri Light"/>
                <w:b/>
                <w:bCs/>
                <w:color w:val="FF0000"/>
                <w:sz w:val="20"/>
                <w:szCs w:val="20"/>
                <w:lang w:eastAsia="en-GB"/>
              </w:rPr>
              <w:br/>
              <w:t>(Mark as Y= Yes)</w:t>
            </w:r>
          </w:p>
        </w:tc>
        <w:tc>
          <w:tcPr>
            <w:tcW w:w="2724" w:type="dxa"/>
            <w:tcBorders>
              <w:top w:val="nil"/>
              <w:left w:val="nil"/>
              <w:bottom w:val="nil"/>
              <w:right w:val="nil"/>
            </w:tcBorders>
            <w:shd w:val="clear" w:color="auto" w:fill="auto"/>
            <w:noWrap/>
            <w:vAlign w:val="bottom"/>
            <w:hideMark/>
          </w:tcPr>
          <w:p w14:paraId="3519653A" w14:textId="77777777" w:rsidR="00BF2221" w:rsidRPr="00BF2221" w:rsidRDefault="00BF2221" w:rsidP="00BF2221">
            <w:pPr>
              <w:spacing w:after="0" w:line="240" w:lineRule="auto"/>
              <w:jc w:val="center"/>
              <w:rPr>
                <w:rFonts w:eastAsia="Times New Roman" w:cs="Calibri Light"/>
                <w:b/>
                <w:bCs/>
                <w:color w:val="FF0000"/>
                <w:sz w:val="20"/>
                <w:szCs w:val="20"/>
                <w:lang w:eastAsia="en-GB"/>
              </w:rPr>
            </w:pPr>
          </w:p>
        </w:tc>
      </w:tr>
      <w:tr w:rsidR="00BF2221" w:rsidRPr="00BF2221" w14:paraId="1FC44404" w14:textId="77777777" w:rsidTr="008D5A9C">
        <w:trPr>
          <w:trHeight w:val="719"/>
        </w:trPr>
        <w:tc>
          <w:tcPr>
            <w:tcW w:w="318" w:type="dxa"/>
            <w:tcBorders>
              <w:top w:val="nil"/>
              <w:left w:val="nil"/>
              <w:bottom w:val="nil"/>
              <w:right w:val="nil"/>
            </w:tcBorders>
            <w:shd w:val="clear" w:color="auto" w:fill="auto"/>
            <w:noWrap/>
            <w:vAlign w:val="bottom"/>
            <w:hideMark/>
          </w:tcPr>
          <w:p w14:paraId="6F53B313"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909CA5F"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07A5A310"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6D5CB9"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2347" w:type="dxa"/>
            <w:vMerge/>
            <w:tcBorders>
              <w:top w:val="nil"/>
              <w:left w:val="single" w:sz="8" w:space="0" w:color="auto"/>
              <w:bottom w:val="single" w:sz="8" w:space="0" w:color="000000"/>
              <w:right w:val="single" w:sz="8" w:space="0" w:color="auto"/>
            </w:tcBorders>
            <w:vAlign w:val="center"/>
            <w:hideMark/>
          </w:tcPr>
          <w:p w14:paraId="168B2317" w14:textId="77777777" w:rsidR="00BF2221" w:rsidRPr="00BF2221" w:rsidRDefault="00BF2221" w:rsidP="00BF2221">
            <w:pPr>
              <w:spacing w:after="0" w:line="240" w:lineRule="auto"/>
              <w:jc w:val="left"/>
              <w:rPr>
                <w:rFonts w:eastAsia="Times New Roman" w:cs="Calibri Light"/>
                <w:b/>
                <w:bCs/>
                <w:sz w:val="20"/>
                <w:szCs w:val="20"/>
                <w:lang w:eastAsia="en-GB"/>
              </w:rPr>
            </w:pPr>
          </w:p>
        </w:tc>
        <w:tc>
          <w:tcPr>
            <w:tcW w:w="2000" w:type="dxa"/>
            <w:vMerge/>
            <w:tcBorders>
              <w:top w:val="nil"/>
              <w:left w:val="single" w:sz="8" w:space="0" w:color="auto"/>
              <w:bottom w:val="single" w:sz="8" w:space="0" w:color="000000"/>
              <w:right w:val="single" w:sz="8" w:space="0" w:color="auto"/>
            </w:tcBorders>
            <w:vAlign w:val="center"/>
            <w:hideMark/>
          </w:tcPr>
          <w:p w14:paraId="72CDE2D3" w14:textId="77777777" w:rsidR="00BF2221" w:rsidRPr="00BF2221" w:rsidRDefault="00BF2221" w:rsidP="00BF2221">
            <w:pPr>
              <w:spacing w:after="0" w:line="240" w:lineRule="auto"/>
              <w:jc w:val="left"/>
              <w:rPr>
                <w:rFonts w:eastAsia="Times New Roman" w:cs="Calibri Light"/>
                <w:b/>
                <w:bCs/>
                <w:sz w:val="20"/>
                <w:szCs w:val="20"/>
                <w:lang w:eastAsia="en-GB"/>
              </w:rPr>
            </w:pPr>
          </w:p>
        </w:tc>
        <w:tc>
          <w:tcPr>
            <w:tcW w:w="1440" w:type="dxa"/>
            <w:vMerge/>
            <w:tcBorders>
              <w:top w:val="nil"/>
              <w:left w:val="single" w:sz="8" w:space="0" w:color="auto"/>
              <w:bottom w:val="single" w:sz="8" w:space="0" w:color="000000"/>
              <w:right w:val="single" w:sz="8" w:space="0" w:color="auto"/>
            </w:tcBorders>
            <w:vAlign w:val="center"/>
            <w:hideMark/>
          </w:tcPr>
          <w:p w14:paraId="5F839EB4"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1584" w:type="dxa"/>
            <w:vMerge/>
            <w:tcBorders>
              <w:top w:val="nil"/>
              <w:left w:val="single" w:sz="8" w:space="0" w:color="auto"/>
              <w:bottom w:val="single" w:sz="8" w:space="0" w:color="000000"/>
              <w:right w:val="single" w:sz="8" w:space="0" w:color="auto"/>
            </w:tcBorders>
            <w:vAlign w:val="center"/>
            <w:hideMark/>
          </w:tcPr>
          <w:p w14:paraId="576C4884"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7026C3B8" w14:textId="77777777" w:rsidR="00BF2221" w:rsidRPr="00BF2221" w:rsidRDefault="00BF2221" w:rsidP="00BF2221">
            <w:pPr>
              <w:spacing w:after="0" w:line="240" w:lineRule="auto"/>
              <w:jc w:val="left"/>
              <w:rPr>
                <w:rFonts w:eastAsia="Times New Roman" w:cs="Calibri Light"/>
                <w:b/>
                <w:bCs/>
                <w:color w:val="000000"/>
                <w:sz w:val="20"/>
                <w:szCs w:val="20"/>
                <w:lang w:eastAsia="en-GB"/>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A2F6CE5" w14:textId="77777777" w:rsidR="00BF2221" w:rsidRPr="00BF2221" w:rsidRDefault="00BF2221" w:rsidP="00BF2221">
            <w:pPr>
              <w:spacing w:after="0" w:line="240" w:lineRule="auto"/>
              <w:jc w:val="left"/>
              <w:rPr>
                <w:rFonts w:eastAsia="Times New Roman" w:cs="Calibri Light"/>
                <w:b/>
                <w:bCs/>
                <w:color w:val="FF0000"/>
                <w:sz w:val="20"/>
                <w:szCs w:val="20"/>
                <w:lang w:eastAsia="en-GB"/>
              </w:rPr>
            </w:pPr>
          </w:p>
        </w:tc>
        <w:tc>
          <w:tcPr>
            <w:tcW w:w="2724" w:type="dxa"/>
            <w:tcBorders>
              <w:top w:val="nil"/>
              <w:left w:val="nil"/>
              <w:bottom w:val="nil"/>
              <w:right w:val="nil"/>
            </w:tcBorders>
            <w:shd w:val="clear" w:color="auto" w:fill="auto"/>
            <w:noWrap/>
            <w:vAlign w:val="bottom"/>
            <w:hideMark/>
          </w:tcPr>
          <w:p w14:paraId="28715B32"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r>
      <w:tr w:rsidR="00BF2221" w:rsidRPr="00BF2221" w14:paraId="79814B33" w14:textId="77777777" w:rsidTr="008D5A9C">
        <w:trPr>
          <w:trHeight w:val="340"/>
        </w:trPr>
        <w:tc>
          <w:tcPr>
            <w:tcW w:w="318" w:type="dxa"/>
            <w:tcBorders>
              <w:top w:val="nil"/>
              <w:left w:val="nil"/>
              <w:bottom w:val="nil"/>
              <w:right w:val="nil"/>
            </w:tcBorders>
            <w:shd w:val="clear" w:color="auto" w:fill="auto"/>
            <w:noWrap/>
            <w:vAlign w:val="bottom"/>
            <w:hideMark/>
          </w:tcPr>
          <w:p w14:paraId="4771FF6E"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7B60FEB7" w14:textId="77777777" w:rsidR="00BF2221" w:rsidRPr="00BF2221" w:rsidRDefault="00BF2221" w:rsidP="00BF2221">
            <w:pPr>
              <w:spacing w:after="0" w:line="240" w:lineRule="auto"/>
              <w:rPr>
                <w:rFonts w:eastAsia="Times New Roman" w:cs="Calibri Light"/>
                <w:color w:val="000000"/>
                <w:sz w:val="20"/>
                <w:szCs w:val="20"/>
                <w:lang w:eastAsia="en-GB"/>
              </w:rPr>
            </w:pPr>
            <w:r w:rsidRPr="00BF2221">
              <w:rPr>
                <w:rFonts w:eastAsia="Times New Roman" w:cs="Calibri Light"/>
                <w:color w:val="000000"/>
                <w:sz w:val="20"/>
                <w:szCs w:val="20"/>
                <w:lang w:eastAsia="en-GB"/>
              </w:rPr>
              <w:t> </w:t>
            </w:r>
          </w:p>
        </w:tc>
        <w:tc>
          <w:tcPr>
            <w:tcW w:w="2410" w:type="dxa"/>
            <w:tcBorders>
              <w:top w:val="nil"/>
              <w:left w:val="nil"/>
              <w:bottom w:val="single" w:sz="8" w:space="0" w:color="auto"/>
              <w:right w:val="single" w:sz="8" w:space="0" w:color="auto"/>
            </w:tcBorders>
            <w:shd w:val="clear" w:color="auto" w:fill="auto"/>
            <w:vAlign w:val="center"/>
            <w:hideMark/>
          </w:tcPr>
          <w:p w14:paraId="5318B7ED" w14:textId="77777777" w:rsidR="00BF2221" w:rsidRPr="00BF2221" w:rsidRDefault="00BF2221" w:rsidP="00BF2221">
            <w:pPr>
              <w:spacing w:after="0" w:line="240" w:lineRule="auto"/>
              <w:jc w:val="left"/>
              <w:rPr>
                <w:rFonts w:eastAsia="Times New Roman" w:cs="Calibri Light"/>
                <w:color w:val="000000"/>
                <w:lang w:eastAsia="en-GB"/>
              </w:rPr>
            </w:pPr>
            <w:r w:rsidRPr="00BF2221">
              <w:rPr>
                <w:rFonts w:eastAsia="Times New Roman" w:cs="Calibri Light"/>
                <w:color w:val="000000"/>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7654EC4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(A)</w:t>
            </w:r>
          </w:p>
        </w:tc>
        <w:tc>
          <w:tcPr>
            <w:tcW w:w="2347" w:type="dxa"/>
            <w:tcBorders>
              <w:top w:val="nil"/>
              <w:left w:val="nil"/>
              <w:bottom w:val="single" w:sz="8" w:space="0" w:color="auto"/>
              <w:right w:val="single" w:sz="8" w:space="0" w:color="auto"/>
            </w:tcBorders>
            <w:shd w:val="clear" w:color="auto" w:fill="auto"/>
            <w:vAlign w:val="center"/>
            <w:hideMark/>
          </w:tcPr>
          <w:p w14:paraId="32F8DF7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(B)</w:t>
            </w:r>
          </w:p>
        </w:tc>
        <w:tc>
          <w:tcPr>
            <w:tcW w:w="2000" w:type="dxa"/>
            <w:tcBorders>
              <w:top w:val="nil"/>
              <w:left w:val="nil"/>
              <w:bottom w:val="single" w:sz="8" w:space="0" w:color="auto"/>
              <w:right w:val="single" w:sz="8" w:space="0" w:color="auto"/>
            </w:tcBorders>
            <w:shd w:val="clear" w:color="auto" w:fill="auto"/>
            <w:vAlign w:val="center"/>
            <w:hideMark/>
          </w:tcPr>
          <w:p w14:paraId="10A2C91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(C)</w:t>
            </w:r>
          </w:p>
        </w:tc>
        <w:tc>
          <w:tcPr>
            <w:tcW w:w="1440" w:type="dxa"/>
            <w:tcBorders>
              <w:top w:val="nil"/>
              <w:left w:val="nil"/>
              <w:bottom w:val="single" w:sz="8" w:space="0" w:color="auto"/>
              <w:right w:val="single" w:sz="8" w:space="0" w:color="auto"/>
            </w:tcBorders>
            <w:shd w:val="clear" w:color="auto" w:fill="auto"/>
            <w:vAlign w:val="center"/>
            <w:hideMark/>
          </w:tcPr>
          <w:p w14:paraId="5009CC9A"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(D)</w:t>
            </w:r>
          </w:p>
        </w:tc>
        <w:tc>
          <w:tcPr>
            <w:tcW w:w="1584" w:type="dxa"/>
            <w:tcBorders>
              <w:top w:val="nil"/>
              <w:left w:val="nil"/>
              <w:bottom w:val="single" w:sz="8" w:space="0" w:color="auto"/>
              <w:right w:val="single" w:sz="8" w:space="0" w:color="auto"/>
            </w:tcBorders>
            <w:shd w:val="clear" w:color="auto" w:fill="auto"/>
            <w:vAlign w:val="center"/>
            <w:hideMark/>
          </w:tcPr>
          <w:p w14:paraId="22FB07D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(E)</w:t>
            </w:r>
          </w:p>
        </w:tc>
        <w:tc>
          <w:tcPr>
            <w:tcW w:w="709" w:type="dxa"/>
            <w:tcBorders>
              <w:top w:val="nil"/>
              <w:left w:val="nil"/>
              <w:bottom w:val="single" w:sz="8" w:space="0" w:color="auto"/>
              <w:right w:val="single" w:sz="8" w:space="0" w:color="auto"/>
            </w:tcBorders>
            <w:shd w:val="clear" w:color="auto" w:fill="auto"/>
            <w:vAlign w:val="center"/>
            <w:hideMark/>
          </w:tcPr>
          <w:p w14:paraId="1368790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(F)</w:t>
            </w:r>
          </w:p>
        </w:tc>
        <w:tc>
          <w:tcPr>
            <w:tcW w:w="1843" w:type="dxa"/>
            <w:tcBorders>
              <w:top w:val="nil"/>
              <w:left w:val="nil"/>
              <w:bottom w:val="single" w:sz="8" w:space="0" w:color="auto"/>
              <w:right w:val="single" w:sz="8" w:space="0" w:color="auto"/>
            </w:tcBorders>
            <w:shd w:val="clear" w:color="auto" w:fill="auto"/>
            <w:vAlign w:val="center"/>
            <w:hideMark/>
          </w:tcPr>
          <w:p w14:paraId="29F8DF8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4BA44F4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730B0BED" w14:textId="77777777" w:rsidTr="008D5A9C">
        <w:trPr>
          <w:trHeight w:val="340"/>
        </w:trPr>
        <w:tc>
          <w:tcPr>
            <w:tcW w:w="318" w:type="dxa"/>
            <w:tcBorders>
              <w:top w:val="nil"/>
              <w:left w:val="nil"/>
              <w:bottom w:val="nil"/>
              <w:right w:val="nil"/>
            </w:tcBorders>
            <w:shd w:val="clear" w:color="auto" w:fill="auto"/>
            <w:noWrap/>
            <w:vAlign w:val="bottom"/>
            <w:hideMark/>
          </w:tcPr>
          <w:p w14:paraId="702ED484"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4F9BC8D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2410" w:type="dxa"/>
            <w:tcBorders>
              <w:top w:val="nil"/>
              <w:left w:val="nil"/>
              <w:bottom w:val="single" w:sz="8" w:space="0" w:color="auto"/>
              <w:right w:val="single" w:sz="8" w:space="0" w:color="auto"/>
            </w:tcBorders>
            <w:shd w:val="clear" w:color="auto" w:fill="auto"/>
            <w:vAlign w:val="center"/>
            <w:hideMark/>
          </w:tcPr>
          <w:p w14:paraId="267571F8"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02A20CF7" w14:textId="77777777" w:rsidR="00BF2221" w:rsidRPr="00BF2221" w:rsidRDefault="00BF2221" w:rsidP="00BF2221">
            <w:pPr>
              <w:spacing w:after="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1DD8195A" w14:textId="77777777" w:rsidR="00BF2221" w:rsidRPr="00BF2221" w:rsidRDefault="00BF2221" w:rsidP="00BF2221">
            <w:pPr>
              <w:spacing w:after="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06515F54" w14:textId="77777777" w:rsidR="00BF2221" w:rsidRPr="00BF2221" w:rsidRDefault="00BF2221" w:rsidP="00BF2221">
            <w:pPr>
              <w:spacing w:after="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7AC2C485" w14:textId="77777777" w:rsidR="00BF2221" w:rsidRPr="00BF2221" w:rsidRDefault="00BF2221" w:rsidP="00BF2221">
            <w:pPr>
              <w:spacing w:after="0" w:line="240" w:lineRule="auto"/>
              <w:jc w:val="center"/>
              <w:rPr>
                <w:rFonts w:eastAsia="Times New Roman" w:cs="Calibri Light"/>
                <w:b/>
                <w:bCs/>
                <w:sz w:val="20"/>
                <w:szCs w:val="20"/>
                <w:lang w:eastAsia="en-GB"/>
              </w:rPr>
            </w:pPr>
            <w:r w:rsidRPr="00BF2221">
              <w:rPr>
                <w:rFonts w:eastAsia="Times New Roman" w:cs="Calibri Light"/>
                <w:b/>
                <w:bCs/>
                <w:sz w:val="20"/>
                <w:szCs w:val="20"/>
                <w:lang w:eastAsia="en-GB"/>
              </w:rPr>
              <w:t>2</w:t>
            </w:r>
          </w:p>
        </w:tc>
        <w:tc>
          <w:tcPr>
            <w:tcW w:w="1584" w:type="dxa"/>
            <w:tcBorders>
              <w:top w:val="nil"/>
              <w:left w:val="nil"/>
              <w:bottom w:val="single" w:sz="8" w:space="0" w:color="auto"/>
              <w:right w:val="single" w:sz="8" w:space="0" w:color="auto"/>
            </w:tcBorders>
            <w:shd w:val="clear" w:color="auto" w:fill="auto"/>
            <w:vAlign w:val="center"/>
            <w:hideMark/>
          </w:tcPr>
          <w:p w14:paraId="1CFA2C9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709" w:type="dxa"/>
            <w:tcBorders>
              <w:top w:val="nil"/>
              <w:left w:val="nil"/>
              <w:bottom w:val="single" w:sz="8" w:space="0" w:color="auto"/>
              <w:right w:val="single" w:sz="8" w:space="0" w:color="auto"/>
            </w:tcBorders>
            <w:shd w:val="clear" w:color="auto" w:fill="auto"/>
            <w:vAlign w:val="center"/>
            <w:hideMark/>
          </w:tcPr>
          <w:p w14:paraId="448C48B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10</w:t>
            </w:r>
          </w:p>
        </w:tc>
        <w:tc>
          <w:tcPr>
            <w:tcW w:w="1843" w:type="dxa"/>
            <w:tcBorders>
              <w:top w:val="nil"/>
              <w:left w:val="nil"/>
              <w:bottom w:val="single" w:sz="8" w:space="0" w:color="auto"/>
              <w:right w:val="single" w:sz="8" w:space="0" w:color="auto"/>
            </w:tcBorders>
            <w:shd w:val="clear" w:color="auto" w:fill="auto"/>
            <w:vAlign w:val="center"/>
            <w:hideMark/>
          </w:tcPr>
          <w:p w14:paraId="54CF258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9DF3543"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77F04E51" w14:textId="77777777" w:rsidTr="008D5A9C">
        <w:trPr>
          <w:trHeight w:val="340"/>
        </w:trPr>
        <w:tc>
          <w:tcPr>
            <w:tcW w:w="318" w:type="dxa"/>
            <w:tcBorders>
              <w:top w:val="nil"/>
              <w:left w:val="nil"/>
              <w:bottom w:val="nil"/>
              <w:right w:val="nil"/>
            </w:tcBorders>
            <w:shd w:val="clear" w:color="auto" w:fill="auto"/>
            <w:noWrap/>
            <w:vAlign w:val="bottom"/>
            <w:hideMark/>
          </w:tcPr>
          <w:p w14:paraId="09D572F8"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5CA84EE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410" w:type="dxa"/>
            <w:tcBorders>
              <w:top w:val="nil"/>
              <w:left w:val="nil"/>
              <w:bottom w:val="single" w:sz="8" w:space="0" w:color="auto"/>
              <w:right w:val="single" w:sz="8" w:space="0" w:color="auto"/>
            </w:tcBorders>
            <w:shd w:val="clear" w:color="auto" w:fill="auto"/>
            <w:vAlign w:val="center"/>
            <w:hideMark/>
          </w:tcPr>
          <w:p w14:paraId="3FE8310A"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49AE11C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35ED6553"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6F54ED0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28170C0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1584" w:type="dxa"/>
            <w:tcBorders>
              <w:top w:val="nil"/>
              <w:left w:val="nil"/>
              <w:bottom w:val="single" w:sz="8" w:space="0" w:color="auto"/>
              <w:right w:val="single" w:sz="8" w:space="0" w:color="auto"/>
            </w:tcBorders>
            <w:shd w:val="clear" w:color="000000" w:fill="A6A6A6"/>
            <w:vAlign w:val="center"/>
            <w:hideMark/>
          </w:tcPr>
          <w:p w14:paraId="173434A5"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8D44CD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9</w:t>
            </w:r>
          </w:p>
        </w:tc>
        <w:tc>
          <w:tcPr>
            <w:tcW w:w="1843" w:type="dxa"/>
            <w:tcBorders>
              <w:top w:val="nil"/>
              <w:left w:val="nil"/>
              <w:bottom w:val="single" w:sz="8" w:space="0" w:color="auto"/>
              <w:right w:val="single" w:sz="8" w:space="0" w:color="auto"/>
            </w:tcBorders>
            <w:shd w:val="clear" w:color="auto" w:fill="auto"/>
            <w:vAlign w:val="center"/>
            <w:hideMark/>
          </w:tcPr>
          <w:p w14:paraId="1394EF6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3B23D8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2A0754FC" w14:textId="77777777" w:rsidTr="008D5A9C">
        <w:trPr>
          <w:trHeight w:val="340"/>
        </w:trPr>
        <w:tc>
          <w:tcPr>
            <w:tcW w:w="318" w:type="dxa"/>
            <w:tcBorders>
              <w:top w:val="nil"/>
              <w:left w:val="nil"/>
              <w:bottom w:val="nil"/>
              <w:right w:val="nil"/>
            </w:tcBorders>
            <w:shd w:val="clear" w:color="auto" w:fill="auto"/>
            <w:noWrap/>
            <w:vAlign w:val="bottom"/>
            <w:hideMark/>
          </w:tcPr>
          <w:p w14:paraId="58F9828B"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7711F7E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3</w:t>
            </w:r>
          </w:p>
        </w:tc>
        <w:tc>
          <w:tcPr>
            <w:tcW w:w="2410" w:type="dxa"/>
            <w:tcBorders>
              <w:top w:val="nil"/>
              <w:left w:val="nil"/>
              <w:bottom w:val="single" w:sz="8" w:space="0" w:color="auto"/>
              <w:right w:val="single" w:sz="8" w:space="0" w:color="auto"/>
            </w:tcBorders>
            <w:shd w:val="clear" w:color="auto" w:fill="auto"/>
            <w:vAlign w:val="center"/>
            <w:hideMark/>
          </w:tcPr>
          <w:p w14:paraId="0760E205"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2ACB7FC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5BF2DF3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0F69677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000000" w:fill="A6A6A6"/>
            <w:vAlign w:val="center"/>
            <w:hideMark/>
          </w:tcPr>
          <w:p w14:paraId="59B23191"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4246783"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3A3CC4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7</w:t>
            </w:r>
          </w:p>
        </w:tc>
        <w:tc>
          <w:tcPr>
            <w:tcW w:w="1843" w:type="dxa"/>
            <w:tcBorders>
              <w:top w:val="nil"/>
              <w:left w:val="nil"/>
              <w:bottom w:val="single" w:sz="8" w:space="0" w:color="auto"/>
              <w:right w:val="single" w:sz="8" w:space="0" w:color="auto"/>
            </w:tcBorders>
            <w:shd w:val="clear" w:color="auto" w:fill="auto"/>
            <w:vAlign w:val="center"/>
            <w:hideMark/>
          </w:tcPr>
          <w:p w14:paraId="5DE0A8C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EB7536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1474AD85" w14:textId="77777777" w:rsidTr="008D5A9C">
        <w:trPr>
          <w:trHeight w:val="340"/>
        </w:trPr>
        <w:tc>
          <w:tcPr>
            <w:tcW w:w="318" w:type="dxa"/>
            <w:tcBorders>
              <w:top w:val="nil"/>
              <w:left w:val="nil"/>
              <w:bottom w:val="nil"/>
              <w:right w:val="nil"/>
            </w:tcBorders>
            <w:shd w:val="clear" w:color="auto" w:fill="auto"/>
            <w:noWrap/>
            <w:vAlign w:val="bottom"/>
            <w:hideMark/>
          </w:tcPr>
          <w:p w14:paraId="765414B8"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2ABDA7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w:t>
            </w:r>
          </w:p>
        </w:tc>
        <w:tc>
          <w:tcPr>
            <w:tcW w:w="2410" w:type="dxa"/>
            <w:tcBorders>
              <w:top w:val="nil"/>
              <w:left w:val="nil"/>
              <w:bottom w:val="single" w:sz="8" w:space="0" w:color="auto"/>
              <w:right w:val="single" w:sz="8" w:space="0" w:color="auto"/>
            </w:tcBorders>
            <w:shd w:val="clear" w:color="auto" w:fill="auto"/>
            <w:vAlign w:val="center"/>
            <w:hideMark/>
          </w:tcPr>
          <w:p w14:paraId="65E9F328" w14:textId="77777777" w:rsidR="00BF2221" w:rsidRPr="00BF2221" w:rsidRDefault="00BF2221" w:rsidP="00BF2221">
            <w:pPr>
              <w:spacing w:after="0" w:line="240" w:lineRule="auto"/>
              <w:rPr>
                <w:rFonts w:eastAsia="Times New Roman" w:cs="Calibri Light"/>
                <w:b/>
                <w:bCs/>
                <w:sz w:val="20"/>
                <w:szCs w:val="20"/>
                <w:lang w:eastAsia="en-GB"/>
              </w:rPr>
            </w:pPr>
            <w:r w:rsidRPr="00BF2221">
              <w:rPr>
                <w:rFonts w:eastAsia="Times New Roman" w:cs="Calibri Light"/>
                <w:b/>
                <w:bCs/>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5B222823"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486AA20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000000" w:fill="A6A6A6"/>
            <w:vAlign w:val="center"/>
            <w:hideMark/>
          </w:tcPr>
          <w:p w14:paraId="3DD7B6AC"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1787B82F"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4CB1926E"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34B580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5</w:t>
            </w:r>
          </w:p>
        </w:tc>
        <w:tc>
          <w:tcPr>
            <w:tcW w:w="1843" w:type="dxa"/>
            <w:tcBorders>
              <w:top w:val="nil"/>
              <w:left w:val="nil"/>
              <w:bottom w:val="single" w:sz="8" w:space="0" w:color="auto"/>
              <w:right w:val="single" w:sz="8" w:space="0" w:color="auto"/>
            </w:tcBorders>
            <w:shd w:val="clear" w:color="auto" w:fill="auto"/>
            <w:vAlign w:val="center"/>
            <w:hideMark/>
          </w:tcPr>
          <w:p w14:paraId="0C7C1A9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015193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531E96C5" w14:textId="77777777" w:rsidTr="008D5A9C">
        <w:trPr>
          <w:trHeight w:val="340"/>
        </w:trPr>
        <w:tc>
          <w:tcPr>
            <w:tcW w:w="318" w:type="dxa"/>
            <w:tcBorders>
              <w:top w:val="nil"/>
              <w:left w:val="nil"/>
              <w:bottom w:val="nil"/>
              <w:right w:val="nil"/>
            </w:tcBorders>
            <w:shd w:val="clear" w:color="auto" w:fill="auto"/>
            <w:noWrap/>
            <w:vAlign w:val="bottom"/>
            <w:hideMark/>
          </w:tcPr>
          <w:p w14:paraId="5B3181AF"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549038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5</w:t>
            </w:r>
          </w:p>
        </w:tc>
        <w:tc>
          <w:tcPr>
            <w:tcW w:w="2410" w:type="dxa"/>
            <w:tcBorders>
              <w:top w:val="nil"/>
              <w:left w:val="nil"/>
              <w:bottom w:val="single" w:sz="8" w:space="0" w:color="auto"/>
              <w:right w:val="single" w:sz="8" w:space="0" w:color="auto"/>
            </w:tcBorders>
            <w:shd w:val="clear" w:color="auto" w:fill="auto"/>
            <w:vAlign w:val="center"/>
            <w:hideMark/>
          </w:tcPr>
          <w:p w14:paraId="2D18E334"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2ED10C3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24CEA16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2611C25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1259044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auto" w:fill="auto"/>
            <w:vAlign w:val="center"/>
            <w:hideMark/>
          </w:tcPr>
          <w:p w14:paraId="7C0609F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709" w:type="dxa"/>
            <w:tcBorders>
              <w:top w:val="nil"/>
              <w:left w:val="nil"/>
              <w:bottom w:val="single" w:sz="8" w:space="0" w:color="auto"/>
              <w:right w:val="single" w:sz="8" w:space="0" w:color="auto"/>
            </w:tcBorders>
            <w:shd w:val="clear" w:color="auto" w:fill="auto"/>
            <w:vAlign w:val="center"/>
            <w:hideMark/>
          </w:tcPr>
          <w:p w14:paraId="0EB9DB7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4,5</w:t>
            </w:r>
          </w:p>
        </w:tc>
        <w:tc>
          <w:tcPr>
            <w:tcW w:w="1843" w:type="dxa"/>
            <w:tcBorders>
              <w:top w:val="nil"/>
              <w:left w:val="nil"/>
              <w:bottom w:val="single" w:sz="8" w:space="0" w:color="auto"/>
              <w:right w:val="single" w:sz="8" w:space="0" w:color="auto"/>
            </w:tcBorders>
            <w:shd w:val="clear" w:color="auto" w:fill="auto"/>
            <w:vAlign w:val="center"/>
            <w:hideMark/>
          </w:tcPr>
          <w:p w14:paraId="0B264D9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77C358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5F323A56" w14:textId="77777777" w:rsidTr="008D5A9C">
        <w:trPr>
          <w:trHeight w:val="340"/>
        </w:trPr>
        <w:tc>
          <w:tcPr>
            <w:tcW w:w="318" w:type="dxa"/>
            <w:tcBorders>
              <w:top w:val="nil"/>
              <w:left w:val="nil"/>
              <w:bottom w:val="nil"/>
              <w:right w:val="nil"/>
            </w:tcBorders>
            <w:shd w:val="clear" w:color="auto" w:fill="auto"/>
            <w:noWrap/>
            <w:vAlign w:val="bottom"/>
            <w:hideMark/>
          </w:tcPr>
          <w:p w14:paraId="578AE0C7"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5DE0AA3"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6</w:t>
            </w:r>
          </w:p>
        </w:tc>
        <w:tc>
          <w:tcPr>
            <w:tcW w:w="2410" w:type="dxa"/>
            <w:tcBorders>
              <w:top w:val="nil"/>
              <w:left w:val="nil"/>
              <w:bottom w:val="single" w:sz="8" w:space="0" w:color="auto"/>
              <w:right w:val="single" w:sz="8" w:space="0" w:color="auto"/>
            </w:tcBorders>
            <w:shd w:val="clear" w:color="auto" w:fill="auto"/>
            <w:vAlign w:val="center"/>
            <w:hideMark/>
          </w:tcPr>
          <w:p w14:paraId="324AC89C"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79FEE7C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430DC43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022D111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15F4EE5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7068D47A"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0AC3EB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4</w:t>
            </w:r>
          </w:p>
        </w:tc>
        <w:tc>
          <w:tcPr>
            <w:tcW w:w="1843" w:type="dxa"/>
            <w:tcBorders>
              <w:top w:val="nil"/>
              <w:left w:val="nil"/>
              <w:bottom w:val="single" w:sz="8" w:space="0" w:color="auto"/>
              <w:right w:val="single" w:sz="8" w:space="0" w:color="auto"/>
            </w:tcBorders>
            <w:shd w:val="clear" w:color="auto" w:fill="auto"/>
            <w:vAlign w:val="center"/>
            <w:hideMark/>
          </w:tcPr>
          <w:p w14:paraId="6AEF9A3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4FC541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040E0590" w14:textId="77777777" w:rsidTr="008D5A9C">
        <w:trPr>
          <w:trHeight w:val="340"/>
        </w:trPr>
        <w:tc>
          <w:tcPr>
            <w:tcW w:w="318" w:type="dxa"/>
            <w:tcBorders>
              <w:top w:val="nil"/>
              <w:left w:val="nil"/>
              <w:bottom w:val="nil"/>
              <w:right w:val="nil"/>
            </w:tcBorders>
            <w:shd w:val="clear" w:color="auto" w:fill="auto"/>
            <w:noWrap/>
            <w:vAlign w:val="bottom"/>
            <w:hideMark/>
          </w:tcPr>
          <w:p w14:paraId="24F4E27D"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61A1A8C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7</w:t>
            </w:r>
          </w:p>
        </w:tc>
        <w:tc>
          <w:tcPr>
            <w:tcW w:w="2410" w:type="dxa"/>
            <w:tcBorders>
              <w:top w:val="nil"/>
              <w:left w:val="nil"/>
              <w:bottom w:val="single" w:sz="8" w:space="0" w:color="auto"/>
              <w:right w:val="single" w:sz="8" w:space="0" w:color="auto"/>
            </w:tcBorders>
            <w:shd w:val="clear" w:color="auto" w:fill="auto"/>
            <w:vAlign w:val="center"/>
            <w:hideMark/>
          </w:tcPr>
          <w:p w14:paraId="11D5C70C"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5141D38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655CB66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30CEC83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000000" w:fill="A6A6A6"/>
            <w:vAlign w:val="center"/>
            <w:hideMark/>
          </w:tcPr>
          <w:p w14:paraId="07E3B94E"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46489836"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A04364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3,5</w:t>
            </w:r>
          </w:p>
        </w:tc>
        <w:tc>
          <w:tcPr>
            <w:tcW w:w="1843" w:type="dxa"/>
            <w:tcBorders>
              <w:top w:val="nil"/>
              <w:left w:val="nil"/>
              <w:bottom w:val="single" w:sz="8" w:space="0" w:color="auto"/>
              <w:right w:val="single" w:sz="8" w:space="0" w:color="auto"/>
            </w:tcBorders>
            <w:shd w:val="clear" w:color="auto" w:fill="auto"/>
            <w:vAlign w:val="center"/>
            <w:hideMark/>
          </w:tcPr>
          <w:p w14:paraId="3EA2C91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608360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5214CE4A" w14:textId="77777777" w:rsidTr="008D5A9C">
        <w:trPr>
          <w:trHeight w:val="340"/>
        </w:trPr>
        <w:tc>
          <w:tcPr>
            <w:tcW w:w="318" w:type="dxa"/>
            <w:tcBorders>
              <w:top w:val="nil"/>
              <w:left w:val="nil"/>
              <w:bottom w:val="nil"/>
              <w:right w:val="nil"/>
            </w:tcBorders>
            <w:shd w:val="clear" w:color="auto" w:fill="auto"/>
            <w:noWrap/>
            <w:vAlign w:val="bottom"/>
            <w:hideMark/>
          </w:tcPr>
          <w:p w14:paraId="28F81651"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507CF35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8</w:t>
            </w:r>
          </w:p>
        </w:tc>
        <w:tc>
          <w:tcPr>
            <w:tcW w:w="2410" w:type="dxa"/>
            <w:tcBorders>
              <w:top w:val="nil"/>
              <w:left w:val="nil"/>
              <w:bottom w:val="single" w:sz="8" w:space="0" w:color="auto"/>
              <w:right w:val="single" w:sz="8" w:space="0" w:color="auto"/>
            </w:tcBorders>
            <w:shd w:val="clear" w:color="auto" w:fill="auto"/>
            <w:vAlign w:val="center"/>
            <w:hideMark/>
          </w:tcPr>
          <w:p w14:paraId="648F7F15" w14:textId="77777777" w:rsidR="00BF2221" w:rsidRPr="00BF2221" w:rsidRDefault="00BF2221" w:rsidP="00BF2221">
            <w:pPr>
              <w:spacing w:after="0" w:line="240" w:lineRule="auto"/>
              <w:rPr>
                <w:rFonts w:eastAsia="Times New Roman" w:cs="Calibri Light"/>
                <w:b/>
                <w:bCs/>
                <w:sz w:val="20"/>
                <w:szCs w:val="20"/>
                <w:lang w:eastAsia="en-GB"/>
              </w:rPr>
            </w:pPr>
            <w:r w:rsidRPr="00BF2221">
              <w:rPr>
                <w:rFonts w:eastAsia="Times New Roman" w:cs="Calibri Light"/>
                <w:b/>
                <w:bCs/>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700B30DA"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785E0E6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000000" w:fill="A6A6A6"/>
            <w:vAlign w:val="center"/>
            <w:hideMark/>
          </w:tcPr>
          <w:p w14:paraId="4B5CA040"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3B7C8EB1"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347AF52B"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C1C366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3</w:t>
            </w:r>
          </w:p>
        </w:tc>
        <w:tc>
          <w:tcPr>
            <w:tcW w:w="1843" w:type="dxa"/>
            <w:tcBorders>
              <w:top w:val="nil"/>
              <w:left w:val="nil"/>
              <w:bottom w:val="single" w:sz="8" w:space="0" w:color="auto"/>
              <w:right w:val="single" w:sz="8" w:space="0" w:color="auto"/>
            </w:tcBorders>
            <w:shd w:val="clear" w:color="auto" w:fill="auto"/>
            <w:vAlign w:val="center"/>
            <w:hideMark/>
          </w:tcPr>
          <w:p w14:paraId="1161029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1AC17A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307286F5" w14:textId="77777777" w:rsidTr="008D5A9C">
        <w:trPr>
          <w:trHeight w:val="340"/>
        </w:trPr>
        <w:tc>
          <w:tcPr>
            <w:tcW w:w="318" w:type="dxa"/>
            <w:tcBorders>
              <w:top w:val="nil"/>
              <w:left w:val="nil"/>
              <w:bottom w:val="nil"/>
              <w:right w:val="nil"/>
            </w:tcBorders>
            <w:shd w:val="clear" w:color="auto" w:fill="auto"/>
            <w:noWrap/>
            <w:vAlign w:val="bottom"/>
            <w:hideMark/>
          </w:tcPr>
          <w:p w14:paraId="033ADE8E"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4788FC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9</w:t>
            </w:r>
          </w:p>
        </w:tc>
        <w:tc>
          <w:tcPr>
            <w:tcW w:w="2410" w:type="dxa"/>
            <w:tcBorders>
              <w:top w:val="nil"/>
              <w:left w:val="nil"/>
              <w:bottom w:val="single" w:sz="8" w:space="0" w:color="auto"/>
              <w:right w:val="single" w:sz="8" w:space="0" w:color="auto"/>
            </w:tcBorders>
            <w:shd w:val="clear" w:color="auto" w:fill="auto"/>
            <w:vAlign w:val="center"/>
            <w:hideMark/>
          </w:tcPr>
          <w:p w14:paraId="202FB25D"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60DA5CA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34229E6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2F2371B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7DCF52D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0,25</w:t>
            </w:r>
          </w:p>
        </w:tc>
        <w:tc>
          <w:tcPr>
            <w:tcW w:w="1584" w:type="dxa"/>
            <w:tcBorders>
              <w:top w:val="nil"/>
              <w:left w:val="nil"/>
              <w:bottom w:val="single" w:sz="8" w:space="0" w:color="auto"/>
              <w:right w:val="single" w:sz="8" w:space="0" w:color="auto"/>
            </w:tcBorders>
            <w:shd w:val="clear" w:color="auto" w:fill="auto"/>
            <w:vAlign w:val="center"/>
            <w:hideMark/>
          </w:tcPr>
          <w:p w14:paraId="15A9497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0,25</w:t>
            </w:r>
          </w:p>
        </w:tc>
        <w:tc>
          <w:tcPr>
            <w:tcW w:w="709" w:type="dxa"/>
            <w:tcBorders>
              <w:top w:val="nil"/>
              <w:left w:val="nil"/>
              <w:bottom w:val="single" w:sz="8" w:space="0" w:color="auto"/>
              <w:right w:val="single" w:sz="8" w:space="0" w:color="auto"/>
            </w:tcBorders>
            <w:shd w:val="clear" w:color="auto" w:fill="auto"/>
            <w:vAlign w:val="center"/>
            <w:hideMark/>
          </w:tcPr>
          <w:p w14:paraId="1A74016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6F673FA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7011AE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21E36851" w14:textId="77777777" w:rsidTr="008D5A9C">
        <w:trPr>
          <w:trHeight w:val="340"/>
        </w:trPr>
        <w:tc>
          <w:tcPr>
            <w:tcW w:w="318" w:type="dxa"/>
            <w:tcBorders>
              <w:top w:val="nil"/>
              <w:left w:val="nil"/>
              <w:bottom w:val="nil"/>
              <w:right w:val="nil"/>
            </w:tcBorders>
            <w:shd w:val="clear" w:color="auto" w:fill="auto"/>
            <w:noWrap/>
            <w:vAlign w:val="bottom"/>
            <w:hideMark/>
          </w:tcPr>
          <w:p w14:paraId="34B039D3"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67A71EC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10</w:t>
            </w:r>
          </w:p>
        </w:tc>
        <w:tc>
          <w:tcPr>
            <w:tcW w:w="2410" w:type="dxa"/>
            <w:tcBorders>
              <w:top w:val="nil"/>
              <w:left w:val="nil"/>
              <w:bottom w:val="single" w:sz="8" w:space="0" w:color="auto"/>
              <w:right w:val="single" w:sz="8" w:space="0" w:color="auto"/>
            </w:tcBorders>
            <w:shd w:val="clear" w:color="auto" w:fill="auto"/>
            <w:vAlign w:val="center"/>
            <w:hideMark/>
          </w:tcPr>
          <w:p w14:paraId="1155A5CC"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1DC6383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5868275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2EB9403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13E260F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6EAFBB46"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6B065D0"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183EC04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A63CE0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4E596663" w14:textId="77777777" w:rsidTr="008D5A9C">
        <w:trPr>
          <w:trHeight w:val="340"/>
        </w:trPr>
        <w:tc>
          <w:tcPr>
            <w:tcW w:w="318" w:type="dxa"/>
            <w:tcBorders>
              <w:top w:val="nil"/>
              <w:left w:val="nil"/>
              <w:bottom w:val="nil"/>
              <w:right w:val="nil"/>
            </w:tcBorders>
            <w:shd w:val="clear" w:color="auto" w:fill="auto"/>
            <w:noWrap/>
            <w:vAlign w:val="bottom"/>
            <w:hideMark/>
          </w:tcPr>
          <w:p w14:paraId="2C259E61"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3A39B67F"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11</w:t>
            </w:r>
          </w:p>
        </w:tc>
        <w:tc>
          <w:tcPr>
            <w:tcW w:w="2410" w:type="dxa"/>
            <w:tcBorders>
              <w:top w:val="nil"/>
              <w:left w:val="nil"/>
              <w:bottom w:val="single" w:sz="8" w:space="0" w:color="auto"/>
              <w:right w:val="single" w:sz="8" w:space="0" w:color="auto"/>
            </w:tcBorders>
            <w:shd w:val="clear" w:color="auto" w:fill="auto"/>
            <w:vAlign w:val="center"/>
            <w:hideMark/>
          </w:tcPr>
          <w:p w14:paraId="531AF602"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4C5C9CB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17F416B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0A17E08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000000" w:fill="A6A6A6"/>
            <w:vAlign w:val="center"/>
            <w:hideMark/>
          </w:tcPr>
          <w:p w14:paraId="510CFBB9"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7A21C4E4"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7C8B531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1,75</w:t>
            </w:r>
          </w:p>
        </w:tc>
        <w:tc>
          <w:tcPr>
            <w:tcW w:w="1843" w:type="dxa"/>
            <w:tcBorders>
              <w:top w:val="nil"/>
              <w:left w:val="nil"/>
              <w:bottom w:val="single" w:sz="8" w:space="0" w:color="auto"/>
              <w:right w:val="single" w:sz="8" w:space="0" w:color="auto"/>
            </w:tcBorders>
            <w:shd w:val="clear" w:color="auto" w:fill="auto"/>
            <w:vAlign w:val="center"/>
            <w:hideMark/>
          </w:tcPr>
          <w:p w14:paraId="08007C2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5A74D9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4071DDCC" w14:textId="77777777" w:rsidTr="008D5A9C">
        <w:trPr>
          <w:trHeight w:val="340"/>
        </w:trPr>
        <w:tc>
          <w:tcPr>
            <w:tcW w:w="318" w:type="dxa"/>
            <w:tcBorders>
              <w:top w:val="nil"/>
              <w:left w:val="nil"/>
              <w:bottom w:val="nil"/>
              <w:right w:val="nil"/>
            </w:tcBorders>
            <w:shd w:val="clear" w:color="auto" w:fill="auto"/>
            <w:noWrap/>
            <w:vAlign w:val="bottom"/>
            <w:hideMark/>
          </w:tcPr>
          <w:p w14:paraId="56B9C273"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2F65917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12</w:t>
            </w:r>
          </w:p>
        </w:tc>
        <w:tc>
          <w:tcPr>
            <w:tcW w:w="2410" w:type="dxa"/>
            <w:tcBorders>
              <w:top w:val="nil"/>
              <w:left w:val="nil"/>
              <w:bottom w:val="single" w:sz="8" w:space="0" w:color="auto"/>
              <w:right w:val="single" w:sz="8" w:space="0" w:color="auto"/>
            </w:tcBorders>
            <w:shd w:val="clear" w:color="auto" w:fill="auto"/>
            <w:vAlign w:val="center"/>
            <w:hideMark/>
          </w:tcPr>
          <w:p w14:paraId="668B4ED6" w14:textId="77777777" w:rsidR="00BF2221" w:rsidRPr="00BF2221" w:rsidRDefault="00BF2221" w:rsidP="00BF2221">
            <w:pPr>
              <w:spacing w:after="0" w:line="240" w:lineRule="auto"/>
              <w:rPr>
                <w:rFonts w:eastAsia="Times New Roman" w:cs="Calibri Light"/>
                <w:b/>
                <w:bCs/>
                <w:sz w:val="20"/>
                <w:szCs w:val="20"/>
                <w:lang w:eastAsia="en-GB"/>
              </w:rPr>
            </w:pPr>
            <w:r w:rsidRPr="00BF2221">
              <w:rPr>
                <w:rFonts w:eastAsia="Times New Roman" w:cs="Calibri Light"/>
                <w:b/>
                <w:bCs/>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095C4D33"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350A4EC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000000" w:fill="A6A6A6"/>
            <w:vAlign w:val="center"/>
            <w:hideMark/>
          </w:tcPr>
          <w:p w14:paraId="677C28EA"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213A7AF1"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5B8B3289"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61E9A73"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1,5</w:t>
            </w:r>
          </w:p>
        </w:tc>
        <w:tc>
          <w:tcPr>
            <w:tcW w:w="1843" w:type="dxa"/>
            <w:tcBorders>
              <w:top w:val="nil"/>
              <w:left w:val="nil"/>
              <w:bottom w:val="single" w:sz="8" w:space="0" w:color="auto"/>
              <w:right w:val="single" w:sz="8" w:space="0" w:color="auto"/>
            </w:tcBorders>
            <w:shd w:val="clear" w:color="auto" w:fill="auto"/>
            <w:vAlign w:val="center"/>
            <w:hideMark/>
          </w:tcPr>
          <w:p w14:paraId="5F17D7B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0BC3CB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69D8EB11" w14:textId="77777777" w:rsidTr="008D5A9C">
        <w:trPr>
          <w:trHeight w:val="340"/>
        </w:trPr>
        <w:tc>
          <w:tcPr>
            <w:tcW w:w="318" w:type="dxa"/>
            <w:tcBorders>
              <w:top w:val="nil"/>
              <w:left w:val="nil"/>
              <w:bottom w:val="nil"/>
              <w:right w:val="nil"/>
            </w:tcBorders>
            <w:shd w:val="clear" w:color="auto" w:fill="auto"/>
            <w:noWrap/>
            <w:vAlign w:val="bottom"/>
            <w:hideMark/>
          </w:tcPr>
          <w:p w14:paraId="6B56A01E"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754983E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13</w:t>
            </w:r>
          </w:p>
        </w:tc>
        <w:tc>
          <w:tcPr>
            <w:tcW w:w="2410" w:type="dxa"/>
            <w:tcBorders>
              <w:top w:val="nil"/>
              <w:left w:val="nil"/>
              <w:bottom w:val="single" w:sz="8" w:space="0" w:color="auto"/>
              <w:right w:val="single" w:sz="8" w:space="0" w:color="auto"/>
            </w:tcBorders>
            <w:shd w:val="clear" w:color="auto" w:fill="auto"/>
            <w:vAlign w:val="center"/>
            <w:hideMark/>
          </w:tcPr>
          <w:p w14:paraId="20560911"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6</w:t>
            </w:r>
          </w:p>
        </w:tc>
        <w:tc>
          <w:tcPr>
            <w:tcW w:w="1134" w:type="dxa"/>
            <w:tcBorders>
              <w:top w:val="nil"/>
              <w:left w:val="nil"/>
              <w:bottom w:val="single" w:sz="8" w:space="0" w:color="auto"/>
              <w:right w:val="single" w:sz="8" w:space="0" w:color="auto"/>
            </w:tcBorders>
            <w:shd w:val="clear" w:color="auto" w:fill="auto"/>
            <w:vAlign w:val="center"/>
            <w:hideMark/>
          </w:tcPr>
          <w:p w14:paraId="1FA6840E"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5224CD60"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68E7AFDE"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1B52C93E"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51FF1116"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13F505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34FAAB52"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F8B30B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4A8EA75A" w14:textId="77777777" w:rsidTr="008D5A9C">
        <w:trPr>
          <w:trHeight w:val="340"/>
        </w:trPr>
        <w:tc>
          <w:tcPr>
            <w:tcW w:w="318" w:type="dxa"/>
            <w:tcBorders>
              <w:top w:val="nil"/>
              <w:left w:val="nil"/>
              <w:bottom w:val="nil"/>
              <w:right w:val="nil"/>
            </w:tcBorders>
            <w:shd w:val="clear" w:color="auto" w:fill="auto"/>
            <w:noWrap/>
            <w:vAlign w:val="bottom"/>
            <w:hideMark/>
          </w:tcPr>
          <w:p w14:paraId="41BEDE6A"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52677048"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14</w:t>
            </w:r>
          </w:p>
        </w:tc>
        <w:tc>
          <w:tcPr>
            <w:tcW w:w="2410" w:type="dxa"/>
            <w:tcBorders>
              <w:top w:val="nil"/>
              <w:left w:val="nil"/>
              <w:bottom w:val="single" w:sz="8" w:space="0" w:color="auto"/>
              <w:right w:val="single" w:sz="8" w:space="0" w:color="auto"/>
            </w:tcBorders>
            <w:shd w:val="clear" w:color="auto" w:fill="auto"/>
            <w:vAlign w:val="center"/>
            <w:hideMark/>
          </w:tcPr>
          <w:p w14:paraId="654B69F3"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7</w:t>
            </w:r>
          </w:p>
        </w:tc>
        <w:tc>
          <w:tcPr>
            <w:tcW w:w="1134" w:type="dxa"/>
            <w:tcBorders>
              <w:top w:val="nil"/>
              <w:left w:val="nil"/>
              <w:bottom w:val="single" w:sz="8" w:space="0" w:color="auto"/>
              <w:right w:val="single" w:sz="8" w:space="0" w:color="auto"/>
            </w:tcBorders>
            <w:shd w:val="clear" w:color="auto" w:fill="auto"/>
            <w:vAlign w:val="center"/>
            <w:hideMark/>
          </w:tcPr>
          <w:p w14:paraId="192C696B"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57D4F50D"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1FC9E2FE"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1F15FA00"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29248FAB"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7AA85967"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277AACC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843C2A3"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41D39ECC" w14:textId="77777777" w:rsidTr="008D5A9C">
        <w:trPr>
          <w:trHeight w:val="340"/>
        </w:trPr>
        <w:tc>
          <w:tcPr>
            <w:tcW w:w="318" w:type="dxa"/>
            <w:tcBorders>
              <w:top w:val="nil"/>
              <w:left w:val="nil"/>
              <w:bottom w:val="nil"/>
              <w:right w:val="nil"/>
            </w:tcBorders>
            <w:shd w:val="clear" w:color="auto" w:fill="auto"/>
            <w:noWrap/>
            <w:vAlign w:val="bottom"/>
            <w:hideMark/>
          </w:tcPr>
          <w:p w14:paraId="5DB7141D"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538B965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15</w:t>
            </w:r>
          </w:p>
        </w:tc>
        <w:tc>
          <w:tcPr>
            <w:tcW w:w="2410" w:type="dxa"/>
            <w:tcBorders>
              <w:top w:val="nil"/>
              <w:left w:val="nil"/>
              <w:bottom w:val="single" w:sz="8" w:space="0" w:color="auto"/>
              <w:right w:val="single" w:sz="8" w:space="0" w:color="auto"/>
            </w:tcBorders>
            <w:shd w:val="clear" w:color="auto" w:fill="auto"/>
            <w:vAlign w:val="center"/>
            <w:hideMark/>
          </w:tcPr>
          <w:p w14:paraId="2D147B54"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Level  8</w:t>
            </w:r>
          </w:p>
        </w:tc>
        <w:tc>
          <w:tcPr>
            <w:tcW w:w="1134" w:type="dxa"/>
            <w:tcBorders>
              <w:top w:val="nil"/>
              <w:left w:val="nil"/>
              <w:bottom w:val="single" w:sz="8" w:space="0" w:color="auto"/>
              <w:right w:val="single" w:sz="8" w:space="0" w:color="auto"/>
            </w:tcBorders>
            <w:shd w:val="clear" w:color="auto" w:fill="auto"/>
            <w:vAlign w:val="center"/>
            <w:hideMark/>
          </w:tcPr>
          <w:p w14:paraId="05CBFD91"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7DCB520E"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7C17CDA1"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3838A515"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7021D963"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D9DA519"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03D38CEC"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5D1EF3B"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3B2E5C3A" w14:textId="77777777" w:rsidTr="008D5A9C">
        <w:trPr>
          <w:trHeight w:val="340"/>
        </w:trPr>
        <w:tc>
          <w:tcPr>
            <w:tcW w:w="318" w:type="dxa"/>
            <w:tcBorders>
              <w:top w:val="nil"/>
              <w:left w:val="nil"/>
              <w:bottom w:val="nil"/>
              <w:right w:val="nil"/>
            </w:tcBorders>
            <w:shd w:val="clear" w:color="auto" w:fill="auto"/>
            <w:noWrap/>
            <w:vAlign w:val="bottom"/>
            <w:hideMark/>
          </w:tcPr>
          <w:p w14:paraId="6E7FD551"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39278321"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16</w:t>
            </w:r>
          </w:p>
        </w:tc>
        <w:tc>
          <w:tcPr>
            <w:tcW w:w="2410" w:type="dxa"/>
            <w:tcBorders>
              <w:top w:val="nil"/>
              <w:left w:val="nil"/>
              <w:bottom w:val="single" w:sz="8" w:space="0" w:color="auto"/>
              <w:right w:val="single" w:sz="8" w:space="0" w:color="auto"/>
            </w:tcBorders>
            <w:shd w:val="clear" w:color="auto" w:fill="auto"/>
            <w:vAlign w:val="center"/>
            <w:hideMark/>
          </w:tcPr>
          <w:p w14:paraId="3BDE68D2"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Non-Contributor</w:t>
            </w:r>
          </w:p>
        </w:tc>
        <w:tc>
          <w:tcPr>
            <w:tcW w:w="1134" w:type="dxa"/>
            <w:tcBorders>
              <w:top w:val="nil"/>
              <w:left w:val="nil"/>
              <w:bottom w:val="single" w:sz="8" w:space="0" w:color="auto"/>
              <w:right w:val="single" w:sz="8" w:space="0" w:color="auto"/>
            </w:tcBorders>
            <w:shd w:val="clear" w:color="auto" w:fill="auto"/>
            <w:vAlign w:val="center"/>
            <w:hideMark/>
          </w:tcPr>
          <w:p w14:paraId="5E682657"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5C93C094"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2B4FD9F7"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3169974C"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3ADE0BC9" w14:textId="77777777" w:rsidR="00BF2221" w:rsidRPr="00BF2221" w:rsidRDefault="00BF2221" w:rsidP="00BF2221">
            <w:pPr>
              <w:spacing w:after="0" w:line="240" w:lineRule="auto"/>
              <w:jc w:val="center"/>
              <w:rPr>
                <w:rFonts w:eastAsia="Times New Roman" w:cs="Calibri Light"/>
                <w:color w:val="000000"/>
                <w:sz w:val="20"/>
                <w:szCs w:val="20"/>
                <w:lang w:eastAsia="en-GB"/>
              </w:rPr>
            </w:pPr>
            <w:r w:rsidRPr="00BF2221">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7376FB4D"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3693BEA5"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D059B94"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r>
      <w:tr w:rsidR="00BF2221" w:rsidRPr="00BF2221" w14:paraId="11F06879" w14:textId="77777777" w:rsidTr="008D5A9C">
        <w:trPr>
          <w:trHeight w:val="340"/>
        </w:trPr>
        <w:tc>
          <w:tcPr>
            <w:tcW w:w="318" w:type="dxa"/>
            <w:tcBorders>
              <w:top w:val="nil"/>
              <w:left w:val="nil"/>
              <w:bottom w:val="nil"/>
              <w:right w:val="nil"/>
            </w:tcBorders>
            <w:shd w:val="clear" w:color="auto" w:fill="auto"/>
            <w:noWrap/>
            <w:vAlign w:val="bottom"/>
            <w:hideMark/>
          </w:tcPr>
          <w:p w14:paraId="7C94E047"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3685" w:type="dxa"/>
            <w:gridSpan w:val="2"/>
            <w:tcBorders>
              <w:top w:val="single" w:sz="8" w:space="0" w:color="auto"/>
              <w:left w:val="nil"/>
              <w:bottom w:val="nil"/>
              <w:right w:val="nil"/>
            </w:tcBorders>
            <w:shd w:val="clear" w:color="auto" w:fill="auto"/>
            <w:noWrap/>
            <w:vAlign w:val="center"/>
            <w:hideMark/>
          </w:tcPr>
          <w:p w14:paraId="766D015F" w14:textId="77777777" w:rsidR="00BF2221" w:rsidRPr="00BF2221" w:rsidRDefault="00BF2221" w:rsidP="00BF2221">
            <w:pPr>
              <w:spacing w:after="0" w:line="240" w:lineRule="auto"/>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Total Maximum Score Allocation: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EDA83D6"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r w:rsidRPr="00BF2221">
              <w:rPr>
                <w:rFonts w:eastAsia="Times New Roman" w:cs="Calibri Light"/>
                <w:b/>
                <w:bCs/>
                <w:color w:val="000000"/>
                <w:sz w:val="20"/>
                <w:szCs w:val="20"/>
                <w:lang w:eastAsia="en-GB"/>
              </w:rPr>
              <w:t>10</w:t>
            </w:r>
          </w:p>
        </w:tc>
        <w:tc>
          <w:tcPr>
            <w:tcW w:w="2347" w:type="dxa"/>
            <w:tcBorders>
              <w:top w:val="nil"/>
              <w:left w:val="nil"/>
              <w:bottom w:val="nil"/>
              <w:right w:val="nil"/>
            </w:tcBorders>
            <w:shd w:val="clear" w:color="auto" w:fill="auto"/>
            <w:noWrap/>
            <w:vAlign w:val="center"/>
            <w:hideMark/>
          </w:tcPr>
          <w:p w14:paraId="300078FE" w14:textId="77777777" w:rsidR="00BF2221" w:rsidRPr="00BF2221" w:rsidRDefault="00BF2221" w:rsidP="00BF2221">
            <w:pPr>
              <w:spacing w:after="0" w:line="240" w:lineRule="auto"/>
              <w:jc w:val="center"/>
              <w:rPr>
                <w:rFonts w:eastAsia="Times New Roman" w:cs="Calibri Light"/>
                <w:b/>
                <w:bCs/>
                <w:color w:val="000000"/>
                <w:sz w:val="20"/>
                <w:szCs w:val="20"/>
                <w:lang w:eastAsia="en-GB"/>
              </w:rPr>
            </w:pPr>
          </w:p>
        </w:tc>
        <w:tc>
          <w:tcPr>
            <w:tcW w:w="2000" w:type="dxa"/>
            <w:tcBorders>
              <w:top w:val="nil"/>
              <w:left w:val="nil"/>
              <w:bottom w:val="nil"/>
              <w:right w:val="nil"/>
            </w:tcBorders>
            <w:shd w:val="clear" w:color="auto" w:fill="auto"/>
            <w:noWrap/>
            <w:vAlign w:val="bottom"/>
            <w:hideMark/>
          </w:tcPr>
          <w:p w14:paraId="1D2E705B" w14:textId="77777777" w:rsidR="00BF2221" w:rsidRPr="00BF2221" w:rsidRDefault="00BF2221" w:rsidP="00BF2221">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199922DC"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584" w:type="dxa"/>
            <w:tcBorders>
              <w:top w:val="nil"/>
              <w:left w:val="nil"/>
              <w:bottom w:val="nil"/>
              <w:right w:val="nil"/>
            </w:tcBorders>
            <w:shd w:val="clear" w:color="auto" w:fill="auto"/>
            <w:noWrap/>
            <w:vAlign w:val="bottom"/>
            <w:hideMark/>
          </w:tcPr>
          <w:p w14:paraId="22DB168F"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49FD2E1C"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vAlign w:val="center"/>
            <w:hideMark/>
          </w:tcPr>
          <w:p w14:paraId="10DED0ED"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4F01C506" w14:textId="77777777" w:rsidR="00BF2221" w:rsidRPr="00BF2221" w:rsidRDefault="00BF2221" w:rsidP="00BF2221">
            <w:pPr>
              <w:spacing w:after="0" w:line="240" w:lineRule="auto"/>
              <w:rPr>
                <w:rFonts w:ascii="Times New Roman" w:eastAsia="Times New Roman" w:hAnsi="Times New Roman" w:cs="Times New Roman"/>
                <w:sz w:val="20"/>
                <w:szCs w:val="20"/>
                <w:lang w:eastAsia="en-GB"/>
              </w:rPr>
            </w:pPr>
          </w:p>
        </w:tc>
      </w:tr>
      <w:tr w:rsidR="00BF2221" w:rsidRPr="00BF2221" w14:paraId="4FC47059" w14:textId="77777777" w:rsidTr="008D5A9C">
        <w:trPr>
          <w:trHeight w:val="320"/>
        </w:trPr>
        <w:tc>
          <w:tcPr>
            <w:tcW w:w="318" w:type="dxa"/>
            <w:tcBorders>
              <w:top w:val="nil"/>
              <w:left w:val="nil"/>
              <w:bottom w:val="nil"/>
              <w:right w:val="nil"/>
            </w:tcBorders>
            <w:shd w:val="clear" w:color="auto" w:fill="auto"/>
            <w:noWrap/>
            <w:vAlign w:val="bottom"/>
            <w:hideMark/>
          </w:tcPr>
          <w:p w14:paraId="4EE4B602" w14:textId="77777777" w:rsidR="00BF2221" w:rsidRPr="00BF2221" w:rsidRDefault="00BF2221" w:rsidP="00BF2221">
            <w:pPr>
              <w:spacing w:after="0" w:line="240" w:lineRule="auto"/>
              <w:jc w:val="left"/>
              <w:rPr>
                <w:rFonts w:ascii="Times New Roman" w:eastAsia="Times New Roman" w:hAnsi="Times New Roman" w:cs="Times New Roman"/>
                <w:sz w:val="20"/>
                <w:szCs w:val="20"/>
                <w:lang w:eastAsia="en-GB"/>
              </w:rPr>
            </w:pPr>
          </w:p>
        </w:tc>
        <w:tc>
          <w:tcPr>
            <w:tcW w:w="12899" w:type="dxa"/>
            <w:gridSpan w:val="8"/>
            <w:tcBorders>
              <w:top w:val="nil"/>
              <w:left w:val="nil"/>
              <w:bottom w:val="nil"/>
              <w:right w:val="nil"/>
            </w:tcBorders>
            <w:shd w:val="clear" w:color="auto" w:fill="auto"/>
            <w:noWrap/>
            <w:vAlign w:val="center"/>
            <w:hideMark/>
          </w:tcPr>
          <w:p w14:paraId="37275294" w14:textId="77777777" w:rsidR="00BF2221" w:rsidRPr="00BF2221" w:rsidRDefault="00BF2221" w:rsidP="00BF2221">
            <w:pPr>
              <w:spacing w:after="0" w:line="240" w:lineRule="auto"/>
              <w:rPr>
                <w:rFonts w:eastAsia="Times New Roman" w:cs="Calibri Light"/>
                <w:color w:val="000000"/>
                <w:sz w:val="20"/>
                <w:szCs w:val="20"/>
                <w:lang w:eastAsia="en-GB"/>
              </w:rPr>
            </w:pPr>
            <w:r w:rsidRPr="00BF2221">
              <w:rPr>
                <w:rFonts w:eastAsia="Times New Roman" w:cs="Calibri Light"/>
                <w:color w:val="000000"/>
                <w:sz w:val="20"/>
                <w:szCs w:val="20"/>
                <w:lang w:eastAsia="en-GB"/>
              </w:rPr>
              <w:t>F= A+B+C+D+E</w:t>
            </w:r>
          </w:p>
        </w:tc>
        <w:tc>
          <w:tcPr>
            <w:tcW w:w="1843" w:type="dxa"/>
            <w:tcBorders>
              <w:top w:val="nil"/>
              <w:left w:val="nil"/>
              <w:bottom w:val="nil"/>
              <w:right w:val="nil"/>
            </w:tcBorders>
            <w:shd w:val="clear" w:color="auto" w:fill="auto"/>
            <w:vAlign w:val="center"/>
            <w:hideMark/>
          </w:tcPr>
          <w:p w14:paraId="7A97C829" w14:textId="77777777" w:rsidR="00BF2221" w:rsidRPr="00BF2221" w:rsidRDefault="00BF2221" w:rsidP="00BF2221">
            <w:pPr>
              <w:spacing w:after="0" w:line="240" w:lineRule="auto"/>
              <w:rPr>
                <w:rFonts w:eastAsia="Times New Roman" w:cs="Calibri Light"/>
                <w:color w:val="000000"/>
                <w:sz w:val="20"/>
                <w:szCs w:val="20"/>
                <w:lang w:eastAsia="en-GB"/>
              </w:rPr>
            </w:pPr>
          </w:p>
        </w:tc>
        <w:tc>
          <w:tcPr>
            <w:tcW w:w="2724" w:type="dxa"/>
            <w:tcBorders>
              <w:top w:val="nil"/>
              <w:left w:val="nil"/>
              <w:bottom w:val="nil"/>
              <w:right w:val="nil"/>
            </w:tcBorders>
            <w:shd w:val="clear" w:color="auto" w:fill="auto"/>
            <w:noWrap/>
            <w:vAlign w:val="bottom"/>
            <w:hideMark/>
          </w:tcPr>
          <w:p w14:paraId="2BE6C947" w14:textId="77777777" w:rsidR="00BF2221" w:rsidRPr="00BF2221" w:rsidRDefault="00BF2221" w:rsidP="00BF2221">
            <w:pPr>
              <w:spacing w:after="0" w:line="240" w:lineRule="auto"/>
              <w:rPr>
                <w:rFonts w:ascii="Times New Roman" w:eastAsia="Times New Roman" w:hAnsi="Times New Roman" w:cs="Times New Roman"/>
                <w:sz w:val="20"/>
                <w:szCs w:val="20"/>
                <w:lang w:eastAsia="en-GB"/>
              </w:rPr>
            </w:pPr>
          </w:p>
        </w:tc>
      </w:tr>
    </w:tbl>
    <w:p w14:paraId="3E16F214" w14:textId="77777777" w:rsidR="00BF2221" w:rsidRPr="00BF2221" w:rsidRDefault="00BF2221" w:rsidP="00BF2221">
      <w:pPr>
        <w:rPr>
          <w:rFonts w:cs="Calibri"/>
          <w:b/>
          <w:color w:val="FF0000"/>
          <w:kern w:val="24"/>
          <w:sz w:val="20"/>
          <w:szCs w:val="20"/>
          <w:lang w:eastAsia="en-GB"/>
        </w:rPr>
      </w:pPr>
    </w:p>
    <w:p w14:paraId="1151CAC0" w14:textId="77777777" w:rsidR="00BF2221" w:rsidRPr="00BF2221" w:rsidRDefault="00BF2221" w:rsidP="00BF2221">
      <w:pPr>
        <w:rPr>
          <w:lang w:val="en-GB"/>
        </w:rPr>
        <w:sectPr w:rsidR="00BF2221" w:rsidRPr="00BF2221" w:rsidSect="00BF2221">
          <w:pgSz w:w="16838" w:h="11906" w:orient="landscape"/>
          <w:pgMar w:top="1134" w:right="1276" w:bottom="1134" w:left="993" w:header="567" w:footer="584" w:gutter="0"/>
          <w:cols w:space="708"/>
          <w:docGrid w:linePitch="360"/>
        </w:sectPr>
      </w:pPr>
    </w:p>
    <w:p w14:paraId="09DBE74B" w14:textId="5C9D94E8" w:rsidR="00BF2221" w:rsidRPr="00C65D8F" w:rsidRDefault="00C65D8F" w:rsidP="00BF2221">
      <w:pPr>
        <w:pageBreakBefore/>
        <w:numPr>
          <w:ilvl w:val="0"/>
          <w:numId w:val="2"/>
        </w:numPr>
        <w:pBdr>
          <w:bottom w:val="single" w:sz="4" w:space="1" w:color="0E1B8D"/>
        </w:pBdr>
        <w:spacing w:after="240" w:line="240" w:lineRule="auto"/>
        <w:rPr>
          <w:rFonts w:asciiTheme="minorHAnsi" w:eastAsiaTheme="majorEastAsia" w:hAnsiTheme="minorHAnsi" w:cs="Times New Roman"/>
          <w:b/>
          <w:color w:val="0E1B8D"/>
          <w:sz w:val="28"/>
          <w:szCs w:val="28"/>
        </w:rPr>
      </w:pPr>
      <w:bookmarkStart w:id="47" w:name="_Toc153887436"/>
      <w:r w:rsidRPr="00C65D8F">
        <w:rPr>
          <w:rFonts w:asciiTheme="minorHAnsi" w:eastAsiaTheme="majorEastAsia" w:hAnsiTheme="minorHAnsi" w:cs="Times New Roman"/>
          <w:b/>
          <w:color w:val="0E1B8D"/>
          <w:sz w:val="28"/>
          <w:szCs w:val="28"/>
        </w:rPr>
        <w:lastRenderedPageBreak/>
        <w:t>BIDDER SUBSTANTIATING EVIDENCE</w:t>
      </w:r>
      <w:bookmarkEnd w:id="47"/>
    </w:p>
    <w:p w14:paraId="5444DCEB" w14:textId="5E6033CA" w:rsidR="00BF2221" w:rsidRDefault="00C65D8F" w:rsidP="0058639B">
      <w:pPr>
        <w:keepNext/>
        <w:numPr>
          <w:ilvl w:val="0"/>
          <w:numId w:val="1"/>
        </w:numPr>
        <w:spacing w:before="120" w:line="240" w:lineRule="auto"/>
        <w:jc w:val="left"/>
        <w:outlineLvl w:val="0"/>
        <w:rPr>
          <w:rFonts w:asciiTheme="majorHAnsi" w:eastAsiaTheme="majorEastAsia" w:hAnsiTheme="majorHAnsi" w:cstheme="minorBidi"/>
          <w:b/>
          <w:iCs/>
          <w:color w:val="0E1B8D"/>
          <w:sz w:val="24"/>
          <w:szCs w:val="24"/>
          <w:lang w:val="en-GB"/>
        </w:rPr>
      </w:pPr>
      <w:bookmarkStart w:id="48" w:name="_Toc153887437"/>
      <w:r w:rsidRPr="00C65D8F">
        <w:rPr>
          <w:rFonts w:asciiTheme="majorHAnsi" w:eastAsiaTheme="majorEastAsia" w:hAnsiTheme="majorHAnsi" w:cstheme="minorBidi"/>
          <w:b/>
          <w:iCs/>
          <w:color w:val="0E1B8D"/>
          <w:sz w:val="24"/>
          <w:szCs w:val="24"/>
          <w:lang w:val="en-GB"/>
        </w:rPr>
        <w:t>TECHNICAL MANDATORY REQUIREMENT EVIDENCE</w:t>
      </w:r>
      <w:bookmarkEnd w:id="48"/>
    </w:p>
    <w:p w14:paraId="28499097" w14:textId="77777777" w:rsidR="00C65D8F" w:rsidRPr="00C65D8F" w:rsidRDefault="00C65D8F" w:rsidP="00C65D8F">
      <w:pPr>
        <w:keepNext/>
        <w:spacing w:before="120" w:line="240" w:lineRule="auto"/>
        <w:ind w:left="567"/>
        <w:jc w:val="left"/>
        <w:outlineLvl w:val="0"/>
        <w:rPr>
          <w:rFonts w:asciiTheme="majorHAnsi" w:eastAsiaTheme="majorEastAsia" w:hAnsiTheme="majorHAnsi" w:cstheme="minorBidi"/>
          <w:b/>
          <w:iCs/>
          <w:color w:val="0E1B8D"/>
          <w:sz w:val="24"/>
          <w:szCs w:val="24"/>
          <w:lang w:val="en-GB"/>
        </w:rPr>
      </w:pPr>
    </w:p>
    <w:p w14:paraId="70DC17CF" w14:textId="77777777" w:rsidR="00BF2221" w:rsidRPr="00BF2221" w:rsidRDefault="00BF2221" w:rsidP="0058639B">
      <w:pPr>
        <w:keepNext/>
        <w:numPr>
          <w:ilvl w:val="1"/>
          <w:numId w:val="1"/>
        </w:numPr>
        <w:spacing w:before="120" w:line="240" w:lineRule="auto"/>
        <w:jc w:val="left"/>
        <w:outlineLvl w:val="1"/>
        <w:rPr>
          <w:rFonts w:asciiTheme="majorHAnsi" w:eastAsiaTheme="majorEastAsia" w:hAnsiTheme="majorHAnsi" w:cstheme="minorBidi"/>
          <w:b/>
          <w:color w:val="0E1B8D"/>
          <w:sz w:val="28"/>
          <w:szCs w:val="26"/>
        </w:rPr>
      </w:pPr>
      <w:bookmarkStart w:id="49" w:name="_Toc153887438"/>
      <w:r w:rsidRPr="00BF2221">
        <w:rPr>
          <w:rFonts w:asciiTheme="majorHAnsi" w:eastAsiaTheme="majorEastAsia" w:hAnsiTheme="majorHAnsi" w:cstheme="minorBidi"/>
          <w:b/>
          <w:color w:val="0E1B8D"/>
          <w:sz w:val="28"/>
          <w:szCs w:val="26"/>
        </w:rPr>
        <w:t>Bidder Certification / Affiliation Requirements</w:t>
      </w:r>
      <w:bookmarkEnd w:id="49"/>
    </w:p>
    <w:p w14:paraId="468A4461" w14:textId="77777777" w:rsidR="00BF2221" w:rsidRPr="00BF2221" w:rsidRDefault="00BF2221" w:rsidP="0058639B">
      <w:pPr>
        <w:spacing w:after="0" w:line="240" w:lineRule="auto"/>
        <w:ind w:left="567"/>
        <w:jc w:val="left"/>
      </w:pPr>
      <w:r w:rsidRPr="00BF2221">
        <w:t>The bidder must have the</w:t>
      </w:r>
      <w:r w:rsidRPr="00BF2221">
        <w:rPr>
          <w:spacing w:val="1"/>
        </w:rPr>
        <w:t xml:space="preserve"> </w:t>
      </w:r>
      <w:r w:rsidRPr="00BF2221">
        <w:t>capability to supply all required</w:t>
      </w:r>
      <w:r w:rsidRPr="00BF2221">
        <w:rPr>
          <w:spacing w:val="-47"/>
        </w:rPr>
        <w:t xml:space="preserve"> </w:t>
      </w:r>
      <w:r w:rsidRPr="00BF2221">
        <w:t>items as stipulated in the Bill of</w:t>
      </w:r>
      <w:r w:rsidRPr="00BF2221">
        <w:rPr>
          <w:spacing w:val="-47"/>
        </w:rPr>
        <w:t xml:space="preserve"> </w:t>
      </w:r>
      <w:r w:rsidRPr="00BF2221">
        <w:t>Material</w:t>
      </w:r>
      <w:r w:rsidRPr="00BF2221">
        <w:rPr>
          <w:spacing w:val="-2"/>
        </w:rPr>
        <w:t xml:space="preserve"> </w:t>
      </w:r>
      <w:r w:rsidRPr="00BF2221">
        <w:t>(BoM)</w:t>
      </w:r>
    </w:p>
    <w:p w14:paraId="416E1188" w14:textId="77777777" w:rsidR="00BF2221" w:rsidRPr="00BF2221" w:rsidRDefault="00BF2221" w:rsidP="0058639B">
      <w:pPr>
        <w:spacing w:after="0" w:line="240" w:lineRule="auto"/>
        <w:ind w:left="567" w:hanging="567"/>
        <w:jc w:val="left"/>
        <w:rPr>
          <w:rFonts w:asciiTheme="minorHAnsi" w:hAnsiTheme="minorHAnsi"/>
          <w:lang w:val="en-US"/>
        </w:rPr>
      </w:pPr>
    </w:p>
    <w:p w14:paraId="36A37582" w14:textId="77777777" w:rsidR="00BF2221" w:rsidRPr="00BF2221" w:rsidRDefault="00BF2221" w:rsidP="0058639B">
      <w:pPr>
        <w:spacing w:after="0"/>
        <w:ind w:left="567"/>
        <w:jc w:val="left"/>
        <w:rPr>
          <w:b/>
          <w:bCs/>
          <w:color w:val="FF0000"/>
          <w:lang w:val="en-GB"/>
        </w:rPr>
      </w:pPr>
      <w:r w:rsidRPr="00BF2221">
        <w:rPr>
          <w:lang w:val="en-US"/>
        </w:rPr>
        <w:t>The Bidder must have deployed the proposed Veeam Backup and replication licenses  to at least one (1) customer in the last 5 years.</w:t>
      </w:r>
      <w:r w:rsidRPr="00BF2221">
        <w:rPr>
          <w:b/>
          <w:bCs/>
          <w:color w:val="FF0000"/>
          <w:lang w:val="en-GB"/>
        </w:rPr>
        <w:t xml:space="preserve"> </w:t>
      </w:r>
    </w:p>
    <w:p w14:paraId="37DFD3AB" w14:textId="77777777" w:rsidR="00BF2221" w:rsidRPr="00BF2221" w:rsidRDefault="00BF2221" w:rsidP="0058639B">
      <w:pPr>
        <w:spacing w:after="0"/>
        <w:ind w:left="567" w:hanging="567"/>
        <w:jc w:val="left"/>
        <w:rPr>
          <w:b/>
          <w:bCs/>
          <w:color w:val="FF0000"/>
          <w:lang w:val="en-GB"/>
        </w:rPr>
      </w:pPr>
      <w:r w:rsidRPr="00BF2221">
        <w:rPr>
          <w:b/>
          <w:bCs/>
          <w:color w:val="FF0000"/>
          <w:lang w:val="en-GB"/>
        </w:rPr>
        <w:t>SITA/ DOD reserves the right to verify information provided.</w:t>
      </w:r>
    </w:p>
    <w:p w14:paraId="20C81FFD" w14:textId="77777777" w:rsidR="00BF2221" w:rsidRPr="00BF2221" w:rsidRDefault="00BF2221" w:rsidP="0058639B">
      <w:pPr>
        <w:spacing w:after="0"/>
        <w:ind w:left="567" w:hanging="567"/>
        <w:outlineLvl w:val="0"/>
        <w:rPr>
          <w:rFonts w:asciiTheme="minorHAnsi" w:hAnsiTheme="minorHAnsi"/>
          <w:lang w:val="en-GB"/>
        </w:rPr>
      </w:pPr>
    </w:p>
    <w:p w14:paraId="387FF0B9" w14:textId="77777777" w:rsidR="00BF2221" w:rsidRPr="00C65D8F" w:rsidRDefault="00BF2221" w:rsidP="00C65D8F">
      <w:pPr>
        <w:keepNext/>
        <w:numPr>
          <w:ilvl w:val="1"/>
          <w:numId w:val="1"/>
        </w:numPr>
        <w:spacing w:before="120" w:line="240" w:lineRule="auto"/>
        <w:jc w:val="left"/>
        <w:outlineLvl w:val="1"/>
        <w:rPr>
          <w:rFonts w:asciiTheme="majorHAnsi" w:eastAsiaTheme="majorEastAsia" w:hAnsiTheme="majorHAnsi" w:cstheme="minorBidi"/>
          <w:b/>
          <w:color w:val="0E1B8D"/>
          <w:sz w:val="28"/>
          <w:szCs w:val="26"/>
        </w:rPr>
      </w:pPr>
      <w:bookmarkStart w:id="50" w:name="_Toc153887439"/>
      <w:r w:rsidRPr="00C65D8F">
        <w:rPr>
          <w:rFonts w:asciiTheme="majorHAnsi" w:eastAsiaTheme="majorEastAsia" w:hAnsiTheme="majorHAnsi" w:cstheme="minorBidi"/>
          <w:b/>
          <w:color w:val="0E1B8D"/>
          <w:sz w:val="28"/>
          <w:szCs w:val="26"/>
        </w:rPr>
        <w:t>Bidder Experience and Capability Requirements</w:t>
      </w:r>
      <w:bookmarkEnd w:id="50"/>
    </w:p>
    <w:p w14:paraId="1F42AB72" w14:textId="77777777" w:rsidR="00BF2221" w:rsidRDefault="00BF2221" w:rsidP="00D95F72">
      <w:pPr>
        <w:numPr>
          <w:ilvl w:val="0"/>
          <w:numId w:val="31"/>
        </w:numPr>
        <w:spacing w:after="0"/>
        <w:ind w:left="567"/>
        <w:outlineLvl w:val="0"/>
        <w:rPr>
          <w:rFonts w:asciiTheme="minorHAnsi" w:hAnsiTheme="minorHAnsi"/>
        </w:rPr>
      </w:pPr>
      <w:r w:rsidRPr="00BF2221">
        <w:rPr>
          <w:rFonts w:asciiTheme="minorHAnsi" w:hAnsiTheme="minorHAnsi"/>
        </w:rPr>
        <w:t xml:space="preserve"> Noting that: Provide a Bill of Material (BoM) for the required items</w:t>
      </w:r>
      <w:bookmarkStart w:id="51" w:name="_bookmark37"/>
      <w:bookmarkEnd w:id="51"/>
      <w:r w:rsidRPr="00BF2221">
        <w:rPr>
          <w:rFonts w:asciiTheme="minorHAnsi" w:hAnsiTheme="minorHAnsi"/>
        </w:rPr>
        <w:t>.</w:t>
      </w:r>
    </w:p>
    <w:p w14:paraId="781BED45" w14:textId="77777777" w:rsidR="00C65D8F" w:rsidRPr="00BF2221" w:rsidRDefault="00C65D8F" w:rsidP="00C65D8F">
      <w:pPr>
        <w:spacing w:after="0"/>
        <w:ind w:left="567"/>
        <w:outlineLvl w:val="0"/>
        <w:rPr>
          <w:rFonts w:asciiTheme="minorHAnsi" w:hAnsiTheme="minorHAnsi"/>
        </w:rPr>
      </w:pPr>
    </w:p>
    <w:p w14:paraId="5BB7FDC4" w14:textId="22E7B749" w:rsidR="00BF2221" w:rsidRPr="00C65D8F" w:rsidRDefault="00C65D8F" w:rsidP="0058639B">
      <w:pPr>
        <w:keepNext/>
        <w:numPr>
          <w:ilvl w:val="0"/>
          <w:numId w:val="1"/>
        </w:numPr>
        <w:spacing w:before="120" w:line="240" w:lineRule="auto"/>
        <w:jc w:val="left"/>
        <w:outlineLvl w:val="0"/>
        <w:rPr>
          <w:rFonts w:asciiTheme="majorHAnsi" w:eastAsiaTheme="majorEastAsia" w:hAnsiTheme="majorHAnsi" w:cstheme="minorBidi"/>
          <w:b/>
          <w:iCs/>
          <w:color w:val="0E1B8D"/>
          <w:sz w:val="24"/>
          <w:szCs w:val="24"/>
          <w:lang w:val="en-GB"/>
        </w:rPr>
      </w:pPr>
      <w:bookmarkStart w:id="52" w:name="_Toc153887517"/>
      <w:r w:rsidRPr="00C65D8F">
        <w:rPr>
          <w:rFonts w:asciiTheme="majorHAnsi" w:eastAsiaTheme="majorEastAsia" w:hAnsiTheme="majorHAnsi" w:cstheme="minorBidi"/>
          <w:b/>
          <w:iCs/>
          <w:color w:val="0E1B8D"/>
          <w:sz w:val="24"/>
          <w:szCs w:val="24"/>
          <w:lang w:val="en-GB"/>
        </w:rPr>
        <w:t>PREFERENCE POINTS PREFERENTIAL GOALS EVIDENCE</w:t>
      </w:r>
      <w:bookmarkEnd w:id="52"/>
    </w:p>
    <w:p w14:paraId="3C8F41BD" w14:textId="77777777" w:rsidR="00BF2221" w:rsidRPr="00BF2221" w:rsidRDefault="00BF2221" w:rsidP="0058639B">
      <w:pPr>
        <w:ind w:left="567" w:hanging="567"/>
        <w:rPr>
          <w:bCs/>
        </w:rPr>
      </w:pPr>
      <w:r w:rsidRPr="00BF2221">
        <w:rPr>
          <w:bCs/>
        </w:rPr>
        <w:t xml:space="preserve">The Bidder </w:t>
      </w:r>
      <w:r w:rsidRPr="00BF2221">
        <w:rPr>
          <w:b/>
        </w:rPr>
        <w:t>must</w:t>
      </w:r>
      <w:r w:rsidRPr="00BF2221">
        <w:rPr>
          <w:bCs/>
        </w:rPr>
        <w:t>:</w:t>
      </w:r>
    </w:p>
    <w:p w14:paraId="5ED9BAF6" w14:textId="77777777" w:rsidR="00BF2221" w:rsidRPr="00BF2221" w:rsidRDefault="00BF2221" w:rsidP="00D95F72">
      <w:pPr>
        <w:numPr>
          <w:ilvl w:val="2"/>
          <w:numId w:val="29"/>
        </w:numPr>
        <w:spacing w:after="0"/>
        <w:ind w:left="567"/>
        <w:outlineLvl w:val="0"/>
        <w:rPr>
          <w:rFonts w:asciiTheme="minorHAnsi" w:hAnsiTheme="minorHAnsi"/>
          <w:b/>
          <w:szCs w:val="24"/>
        </w:rPr>
      </w:pPr>
      <w:r w:rsidRPr="00BF2221">
        <w:rPr>
          <w:rFonts w:asciiTheme="minorHAnsi" w:hAnsiTheme="minorHAnsi"/>
          <w:b/>
          <w:szCs w:val="24"/>
        </w:rPr>
        <w:t xml:space="preserve">Preference Goal Requirements: </w:t>
      </w:r>
    </w:p>
    <w:p w14:paraId="61E65E42" w14:textId="2DDCDC12" w:rsidR="00BF2221" w:rsidRPr="00BF2221" w:rsidRDefault="00BF2221" w:rsidP="00D95F72">
      <w:pPr>
        <w:numPr>
          <w:ilvl w:val="5"/>
          <w:numId w:val="33"/>
        </w:numPr>
        <w:spacing w:after="0"/>
        <w:ind w:left="567"/>
        <w:outlineLvl w:val="0"/>
        <w:rPr>
          <w:rFonts w:asciiTheme="minorHAnsi" w:hAnsiTheme="minorHAnsi" w:cs="Calibri"/>
          <w:szCs w:val="24"/>
        </w:rPr>
      </w:pPr>
      <w:r w:rsidRPr="00BF2221">
        <w:rPr>
          <w:rFonts w:asciiTheme="minorHAnsi" w:hAnsiTheme="minorHAnsi" w:cs="Calibri"/>
          <w:szCs w:val="24"/>
        </w:rPr>
        <w:t xml:space="preserve">Bidder to select the section for points they wish to claim (Mark as Y=Yes) in </w:t>
      </w:r>
      <w:r w:rsidRPr="00BF2221">
        <w:rPr>
          <w:rFonts w:asciiTheme="minorHAnsi" w:hAnsiTheme="minorHAnsi" w:cs="Calibri"/>
          <w:b/>
          <w:bCs/>
          <w:szCs w:val="24"/>
        </w:rPr>
        <w:t>either tables 5A or 5B</w:t>
      </w:r>
      <w:r w:rsidRPr="00BF2221">
        <w:rPr>
          <w:rFonts w:asciiTheme="minorHAnsi" w:hAnsiTheme="minorHAnsi" w:cs="Calibri"/>
          <w:szCs w:val="24"/>
        </w:rPr>
        <w:t xml:space="preserve">, dependant on which preference system the Bidder selects in line with </w:t>
      </w:r>
      <w:r w:rsidRPr="00D95F72">
        <w:rPr>
          <w:rFonts w:asciiTheme="minorHAnsi" w:hAnsiTheme="minorHAnsi" w:cs="Calibri"/>
          <w:b/>
          <w:bCs/>
          <w:szCs w:val="24"/>
          <w:lang w:eastAsia="en-GB"/>
        </w:rPr>
        <w:t xml:space="preserve">section </w:t>
      </w:r>
      <w:r w:rsidR="00D95F72" w:rsidRPr="00D95F72">
        <w:rPr>
          <w:rFonts w:asciiTheme="minorHAnsi" w:hAnsiTheme="minorHAnsi" w:cs="Calibri"/>
          <w:b/>
          <w:bCs/>
          <w:szCs w:val="24"/>
          <w:lang w:eastAsia="en-GB"/>
        </w:rPr>
        <w:t>5</w:t>
      </w:r>
      <w:r w:rsidRPr="00D95F72">
        <w:rPr>
          <w:rFonts w:asciiTheme="minorHAnsi" w:hAnsiTheme="minorHAnsi" w:cs="Calibri"/>
          <w:b/>
          <w:bCs/>
          <w:szCs w:val="24"/>
          <w:lang w:eastAsia="en-GB"/>
        </w:rPr>
        <w:t>.</w:t>
      </w:r>
      <w:r w:rsidR="00D95F72" w:rsidRPr="00D95F72">
        <w:rPr>
          <w:rFonts w:asciiTheme="minorHAnsi" w:hAnsiTheme="minorHAnsi" w:cs="Calibri"/>
          <w:b/>
          <w:bCs/>
          <w:szCs w:val="24"/>
          <w:lang w:eastAsia="en-GB"/>
        </w:rPr>
        <w:t>1</w:t>
      </w:r>
      <w:r w:rsidRPr="00D95F72">
        <w:rPr>
          <w:rFonts w:asciiTheme="minorHAnsi" w:hAnsiTheme="minorHAnsi" w:cs="Calibri"/>
          <w:b/>
          <w:bCs/>
          <w:szCs w:val="24"/>
          <w:lang w:eastAsia="en-GB"/>
        </w:rPr>
        <w:t>; and</w:t>
      </w:r>
    </w:p>
    <w:p w14:paraId="1EF669CD" w14:textId="4499C72A" w:rsidR="00D95F72" w:rsidRPr="00D95F72" w:rsidRDefault="00BF2221" w:rsidP="00D95F72">
      <w:pPr>
        <w:numPr>
          <w:ilvl w:val="5"/>
          <w:numId w:val="33"/>
        </w:numPr>
        <w:spacing w:after="0" w:line="240" w:lineRule="auto"/>
        <w:ind w:left="567"/>
        <w:outlineLvl w:val="0"/>
        <w:rPr>
          <w:rFonts w:asciiTheme="minorHAnsi" w:hAnsiTheme="minorHAnsi" w:cs="Calibri"/>
          <w:szCs w:val="24"/>
        </w:rPr>
      </w:pPr>
      <w:r w:rsidRPr="00D95F72">
        <w:rPr>
          <w:rFonts w:asciiTheme="minorHAnsi" w:hAnsiTheme="minorHAnsi"/>
          <w:bCs/>
          <w:szCs w:val="24"/>
        </w:rPr>
        <w:t xml:space="preserve">Provide a copy of the following relevant evidence </w:t>
      </w:r>
      <w:r w:rsidRPr="00D95F72">
        <w:rPr>
          <w:rFonts w:asciiTheme="minorHAnsi" w:hAnsiTheme="minorHAnsi" w:cs="Calibri"/>
          <w:szCs w:val="24"/>
          <w:lang w:eastAsia="en-GB"/>
        </w:rPr>
        <w:t>for the Preferential Goal points which the Bidder qualifies for</w:t>
      </w:r>
      <w:r w:rsidRPr="00D95F72">
        <w:rPr>
          <w:rFonts w:asciiTheme="minorHAnsi" w:hAnsiTheme="minorHAnsi" w:cs="Calibri"/>
          <w:szCs w:val="24"/>
        </w:rPr>
        <w:t xml:space="preserve"> as set out in </w:t>
      </w:r>
      <w:r w:rsidRPr="00D95F72">
        <w:rPr>
          <w:rFonts w:asciiTheme="minorHAnsi" w:hAnsiTheme="minorHAnsi" w:cs="Calibri"/>
          <w:b/>
          <w:bCs/>
          <w:szCs w:val="24"/>
        </w:rPr>
        <w:t xml:space="preserve">table 4 </w:t>
      </w:r>
      <w:r w:rsidRPr="00D95F72">
        <w:rPr>
          <w:rFonts w:asciiTheme="minorHAnsi" w:hAnsiTheme="minorHAnsi" w:cs="Calibri"/>
          <w:szCs w:val="24"/>
        </w:rPr>
        <w:t xml:space="preserve">in and </w:t>
      </w:r>
      <w:r w:rsidRPr="00D95F72">
        <w:rPr>
          <w:rFonts w:asciiTheme="minorHAnsi" w:hAnsiTheme="minorHAnsi" w:cs="Calibri"/>
          <w:b/>
          <w:bCs/>
          <w:szCs w:val="24"/>
        </w:rPr>
        <w:t>attach it here</w:t>
      </w:r>
      <w:r w:rsidRPr="00D95F72">
        <w:rPr>
          <w:rFonts w:asciiTheme="minorHAnsi" w:hAnsiTheme="minorHAnsi" w:cs="Calibri"/>
          <w:szCs w:val="24"/>
        </w:rPr>
        <w:t>:</w:t>
      </w:r>
    </w:p>
    <w:p w14:paraId="6A8563C3" w14:textId="77777777" w:rsidR="00BF2221" w:rsidRPr="00BF2221" w:rsidRDefault="00BF2221" w:rsidP="00D95F72">
      <w:pPr>
        <w:numPr>
          <w:ilvl w:val="4"/>
          <w:numId w:val="29"/>
        </w:numPr>
        <w:spacing w:after="0"/>
        <w:ind w:left="567"/>
        <w:outlineLvl w:val="0"/>
        <w:rPr>
          <w:rFonts w:asciiTheme="minorHAnsi" w:hAnsiTheme="minorHAnsi" w:cs="Calibri"/>
          <w:szCs w:val="24"/>
        </w:rPr>
      </w:pPr>
      <w:r w:rsidRPr="00BF2221">
        <w:rPr>
          <w:rFonts w:asciiTheme="minorHAnsi" w:hAnsiTheme="minorHAnsi" w:cs="Calibri"/>
          <w:b/>
          <w:bCs/>
          <w:szCs w:val="24"/>
        </w:rPr>
        <w:t>Columns A, B, C and D in tables 5A or 5B</w:t>
      </w:r>
    </w:p>
    <w:p w14:paraId="1A511A9E" w14:textId="77777777" w:rsidR="00BF2221" w:rsidRPr="00BF2221" w:rsidRDefault="00BF2221" w:rsidP="0058639B">
      <w:pPr>
        <w:spacing w:after="0"/>
        <w:ind w:left="567"/>
        <w:outlineLvl w:val="0"/>
        <w:rPr>
          <w:rFonts w:asciiTheme="minorHAnsi" w:hAnsiTheme="minorHAnsi" w:cs="Calibri"/>
          <w:szCs w:val="24"/>
        </w:rPr>
      </w:pPr>
      <w:r w:rsidRPr="00BF2221">
        <w:rPr>
          <w:rFonts w:asciiTheme="minorHAnsi" w:hAnsiTheme="minorHAnsi"/>
          <w:bCs/>
          <w:szCs w:val="24"/>
        </w:rPr>
        <w:t xml:space="preserve">Copy of relevant proof of the following to confirm the B-BBEE status of the contributor </w:t>
      </w:r>
      <w:r w:rsidRPr="00BF2221">
        <w:rPr>
          <w:rFonts w:asciiTheme="minorHAnsi" w:hAnsiTheme="minorHAnsi" w:cs="Calibri"/>
          <w:szCs w:val="24"/>
        </w:rPr>
        <w:t xml:space="preserve">as defined in </w:t>
      </w:r>
      <w:r w:rsidRPr="00BF2221">
        <w:rPr>
          <w:rFonts w:asciiTheme="minorHAnsi" w:hAnsiTheme="minorHAnsi"/>
          <w:bCs/>
          <w:szCs w:val="24"/>
        </w:rPr>
        <w:t>the</w:t>
      </w:r>
      <w:r w:rsidRPr="00BF2221">
        <w:rPr>
          <w:rFonts w:asciiTheme="minorHAnsi" w:hAnsiTheme="minorHAnsi" w:cs="Calibri"/>
          <w:szCs w:val="24"/>
        </w:rPr>
        <w:t xml:space="preserve"> Broad-Based Black Economic Empowerment Act:</w:t>
      </w:r>
    </w:p>
    <w:p w14:paraId="3476CCA8" w14:textId="77777777" w:rsidR="00BF2221" w:rsidRPr="00BF2221" w:rsidRDefault="00BF2221" w:rsidP="0058639B">
      <w:pPr>
        <w:spacing w:after="0"/>
        <w:ind w:left="567"/>
        <w:outlineLvl w:val="0"/>
        <w:rPr>
          <w:rFonts w:asciiTheme="minorHAnsi" w:hAnsiTheme="minorHAnsi"/>
          <w:bCs/>
          <w:szCs w:val="24"/>
        </w:rPr>
      </w:pPr>
      <w:r w:rsidRPr="00BF2221">
        <w:rPr>
          <w:rFonts w:asciiTheme="minorHAnsi" w:hAnsiTheme="minorHAnsi"/>
          <w:b/>
          <w:szCs w:val="24"/>
        </w:rPr>
        <w:t>B-BBEE certificate</w:t>
      </w:r>
      <w:r w:rsidRPr="00BF2221">
        <w:rPr>
          <w:rFonts w:asciiTheme="minorHAnsi" w:hAnsiTheme="minorHAnsi"/>
          <w:bCs/>
          <w:szCs w:val="24"/>
        </w:rPr>
        <w:t xml:space="preserve"> (from a SANAS Accredited Agency);</w:t>
      </w:r>
    </w:p>
    <w:p w14:paraId="4C9617C8" w14:textId="77777777" w:rsidR="00BF2221" w:rsidRPr="00BF2221" w:rsidRDefault="00BF2221" w:rsidP="0058639B">
      <w:pPr>
        <w:spacing w:after="0"/>
        <w:ind w:left="567"/>
        <w:outlineLvl w:val="0"/>
        <w:rPr>
          <w:rFonts w:asciiTheme="minorHAnsi" w:hAnsiTheme="minorHAnsi"/>
          <w:b/>
          <w:szCs w:val="24"/>
        </w:rPr>
      </w:pPr>
      <w:r w:rsidRPr="00BF2221">
        <w:rPr>
          <w:rFonts w:asciiTheme="minorHAnsi" w:hAnsiTheme="minorHAnsi"/>
          <w:b/>
          <w:szCs w:val="24"/>
        </w:rPr>
        <w:t xml:space="preserve">or </w:t>
      </w:r>
    </w:p>
    <w:p w14:paraId="6E205925" w14:textId="77777777" w:rsidR="00BF2221" w:rsidRPr="00BF2221" w:rsidRDefault="00BF2221" w:rsidP="0058639B">
      <w:pPr>
        <w:spacing w:after="0"/>
        <w:ind w:left="567"/>
        <w:outlineLvl w:val="0"/>
        <w:rPr>
          <w:rFonts w:asciiTheme="minorHAnsi" w:hAnsiTheme="minorHAnsi" w:cs="Calibri"/>
          <w:bCs/>
          <w:szCs w:val="24"/>
        </w:rPr>
      </w:pPr>
      <w:r w:rsidRPr="00BF2221">
        <w:rPr>
          <w:rFonts w:asciiTheme="minorHAnsi" w:hAnsiTheme="minorHAnsi"/>
          <w:b/>
          <w:szCs w:val="24"/>
        </w:rPr>
        <w:t xml:space="preserve">Sworn affidavit </w:t>
      </w:r>
      <w:r w:rsidRPr="00BF2221">
        <w:rPr>
          <w:rFonts w:asciiTheme="minorHAnsi" w:hAnsiTheme="minorHAnsi"/>
          <w:bCs/>
          <w:szCs w:val="24"/>
        </w:rPr>
        <w:t>in the format provided by CIPC -</w:t>
      </w:r>
      <w:r w:rsidRPr="00BF2221">
        <w:rPr>
          <w:rFonts w:asciiTheme="minorHAnsi" w:hAnsiTheme="minorHAnsi"/>
          <w:b/>
          <w:szCs w:val="24"/>
        </w:rPr>
        <w:t xml:space="preserve"> Applicable to EMEs and QSEs only</w:t>
      </w:r>
      <w:r w:rsidRPr="00BF2221">
        <w:rPr>
          <w:rFonts w:asciiTheme="minorHAnsi" w:hAnsiTheme="minorHAnsi"/>
          <w:bCs/>
          <w:szCs w:val="24"/>
        </w:rPr>
        <w:t xml:space="preserve">; </w:t>
      </w:r>
      <w:r w:rsidRPr="00BF2221">
        <w:rPr>
          <w:rFonts w:asciiTheme="minorHAnsi" w:hAnsiTheme="minorHAnsi" w:cs="Calibri"/>
          <w:b/>
          <w:bCs/>
          <w:szCs w:val="24"/>
        </w:rPr>
        <w:t>and/ or</w:t>
      </w:r>
    </w:p>
    <w:p w14:paraId="6A08C3F2" w14:textId="77777777" w:rsidR="00BF2221" w:rsidRPr="00BF2221" w:rsidRDefault="00BF2221" w:rsidP="0058639B">
      <w:pPr>
        <w:spacing w:after="0"/>
        <w:ind w:left="567" w:hanging="567"/>
        <w:outlineLvl w:val="0"/>
        <w:rPr>
          <w:rFonts w:asciiTheme="minorHAnsi" w:hAnsiTheme="minorHAnsi" w:cs="Calibri"/>
          <w:szCs w:val="24"/>
        </w:rPr>
      </w:pPr>
    </w:p>
    <w:p w14:paraId="6D51FD25" w14:textId="77777777" w:rsidR="00BF2221" w:rsidRPr="00BF2221" w:rsidRDefault="00BF2221" w:rsidP="00D95F72">
      <w:pPr>
        <w:numPr>
          <w:ilvl w:val="4"/>
          <w:numId w:val="29"/>
        </w:numPr>
        <w:spacing w:after="0"/>
        <w:ind w:left="567"/>
        <w:outlineLvl w:val="0"/>
        <w:rPr>
          <w:rFonts w:asciiTheme="minorHAnsi" w:hAnsiTheme="minorHAnsi" w:cs="Calibri"/>
          <w:b/>
          <w:bCs/>
          <w:szCs w:val="24"/>
        </w:rPr>
      </w:pPr>
      <w:r w:rsidRPr="00BF2221">
        <w:rPr>
          <w:rFonts w:asciiTheme="minorHAnsi" w:hAnsiTheme="minorHAnsi" w:cs="Calibri"/>
          <w:b/>
          <w:bCs/>
          <w:szCs w:val="24"/>
        </w:rPr>
        <w:t>Column D in tables 5A or 5B</w:t>
      </w:r>
    </w:p>
    <w:p w14:paraId="7D69534C" w14:textId="77777777" w:rsidR="00BF2221" w:rsidRPr="00BF2221" w:rsidRDefault="00BF2221" w:rsidP="0058639B">
      <w:pPr>
        <w:spacing w:after="0"/>
        <w:ind w:left="567"/>
        <w:outlineLvl w:val="0"/>
        <w:rPr>
          <w:rFonts w:asciiTheme="minorHAnsi" w:hAnsiTheme="minorHAnsi"/>
          <w:bCs/>
          <w:szCs w:val="24"/>
        </w:rPr>
      </w:pPr>
      <w:r w:rsidRPr="00BF2221">
        <w:rPr>
          <w:rFonts w:asciiTheme="minorHAnsi" w:hAnsiTheme="minorHAnsi"/>
          <w:bCs/>
          <w:szCs w:val="24"/>
        </w:rPr>
        <w:t xml:space="preserve">Copy of </w:t>
      </w:r>
      <w:r w:rsidRPr="00BF2221">
        <w:rPr>
          <w:rFonts w:asciiTheme="minorHAnsi" w:hAnsiTheme="minorHAnsi"/>
          <w:b/>
          <w:szCs w:val="24"/>
        </w:rPr>
        <w:t>South African Identification Document (ID)</w:t>
      </w:r>
      <w:r w:rsidRPr="00BF2221">
        <w:rPr>
          <w:rFonts w:asciiTheme="minorHAnsi" w:hAnsiTheme="minorHAnsi"/>
          <w:bCs/>
          <w:szCs w:val="24"/>
        </w:rPr>
        <w:t xml:space="preserve">; </w:t>
      </w:r>
    </w:p>
    <w:p w14:paraId="4CAD8950" w14:textId="77777777" w:rsidR="00BF2221" w:rsidRPr="00BF2221" w:rsidRDefault="00BF2221" w:rsidP="0058639B">
      <w:pPr>
        <w:spacing w:after="0"/>
        <w:ind w:left="567"/>
        <w:outlineLvl w:val="0"/>
        <w:rPr>
          <w:rFonts w:asciiTheme="minorHAnsi" w:hAnsiTheme="minorHAnsi"/>
          <w:b/>
          <w:szCs w:val="24"/>
        </w:rPr>
      </w:pPr>
      <w:r w:rsidRPr="00BF2221">
        <w:rPr>
          <w:rFonts w:asciiTheme="minorHAnsi" w:hAnsiTheme="minorHAnsi"/>
          <w:b/>
          <w:szCs w:val="24"/>
        </w:rPr>
        <w:t>and/ or</w:t>
      </w:r>
    </w:p>
    <w:p w14:paraId="3879A1E6" w14:textId="77777777" w:rsidR="00BF2221" w:rsidRPr="00BF2221" w:rsidRDefault="00BF2221" w:rsidP="0058639B">
      <w:pPr>
        <w:spacing w:after="0"/>
        <w:ind w:left="567" w:hanging="567"/>
        <w:outlineLvl w:val="0"/>
        <w:rPr>
          <w:rFonts w:asciiTheme="minorHAnsi" w:hAnsiTheme="minorHAnsi"/>
          <w:b/>
          <w:szCs w:val="24"/>
        </w:rPr>
      </w:pPr>
    </w:p>
    <w:p w14:paraId="2D44B43F" w14:textId="77777777" w:rsidR="00BF2221" w:rsidRPr="00BF2221" w:rsidRDefault="00BF2221" w:rsidP="00D95F72">
      <w:pPr>
        <w:numPr>
          <w:ilvl w:val="4"/>
          <w:numId w:val="29"/>
        </w:numPr>
        <w:spacing w:after="0"/>
        <w:ind w:left="567"/>
        <w:outlineLvl w:val="0"/>
        <w:rPr>
          <w:rFonts w:asciiTheme="minorHAnsi" w:hAnsiTheme="minorHAnsi" w:cs="Calibri"/>
          <w:b/>
          <w:bCs/>
          <w:szCs w:val="24"/>
        </w:rPr>
      </w:pPr>
      <w:r w:rsidRPr="00BF2221">
        <w:rPr>
          <w:rFonts w:asciiTheme="minorHAnsi" w:hAnsiTheme="minorHAnsi" w:cs="Calibri"/>
          <w:b/>
          <w:bCs/>
          <w:szCs w:val="24"/>
        </w:rPr>
        <w:t>Column E in tables 5A or 5B</w:t>
      </w:r>
    </w:p>
    <w:p w14:paraId="3FC39780" w14:textId="77777777" w:rsidR="00BF2221" w:rsidRPr="00BF2221" w:rsidRDefault="00BF2221" w:rsidP="0058639B">
      <w:pPr>
        <w:spacing w:after="0"/>
        <w:ind w:left="567"/>
        <w:outlineLvl w:val="0"/>
        <w:rPr>
          <w:rFonts w:asciiTheme="minorHAnsi" w:hAnsiTheme="minorHAnsi" w:cs="Calibri"/>
          <w:szCs w:val="24"/>
        </w:rPr>
      </w:pPr>
      <w:r w:rsidRPr="00BF2221">
        <w:rPr>
          <w:rFonts w:asciiTheme="minorHAnsi" w:hAnsiTheme="minorHAnsi"/>
          <w:bCs/>
          <w:szCs w:val="24"/>
        </w:rPr>
        <w:t xml:space="preserve">Copy of </w:t>
      </w:r>
      <w:r w:rsidRPr="00BF2221">
        <w:rPr>
          <w:rFonts w:asciiTheme="minorHAnsi" w:hAnsiTheme="minorHAnsi"/>
          <w:b/>
          <w:szCs w:val="24"/>
        </w:rPr>
        <w:t>Medical Certificate</w:t>
      </w:r>
      <w:r w:rsidRPr="00BF2221">
        <w:rPr>
          <w:rFonts w:asciiTheme="minorHAnsi" w:hAnsiTheme="minorHAnsi"/>
          <w:bCs/>
          <w:szCs w:val="24"/>
        </w:rPr>
        <w:t xml:space="preserve"> </w:t>
      </w:r>
      <w:r w:rsidRPr="00BF2221">
        <w:rPr>
          <w:rFonts w:asciiTheme="minorHAnsi" w:hAnsiTheme="minorHAnsi"/>
          <w:b/>
          <w:szCs w:val="24"/>
        </w:rPr>
        <w:t xml:space="preserve">clearly indicating the disability in line with the B-BBEE status claimed </w:t>
      </w:r>
      <w:r w:rsidRPr="00BF2221">
        <w:rPr>
          <w:rFonts w:asciiTheme="minorHAnsi" w:hAnsiTheme="minorHAnsi" w:cs="Calibri"/>
          <w:b/>
          <w:szCs w:val="24"/>
        </w:rPr>
        <w:t xml:space="preserve">as defined in </w:t>
      </w:r>
      <w:r w:rsidRPr="00BF2221">
        <w:rPr>
          <w:rFonts w:asciiTheme="minorHAnsi" w:hAnsiTheme="minorHAnsi"/>
          <w:b/>
          <w:szCs w:val="24"/>
        </w:rPr>
        <w:t>the</w:t>
      </w:r>
      <w:r w:rsidRPr="00BF2221">
        <w:rPr>
          <w:rFonts w:asciiTheme="minorHAnsi" w:hAnsiTheme="minorHAnsi" w:cs="Calibri"/>
          <w:b/>
          <w:szCs w:val="24"/>
        </w:rPr>
        <w:t xml:space="preserve"> Broad-Based Black Economic Empowerment Act</w:t>
      </w:r>
      <w:r w:rsidRPr="00BF2221">
        <w:rPr>
          <w:rFonts w:asciiTheme="minorHAnsi" w:hAnsiTheme="minorHAnsi" w:cs="Calibri"/>
          <w:szCs w:val="24"/>
        </w:rPr>
        <w:t>.</w:t>
      </w:r>
    </w:p>
    <w:p w14:paraId="4D97CF55" w14:textId="77777777" w:rsidR="00BF2221" w:rsidRPr="00BF2221" w:rsidRDefault="00BF2221" w:rsidP="0058639B">
      <w:pPr>
        <w:ind w:left="567" w:hanging="567"/>
        <w:rPr>
          <w:rFonts w:cs="Calibri"/>
          <w:b/>
          <w:bCs/>
        </w:rPr>
      </w:pPr>
    </w:p>
    <w:p w14:paraId="07DDFE2A" w14:textId="5A7A7890" w:rsidR="00BF2221" w:rsidRPr="00BF2221" w:rsidRDefault="00BF2221" w:rsidP="00D95F72">
      <w:pPr>
        <w:ind w:left="567" w:hanging="567"/>
        <w:rPr>
          <w:rFonts w:asciiTheme="minorHAnsi" w:hAnsiTheme="minorHAnsi" w:cs="Calibri"/>
          <w:szCs w:val="24"/>
        </w:rPr>
      </w:pPr>
      <w:r w:rsidRPr="00BF2221">
        <w:rPr>
          <w:rFonts w:cs="Calibri"/>
          <w:b/>
          <w:bCs/>
        </w:rPr>
        <w:t>Note:</w:t>
      </w:r>
      <w:r w:rsidR="0058639B">
        <w:rPr>
          <w:rFonts w:cs="Calibri"/>
          <w:b/>
          <w:bCs/>
        </w:rPr>
        <w:tab/>
      </w:r>
      <w:r w:rsidRPr="00BF2221">
        <w:rPr>
          <w:bCs/>
          <w:szCs w:val="24"/>
        </w:rPr>
        <w:t>The  CIPC (Companies and Intellectual Property Commission) registration documents will also be used as evidence to confirm compliance to the Preferential procurement requirements as part of the evaluation process.</w:t>
      </w:r>
    </w:p>
    <w:p w14:paraId="61189FAB" w14:textId="4C34A41D" w:rsidR="005758C0" w:rsidRPr="0058639B" w:rsidRDefault="00BF2221" w:rsidP="00D95F72">
      <w:pPr>
        <w:numPr>
          <w:ilvl w:val="2"/>
          <w:numId w:val="29"/>
        </w:numPr>
        <w:spacing w:after="0"/>
        <w:ind w:left="567"/>
        <w:outlineLvl w:val="0"/>
        <w:rPr>
          <w:rFonts w:asciiTheme="minorHAnsi" w:hAnsiTheme="minorHAnsi"/>
          <w:b/>
          <w:bCs/>
          <w:szCs w:val="24"/>
        </w:rPr>
      </w:pPr>
      <w:r w:rsidRPr="00BF2221">
        <w:rPr>
          <w:rFonts w:asciiTheme="minorHAnsi" w:hAnsiTheme="minorHAnsi"/>
          <w:szCs w:val="24"/>
        </w:rPr>
        <w:t xml:space="preserve">Indicate their </w:t>
      </w:r>
      <w:r w:rsidRPr="00BF2221">
        <w:rPr>
          <w:rFonts w:asciiTheme="minorHAnsi" w:hAnsiTheme="minorHAnsi"/>
          <w:b/>
          <w:bCs/>
          <w:szCs w:val="24"/>
        </w:rPr>
        <w:t>commitment</w:t>
      </w:r>
      <w:r w:rsidRPr="00BF2221">
        <w:rPr>
          <w:rFonts w:asciiTheme="minorHAnsi" w:hAnsiTheme="minorHAnsi"/>
          <w:szCs w:val="24"/>
        </w:rPr>
        <w:t xml:space="preserve"> to claim points for each of the preference points </w:t>
      </w:r>
      <w:r w:rsidRPr="00BF2221">
        <w:rPr>
          <w:rFonts w:asciiTheme="minorHAnsi" w:hAnsiTheme="minorHAnsi"/>
          <w:b/>
          <w:bCs/>
          <w:szCs w:val="24"/>
        </w:rPr>
        <w:t>by signing at par 4.5 in the Invitation to Bid document.</w:t>
      </w:r>
    </w:p>
    <w:sectPr w:rsidR="005758C0" w:rsidRPr="0058639B" w:rsidSect="00BF2221">
      <w:pgSz w:w="11906" w:h="16838"/>
      <w:pgMar w:top="1276" w:right="1134" w:bottom="993" w:left="1134"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9C36" w14:textId="77777777" w:rsidR="00FD206B" w:rsidRDefault="00FD206B">
      <w:pPr>
        <w:spacing w:line="240" w:lineRule="auto"/>
      </w:pPr>
      <w:r>
        <w:separator/>
      </w:r>
    </w:p>
  </w:endnote>
  <w:endnote w:type="continuationSeparator" w:id="0">
    <w:p w14:paraId="680C98F9" w14:textId="77777777" w:rsidR="00FD206B" w:rsidRDefault="00FD2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828"/>
      <w:gridCol w:w="1984"/>
      <w:gridCol w:w="3816"/>
    </w:tblGrid>
    <w:tr w:rsidR="0096352C" w14:paraId="61C87495" w14:textId="77777777">
      <w:tc>
        <w:tcPr>
          <w:tcW w:w="3828" w:type="dxa"/>
        </w:tcPr>
        <w:p w14:paraId="6743E151" w14:textId="77777777" w:rsidR="0096352C" w:rsidRDefault="0096352C">
          <w:pPr>
            <w:jc w:val="left"/>
            <w:rPr>
              <w:sz w:val="20"/>
            </w:rPr>
          </w:pPr>
          <w:r>
            <w:rPr>
              <w:rFonts w:asciiTheme="minorHAnsi" w:hAnsiTheme="minorHAnsi" w:cstheme="minorHAnsi"/>
              <w:sz w:val="16"/>
              <w:szCs w:val="16"/>
              <w:lang w:val="en-GB"/>
            </w:rPr>
            <w:t>eOSCM-00006 v2.0</w:t>
          </w:r>
        </w:p>
      </w:tc>
      <w:tc>
        <w:tcPr>
          <w:tcW w:w="1984" w:type="dxa"/>
        </w:tcPr>
        <w:p w14:paraId="3227C7C1" w14:textId="77777777" w:rsidR="0096352C" w:rsidRDefault="0096352C">
          <w:pPr>
            <w:jc w:val="center"/>
            <w:rPr>
              <w:sz w:val="20"/>
            </w:rPr>
          </w:pPr>
          <w:r>
            <w:rPr>
              <w:rFonts w:asciiTheme="minorHAnsi" w:hAnsiTheme="minorHAnsi" w:cstheme="minorHAnsi"/>
              <w:sz w:val="16"/>
              <w:szCs w:val="16"/>
              <w:lang w:val="en-GB"/>
            </w:rPr>
            <w:t>RESTRICTED</w:t>
          </w:r>
        </w:p>
      </w:tc>
      <w:tc>
        <w:tcPr>
          <w:tcW w:w="3816" w:type="dxa"/>
        </w:tcPr>
        <w:p w14:paraId="3B26FD19" w14:textId="237E8C27" w:rsidR="0096352C" w:rsidRDefault="0096352C">
          <w:pPr>
            <w:jc w:val="right"/>
            <w:rPr>
              <w:sz w:val="20"/>
            </w:rPr>
          </w:pP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PAGE </w:instrText>
          </w:r>
          <w:r>
            <w:rPr>
              <w:rFonts w:asciiTheme="minorHAnsi" w:hAnsiTheme="minorHAnsi" w:cstheme="minorHAnsi"/>
              <w:sz w:val="16"/>
              <w:szCs w:val="16"/>
              <w:lang w:val="en-GB"/>
            </w:rPr>
            <w:fldChar w:fldCharType="separate"/>
          </w:r>
          <w:r w:rsidR="006945C0">
            <w:rPr>
              <w:rFonts w:asciiTheme="minorHAnsi" w:hAnsiTheme="minorHAnsi" w:cstheme="minorHAnsi"/>
              <w:noProof/>
              <w:sz w:val="16"/>
              <w:szCs w:val="16"/>
              <w:lang w:val="en-GB"/>
            </w:rPr>
            <w:t>20</w:t>
          </w:r>
          <w:r>
            <w:rPr>
              <w:rFonts w:asciiTheme="minorHAnsi" w:hAnsiTheme="minorHAnsi" w:cstheme="minorHAnsi"/>
              <w:sz w:val="16"/>
              <w:szCs w:val="16"/>
              <w:lang w:val="en-GB"/>
            </w:rPr>
            <w:fldChar w:fldCharType="end"/>
          </w:r>
          <w:r>
            <w:rPr>
              <w:rFonts w:asciiTheme="minorHAnsi" w:hAnsiTheme="minorHAnsi" w:cstheme="minorHAnsi"/>
              <w:sz w:val="16"/>
              <w:szCs w:val="16"/>
              <w:lang w:val="en-GB"/>
            </w:rPr>
            <w:t xml:space="preserve"> of </w:t>
          </w: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NUMPAGES </w:instrText>
          </w:r>
          <w:r>
            <w:rPr>
              <w:rFonts w:asciiTheme="minorHAnsi" w:hAnsiTheme="minorHAnsi" w:cstheme="minorHAnsi"/>
              <w:sz w:val="16"/>
              <w:szCs w:val="16"/>
              <w:lang w:val="en-GB"/>
            </w:rPr>
            <w:fldChar w:fldCharType="separate"/>
          </w:r>
          <w:r w:rsidR="006945C0">
            <w:rPr>
              <w:rFonts w:asciiTheme="minorHAnsi" w:hAnsiTheme="minorHAnsi" w:cstheme="minorHAnsi"/>
              <w:noProof/>
              <w:sz w:val="16"/>
              <w:szCs w:val="16"/>
              <w:lang w:val="en-GB"/>
            </w:rPr>
            <w:t>20</w:t>
          </w:r>
          <w:r>
            <w:rPr>
              <w:rFonts w:asciiTheme="minorHAnsi" w:hAnsiTheme="minorHAnsi" w:cstheme="minorHAnsi"/>
              <w:sz w:val="16"/>
              <w:szCs w:val="16"/>
              <w:lang w:val="en-GB"/>
            </w:rPr>
            <w:fldChar w:fldCharType="end"/>
          </w:r>
        </w:p>
      </w:tc>
    </w:tr>
  </w:tbl>
  <w:p w14:paraId="622D636D" w14:textId="77777777" w:rsidR="0096352C" w:rsidRDefault="0096352C">
    <w:pPr>
      <w:spacing w:after="0" w:line="240" w:lineRule="auto"/>
      <w:rPr>
        <w:sz w:val="20"/>
        <w:szCs w:val="20"/>
      </w:rPr>
    </w:pPr>
    <w:r>
      <w:rPr>
        <w:noProof/>
        <w:sz w:val="20"/>
        <w:lang w:eastAsia="en-ZA"/>
      </w:rPr>
      <mc:AlternateContent>
        <mc:Choice Requires="wps">
          <w:drawing>
            <wp:anchor distT="45720" distB="45720" distL="114300" distR="114300" simplePos="0" relativeHeight="251659264" behindDoc="1" locked="0" layoutInCell="1" allowOverlap="1" wp14:anchorId="20985519" wp14:editId="0F0569E4">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ln>
                    </wps:spPr>
                    <wps:txbx>
                      <w:txbxContent>
                        <w:p w14:paraId="5DBC0015" w14:textId="77777777" w:rsidR="0096352C" w:rsidRDefault="0096352C">
                          <w:pPr>
                            <w:spacing w:after="0" w:line="240" w:lineRule="auto"/>
                            <w:jc w:val="right"/>
                            <w:rPr>
                              <w:sz w:val="20"/>
                              <w:szCs w:val="20"/>
                            </w:rPr>
                          </w:pPr>
                        </w:p>
                      </w:txbxContent>
                    </wps:txbx>
                    <wps:bodyPr rot="0" vert="horz" wrap="square" lIns="91440" tIns="45720" rIns="91440" bIns="45720" anchor="t" anchorCtr="0">
                      <a:noAutofit/>
                    </wps:bodyPr>
                  </wps:wsp>
                </a:graphicData>
              </a:graphic>
            </wp:anchor>
          </w:drawing>
        </mc:Choice>
        <mc:Fallback>
          <w:pict>
            <v:shapetype w14:anchorId="20985519"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" stroked="f">
              <v:textbox>
                <w:txbxContent>
                  <w:p w14:paraId="5DBC0015" w14:textId="77777777" w:rsidR="0096352C" w:rsidRDefault="0096352C">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749F1" w14:textId="77777777" w:rsidR="00FD206B" w:rsidRDefault="00FD206B">
      <w:pPr>
        <w:spacing w:after="0"/>
      </w:pPr>
      <w:r>
        <w:separator/>
      </w:r>
    </w:p>
  </w:footnote>
  <w:footnote w:type="continuationSeparator" w:id="0">
    <w:p w14:paraId="3D254E1A" w14:textId="77777777" w:rsidR="00FD206B" w:rsidRDefault="00FD20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347"/>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6F04486"/>
    <w:multiLevelType w:val="multilevel"/>
    <w:tmpl w:val="06F0448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2" w15:restartNumberingAfterBreak="0">
    <w:nsid w:val="102166B8"/>
    <w:multiLevelType w:val="hybridMultilevel"/>
    <w:tmpl w:val="645CB232"/>
    <w:lvl w:ilvl="0" w:tplc="A71A08C2">
      <w:start w:val="1"/>
      <w:numFmt w:val="lowerLetter"/>
      <w:lvlText w:val="%1)"/>
      <w:lvlJc w:val="left"/>
      <w:pPr>
        <w:ind w:left="720" w:hanging="360"/>
      </w:pPr>
      <w:rPr>
        <w:rFonts w:cstheme="majorBid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B7959"/>
    <w:multiLevelType w:val="hybridMultilevel"/>
    <w:tmpl w:val="401858C6"/>
    <w:lvl w:ilvl="0" w:tplc="FE46620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452514A"/>
    <w:multiLevelType w:val="multilevel"/>
    <w:tmpl w:val="1452514A"/>
    <w:lvl w:ilvl="0">
      <w:start w:val="1"/>
      <w:numFmt w:val="lowerLetter"/>
      <w:lvlText w:val="(%1)"/>
      <w:lvlJc w:val="left"/>
      <w:pPr>
        <w:ind w:left="851" w:hanging="567"/>
      </w:pPr>
      <w:rPr>
        <w:rFonts w:hint="default"/>
      </w:rPr>
    </w:lvl>
    <w:lvl w:ilvl="1">
      <w:start w:val="1"/>
      <w:numFmt w:val="lowerRoman"/>
      <w:lvlText w:val="(%2)"/>
      <w:lvlJc w:val="left"/>
      <w:pPr>
        <w:ind w:left="1418" w:hanging="567"/>
      </w:pPr>
      <w:rPr>
        <w:rFonts w:hint="default"/>
      </w:rPr>
    </w:lvl>
    <w:lvl w:ilvl="2">
      <w:start w:val="1"/>
      <w:numFmt w:val="decimal"/>
      <w:lvlText w:val="(%3)"/>
      <w:lvlJc w:val="left"/>
      <w:pPr>
        <w:ind w:left="1985" w:hanging="567"/>
      </w:pPr>
      <w:rPr>
        <w:rFonts w:hint="default"/>
      </w:rPr>
    </w:lvl>
    <w:lvl w:ilvl="3">
      <w:start w:val="1"/>
      <w:numFmt w:val="lowerLetter"/>
      <w:lvlText w:val="(%4)"/>
      <w:lvlJc w:val="left"/>
      <w:pPr>
        <w:ind w:left="2552" w:hanging="567"/>
      </w:pPr>
      <w:rPr>
        <w:rFonts w:hint="default"/>
      </w:rPr>
    </w:lvl>
    <w:lvl w:ilvl="4">
      <w:start w:val="1"/>
      <w:numFmt w:val="lowerRoman"/>
      <w:lvlText w:val="(%5)"/>
      <w:lvlJc w:val="left"/>
      <w:pPr>
        <w:ind w:left="3119" w:hanging="567"/>
      </w:pPr>
      <w:rPr>
        <w:rFonts w:hint="default"/>
      </w:rPr>
    </w:lvl>
    <w:lvl w:ilvl="5">
      <w:start w:val="1"/>
      <w:numFmt w:val="decimal"/>
      <w:lvlText w:val="(%6)"/>
      <w:lvlJc w:val="left"/>
      <w:pPr>
        <w:ind w:left="3686" w:hanging="567"/>
      </w:pPr>
      <w:rPr>
        <w:rFonts w:hint="default"/>
      </w:rPr>
    </w:lvl>
    <w:lvl w:ilvl="6">
      <w:start w:val="1"/>
      <w:numFmt w:val="lowerLetter"/>
      <w:lvlText w:val="(%7)"/>
      <w:lvlJc w:val="left"/>
      <w:pPr>
        <w:ind w:left="4253" w:hanging="567"/>
      </w:pPr>
      <w:rPr>
        <w:rFonts w:hint="default"/>
      </w:rPr>
    </w:lvl>
    <w:lvl w:ilvl="7">
      <w:start w:val="1"/>
      <w:numFmt w:val="lowerRoman"/>
      <w:lvlText w:val="(%8)"/>
      <w:lvlJc w:val="left"/>
      <w:pPr>
        <w:ind w:left="4820" w:hanging="567"/>
      </w:pPr>
      <w:rPr>
        <w:rFonts w:hint="default"/>
      </w:rPr>
    </w:lvl>
    <w:lvl w:ilvl="8">
      <w:start w:val="1"/>
      <w:numFmt w:val="decimal"/>
      <w:lvlText w:val="(%9)"/>
      <w:lvlJc w:val="left"/>
      <w:pPr>
        <w:ind w:left="5387" w:hanging="567"/>
      </w:pPr>
      <w:rPr>
        <w:rFonts w:hint="default"/>
      </w:rPr>
    </w:lvl>
  </w:abstractNum>
  <w:abstractNum w:abstractNumId="5" w15:restartNumberingAfterBreak="0">
    <w:nsid w:val="165327DB"/>
    <w:multiLevelType w:val="multilevel"/>
    <w:tmpl w:val="165327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203256F8"/>
    <w:multiLevelType w:val="multilevel"/>
    <w:tmpl w:val="203256F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22486B8E"/>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245F1BBC"/>
    <w:multiLevelType w:val="multilevel"/>
    <w:tmpl w:val="245F1BBC"/>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278310E2"/>
    <w:multiLevelType w:val="multilevel"/>
    <w:tmpl w:val="278310E2"/>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29B00797"/>
    <w:multiLevelType w:val="multilevel"/>
    <w:tmpl w:val="29B0079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85560E"/>
    <w:multiLevelType w:val="hybridMultilevel"/>
    <w:tmpl w:val="420AE2C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2F93F25"/>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37F6129B"/>
    <w:multiLevelType w:val="multilevel"/>
    <w:tmpl w:val="37F6129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45185D1F"/>
    <w:multiLevelType w:val="multilevel"/>
    <w:tmpl w:val="45185D1F"/>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454403DF"/>
    <w:multiLevelType w:val="multilevel"/>
    <w:tmpl w:val="454403D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4710715D"/>
    <w:multiLevelType w:val="multilevel"/>
    <w:tmpl w:val="4710715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4C8D124E"/>
    <w:multiLevelType w:val="multilevel"/>
    <w:tmpl w:val="4C8D124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821C74"/>
    <w:multiLevelType w:val="multilevel"/>
    <w:tmpl w:val="4E821C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4ED169BC"/>
    <w:multiLevelType w:val="multilevel"/>
    <w:tmpl w:val="4ED169B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4F0F3164"/>
    <w:multiLevelType w:val="multilevel"/>
    <w:tmpl w:val="4F0F316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4F1A66B8"/>
    <w:multiLevelType w:val="multilevel"/>
    <w:tmpl w:val="4F1A66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51E17A71"/>
    <w:multiLevelType w:val="hybridMultilevel"/>
    <w:tmpl w:val="480C4B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2234805"/>
    <w:multiLevelType w:val="multilevel"/>
    <w:tmpl w:val="5223480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59926D5F"/>
    <w:multiLevelType w:val="hybridMultilevel"/>
    <w:tmpl w:val="363051B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4DA4B1F"/>
    <w:multiLevelType w:val="multilevel"/>
    <w:tmpl w:val="64DA4B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652E59DB"/>
    <w:multiLevelType w:val="multilevel"/>
    <w:tmpl w:val="652E59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67E766AC"/>
    <w:multiLevelType w:val="multilevel"/>
    <w:tmpl w:val="67E766A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6B8C1626"/>
    <w:multiLevelType w:val="hybridMultilevel"/>
    <w:tmpl w:val="3B9C2626"/>
    <w:lvl w:ilvl="0" w:tplc="1C09000F">
      <w:start w:val="1"/>
      <w:numFmt w:val="decimal"/>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9" w15:restartNumberingAfterBreak="0">
    <w:nsid w:val="700D7130"/>
    <w:multiLevelType w:val="multilevel"/>
    <w:tmpl w:val="700D7130"/>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72E87D9C"/>
    <w:multiLevelType w:val="multilevel"/>
    <w:tmpl w:val="72E87D9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78273156"/>
    <w:multiLevelType w:val="multilevel"/>
    <w:tmpl w:val="782731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7A240C01"/>
    <w:multiLevelType w:val="multilevel"/>
    <w:tmpl w:val="7A240C01"/>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7D6A12AB"/>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16cid:durableId="90468099">
    <w:abstractNumId w:val="1"/>
  </w:num>
  <w:num w:numId="2" w16cid:durableId="1436709043">
    <w:abstractNumId w:val="14"/>
  </w:num>
  <w:num w:numId="3" w16cid:durableId="772752317">
    <w:abstractNumId w:val="17"/>
  </w:num>
  <w:num w:numId="4" w16cid:durableId="334841734">
    <w:abstractNumId w:val="6"/>
  </w:num>
  <w:num w:numId="5" w16cid:durableId="310718396">
    <w:abstractNumId w:val="10"/>
  </w:num>
  <w:num w:numId="6" w16cid:durableId="1050037176">
    <w:abstractNumId w:val="19"/>
  </w:num>
  <w:num w:numId="7" w16cid:durableId="925500038">
    <w:abstractNumId w:val="27"/>
  </w:num>
  <w:num w:numId="8" w16cid:durableId="1930118121">
    <w:abstractNumId w:val="0"/>
  </w:num>
  <w:num w:numId="9" w16cid:durableId="1758482650">
    <w:abstractNumId w:val="5"/>
  </w:num>
  <w:num w:numId="10" w16cid:durableId="1680694969">
    <w:abstractNumId w:val="12"/>
  </w:num>
  <w:num w:numId="11" w16cid:durableId="1066105907">
    <w:abstractNumId w:val="25"/>
  </w:num>
  <w:num w:numId="12" w16cid:durableId="731124961">
    <w:abstractNumId w:val="21"/>
  </w:num>
  <w:num w:numId="13" w16cid:durableId="450049220">
    <w:abstractNumId w:val="13"/>
  </w:num>
  <w:num w:numId="14" w16cid:durableId="1378164465">
    <w:abstractNumId w:val="20"/>
  </w:num>
  <w:num w:numId="15" w16cid:durableId="806627768">
    <w:abstractNumId w:val="9"/>
  </w:num>
  <w:num w:numId="16" w16cid:durableId="202446531">
    <w:abstractNumId w:val="26"/>
  </w:num>
  <w:num w:numId="17" w16cid:durableId="1914122177">
    <w:abstractNumId w:val="15"/>
  </w:num>
  <w:num w:numId="18" w16cid:durableId="264462460">
    <w:abstractNumId w:val="23"/>
  </w:num>
  <w:num w:numId="19" w16cid:durableId="168719545">
    <w:abstractNumId w:val="31"/>
  </w:num>
  <w:num w:numId="20" w16cid:durableId="501745061">
    <w:abstractNumId w:val="29"/>
  </w:num>
  <w:num w:numId="21" w16cid:durableId="1788086052">
    <w:abstractNumId w:val="7"/>
  </w:num>
  <w:num w:numId="22" w16cid:durableId="149517363">
    <w:abstractNumId w:val="18"/>
  </w:num>
  <w:num w:numId="23" w16cid:durableId="1586063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2083388">
    <w:abstractNumId w:val="3"/>
  </w:num>
  <w:num w:numId="25" w16cid:durableId="1324351597">
    <w:abstractNumId w:val="28"/>
  </w:num>
  <w:num w:numId="26" w16cid:durableId="804542908">
    <w:abstractNumId w:val="22"/>
  </w:num>
  <w:num w:numId="27" w16cid:durableId="8274064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82186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9975849">
    <w:abstractNumId w:val="32"/>
  </w:num>
  <w:num w:numId="30" w16cid:durableId="1567491253">
    <w:abstractNumId w:val="4"/>
  </w:num>
  <w:num w:numId="31" w16cid:durableId="914441296">
    <w:abstractNumId w:val="16"/>
  </w:num>
  <w:num w:numId="32" w16cid:durableId="1944607407">
    <w:abstractNumId w:val="2"/>
  </w:num>
  <w:num w:numId="33" w16cid:durableId="1885167294">
    <w:abstractNumId w:val="33"/>
  </w:num>
  <w:num w:numId="34" w16cid:durableId="880628523">
    <w:abstractNumId w:val="24"/>
  </w:num>
  <w:num w:numId="35" w16cid:durableId="281425170">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ttachedTemplate r:id="rId1"/>
  <w:documentProtection w:enforcement="0"/>
  <w:autoFormatOverrid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20"/>
    <w:rsid w:val="00001165"/>
    <w:rsid w:val="000218B7"/>
    <w:rsid w:val="00021DC9"/>
    <w:rsid w:val="0002219A"/>
    <w:rsid w:val="0005538F"/>
    <w:rsid w:val="000560FC"/>
    <w:rsid w:val="00057AA2"/>
    <w:rsid w:val="0007393B"/>
    <w:rsid w:val="000875DD"/>
    <w:rsid w:val="00087CD2"/>
    <w:rsid w:val="000A1E1F"/>
    <w:rsid w:val="000A52F1"/>
    <w:rsid w:val="000A7D95"/>
    <w:rsid w:val="000B1A52"/>
    <w:rsid w:val="000C56A7"/>
    <w:rsid w:val="000C68A6"/>
    <w:rsid w:val="000D0338"/>
    <w:rsid w:val="000D0756"/>
    <w:rsid w:val="000E14DD"/>
    <w:rsid w:val="000E7A03"/>
    <w:rsid w:val="000F2B2F"/>
    <w:rsid w:val="000F49F0"/>
    <w:rsid w:val="000F7540"/>
    <w:rsid w:val="00103520"/>
    <w:rsid w:val="00103EF0"/>
    <w:rsid w:val="0011532B"/>
    <w:rsid w:val="00124342"/>
    <w:rsid w:val="00126C28"/>
    <w:rsid w:val="0013132F"/>
    <w:rsid w:val="001313AD"/>
    <w:rsid w:val="00140641"/>
    <w:rsid w:val="00145EA2"/>
    <w:rsid w:val="00151146"/>
    <w:rsid w:val="00151FF4"/>
    <w:rsid w:val="00161B69"/>
    <w:rsid w:val="00163002"/>
    <w:rsid w:val="00165575"/>
    <w:rsid w:val="00173088"/>
    <w:rsid w:val="00177EBA"/>
    <w:rsid w:val="00180F03"/>
    <w:rsid w:val="00184BD7"/>
    <w:rsid w:val="0018714B"/>
    <w:rsid w:val="00193065"/>
    <w:rsid w:val="001948CC"/>
    <w:rsid w:val="001A50CD"/>
    <w:rsid w:val="001B2FE2"/>
    <w:rsid w:val="001B63DC"/>
    <w:rsid w:val="001D1C9E"/>
    <w:rsid w:val="001D49A9"/>
    <w:rsid w:val="001E2F3D"/>
    <w:rsid w:val="001E3153"/>
    <w:rsid w:val="001F5EDD"/>
    <w:rsid w:val="001F7572"/>
    <w:rsid w:val="002029E7"/>
    <w:rsid w:val="0021601E"/>
    <w:rsid w:val="00223B97"/>
    <w:rsid w:val="00226431"/>
    <w:rsid w:val="00231DB3"/>
    <w:rsid w:val="00233A39"/>
    <w:rsid w:val="00234E2A"/>
    <w:rsid w:val="00235913"/>
    <w:rsid w:val="0026097F"/>
    <w:rsid w:val="00260F2A"/>
    <w:rsid w:val="0026119C"/>
    <w:rsid w:val="00282F6F"/>
    <w:rsid w:val="00284048"/>
    <w:rsid w:val="00292A86"/>
    <w:rsid w:val="002A26C9"/>
    <w:rsid w:val="002A3AA8"/>
    <w:rsid w:val="002A7DA2"/>
    <w:rsid w:val="002B187F"/>
    <w:rsid w:val="002B260C"/>
    <w:rsid w:val="002D5DEA"/>
    <w:rsid w:val="002E5AED"/>
    <w:rsid w:val="00302F85"/>
    <w:rsid w:val="00310B0D"/>
    <w:rsid w:val="00313A9C"/>
    <w:rsid w:val="003210AE"/>
    <w:rsid w:val="003531F7"/>
    <w:rsid w:val="00355E9B"/>
    <w:rsid w:val="0036570B"/>
    <w:rsid w:val="003672E8"/>
    <w:rsid w:val="003711BF"/>
    <w:rsid w:val="00373D27"/>
    <w:rsid w:val="003806BB"/>
    <w:rsid w:val="003943CE"/>
    <w:rsid w:val="00394D10"/>
    <w:rsid w:val="00396A55"/>
    <w:rsid w:val="003A786A"/>
    <w:rsid w:val="003B2BA8"/>
    <w:rsid w:val="003E0A27"/>
    <w:rsid w:val="003F7BFE"/>
    <w:rsid w:val="00400714"/>
    <w:rsid w:val="004028CF"/>
    <w:rsid w:val="004176AA"/>
    <w:rsid w:val="00445B91"/>
    <w:rsid w:val="004651ED"/>
    <w:rsid w:val="00473F58"/>
    <w:rsid w:val="0048501B"/>
    <w:rsid w:val="00490713"/>
    <w:rsid w:val="00496E1A"/>
    <w:rsid w:val="004B0829"/>
    <w:rsid w:val="004B4BCF"/>
    <w:rsid w:val="004C3A3C"/>
    <w:rsid w:val="004D47F9"/>
    <w:rsid w:val="004F5065"/>
    <w:rsid w:val="00504F20"/>
    <w:rsid w:val="00512A12"/>
    <w:rsid w:val="00513C34"/>
    <w:rsid w:val="00513DED"/>
    <w:rsid w:val="00522E16"/>
    <w:rsid w:val="00527C18"/>
    <w:rsid w:val="00560F4B"/>
    <w:rsid w:val="005758C0"/>
    <w:rsid w:val="00576C51"/>
    <w:rsid w:val="0058639B"/>
    <w:rsid w:val="00593247"/>
    <w:rsid w:val="00595AD7"/>
    <w:rsid w:val="005A0DB0"/>
    <w:rsid w:val="005A74FB"/>
    <w:rsid w:val="005B18DD"/>
    <w:rsid w:val="005B4A13"/>
    <w:rsid w:val="005B6F06"/>
    <w:rsid w:val="005C4127"/>
    <w:rsid w:val="005D1D16"/>
    <w:rsid w:val="005D5CCF"/>
    <w:rsid w:val="005E2437"/>
    <w:rsid w:val="005E4DF9"/>
    <w:rsid w:val="005E7FD6"/>
    <w:rsid w:val="005F2530"/>
    <w:rsid w:val="005F274B"/>
    <w:rsid w:val="00600588"/>
    <w:rsid w:val="0060212A"/>
    <w:rsid w:val="00603845"/>
    <w:rsid w:val="00613867"/>
    <w:rsid w:val="00621A13"/>
    <w:rsid w:val="006253FA"/>
    <w:rsid w:val="00634C43"/>
    <w:rsid w:val="00650F53"/>
    <w:rsid w:val="006540BE"/>
    <w:rsid w:val="00656548"/>
    <w:rsid w:val="006856DA"/>
    <w:rsid w:val="006864E4"/>
    <w:rsid w:val="00686F5B"/>
    <w:rsid w:val="006945C0"/>
    <w:rsid w:val="006A55F1"/>
    <w:rsid w:val="006A5A54"/>
    <w:rsid w:val="006A5D17"/>
    <w:rsid w:val="006C0A8D"/>
    <w:rsid w:val="006D342A"/>
    <w:rsid w:val="006F011E"/>
    <w:rsid w:val="006F4069"/>
    <w:rsid w:val="006F6614"/>
    <w:rsid w:val="007006B8"/>
    <w:rsid w:val="00702BB6"/>
    <w:rsid w:val="00703202"/>
    <w:rsid w:val="00710F8D"/>
    <w:rsid w:val="0071278B"/>
    <w:rsid w:val="007240B7"/>
    <w:rsid w:val="0072505B"/>
    <w:rsid w:val="007275E3"/>
    <w:rsid w:val="0072760B"/>
    <w:rsid w:val="00733FB4"/>
    <w:rsid w:val="00742328"/>
    <w:rsid w:val="00751665"/>
    <w:rsid w:val="00766D19"/>
    <w:rsid w:val="00783F60"/>
    <w:rsid w:val="00785040"/>
    <w:rsid w:val="00797436"/>
    <w:rsid w:val="007C6533"/>
    <w:rsid w:val="007D0577"/>
    <w:rsid w:val="007D6919"/>
    <w:rsid w:val="007D7386"/>
    <w:rsid w:val="007E6FC0"/>
    <w:rsid w:val="007F39D6"/>
    <w:rsid w:val="008049F9"/>
    <w:rsid w:val="00805122"/>
    <w:rsid w:val="00805234"/>
    <w:rsid w:val="008059F5"/>
    <w:rsid w:val="008078EF"/>
    <w:rsid w:val="00811091"/>
    <w:rsid w:val="00820499"/>
    <w:rsid w:val="008228E6"/>
    <w:rsid w:val="008273F3"/>
    <w:rsid w:val="0083551A"/>
    <w:rsid w:val="008360E8"/>
    <w:rsid w:val="00837D22"/>
    <w:rsid w:val="00840E16"/>
    <w:rsid w:val="0084359E"/>
    <w:rsid w:val="00852A83"/>
    <w:rsid w:val="008600CB"/>
    <w:rsid w:val="00861103"/>
    <w:rsid w:val="008644ED"/>
    <w:rsid w:val="008711B7"/>
    <w:rsid w:val="008741FC"/>
    <w:rsid w:val="00881256"/>
    <w:rsid w:val="008864A1"/>
    <w:rsid w:val="00887169"/>
    <w:rsid w:val="00887C6C"/>
    <w:rsid w:val="0089122A"/>
    <w:rsid w:val="00891392"/>
    <w:rsid w:val="008B6BBF"/>
    <w:rsid w:val="008E04C6"/>
    <w:rsid w:val="008E4D2A"/>
    <w:rsid w:val="008E59CE"/>
    <w:rsid w:val="00900F1C"/>
    <w:rsid w:val="009056E8"/>
    <w:rsid w:val="0093012F"/>
    <w:rsid w:val="00930774"/>
    <w:rsid w:val="00935E13"/>
    <w:rsid w:val="00942B4A"/>
    <w:rsid w:val="0096352C"/>
    <w:rsid w:val="009668CE"/>
    <w:rsid w:val="00980940"/>
    <w:rsid w:val="00983663"/>
    <w:rsid w:val="009A07C6"/>
    <w:rsid w:val="009A26AD"/>
    <w:rsid w:val="009A762D"/>
    <w:rsid w:val="009C0D1E"/>
    <w:rsid w:val="009F4D84"/>
    <w:rsid w:val="00A058DB"/>
    <w:rsid w:val="00A06C58"/>
    <w:rsid w:val="00A07FD6"/>
    <w:rsid w:val="00A1058C"/>
    <w:rsid w:val="00A105E4"/>
    <w:rsid w:val="00A13B86"/>
    <w:rsid w:val="00A14C8E"/>
    <w:rsid w:val="00A21293"/>
    <w:rsid w:val="00A22E66"/>
    <w:rsid w:val="00A31D01"/>
    <w:rsid w:val="00A32230"/>
    <w:rsid w:val="00A355EF"/>
    <w:rsid w:val="00A44D99"/>
    <w:rsid w:val="00A62B8F"/>
    <w:rsid w:val="00A65726"/>
    <w:rsid w:val="00A93813"/>
    <w:rsid w:val="00AA3CDF"/>
    <w:rsid w:val="00AB0B86"/>
    <w:rsid w:val="00AB361C"/>
    <w:rsid w:val="00AC7C1D"/>
    <w:rsid w:val="00AD097C"/>
    <w:rsid w:val="00AD34B8"/>
    <w:rsid w:val="00AD460A"/>
    <w:rsid w:val="00AE3179"/>
    <w:rsid w:val="00AF05FE"/>
    <w:rsid w:val="00AF6423"/>
    <w:rsid w:val="00B01D51"/>
    <w:rsid w:val="00B06C7C"/>
    <w:rsid w:val="00B12F3C"/>
    <w:rsid w:val="00B200C4"/>
    <w:rsid w:val="00B21C62"/>
    <w:rsid w:val="00B222ED"/>
    <w:rsid w:val="00B2743C"/>
    <w:rsid w:val="00B402FF"/>
    <w:rsid w:val="00B415DB"/>
    <w:rsid w:val="00B450E6"/>
    <w:rsid w:val="00B46FFE"/>
    <w:rsid w:val="00B5236F"/>
    <w:rsid w:val="00B562F3"/>
    <w:rsid w:val="00B649DE"/>
    <w:rsid w:val="00B709FB"/>
    <w:rsid w:val="00B7255B"/>
    <w:rsid w:val="00B7480E"/>
    <w:rsid w:val="00B80FF6"/>
    <w:rsid w:val="00B9152C"/>
    <w:rsid w:val="00B951B7"/>
    <w:rsid w:val="00BA7077"/>
    <w:rsid w:val="00BB365B"/>
    <w:rsid w:val="00BC4635"/>
    <w:rsid w:val="00BD74D9"/>
    <w:rsid w:val="00BF2221"/>
    <w:rsid w:val="00BF6DEC"/>
    <w:rsid w:val="00C026C6"/>
    <w:rsid w:val="00C02FF6"/>
    <w:rsid w:val="00C0619F"/>
    <w:rsid w:val="00C1106B"/>
    <w:rsid w:val="00C14FDB"/>
    <w:rsid w:val="00C2646C"/>
    <w:rsid w:val="00C32B24"/>
    <w:rsid w:val="00C47C25"/>
    <w:rsid w:val="00C525CD"/>
    <w:rsid w:val="00C62945"/>
    <w:rsid w:val="00C65D8F"/>
    <w:rsid w:val="00C66667"/>
    <w:rsid w:val="00C838A7"/>
    <w:rsid w:val="00C86426"/>
    <w:rsid w:val="00C96950"/>
    <w:rsid w:val="00CA2193"/>
    <w:rsid w:val="00CA731E"/>
    <w:rsid w:val="00CB28EC"/>
    <w:rsid w:val="00CD6B9D"/>
    <w:rsid w:val="00CE4A9B"/>
    <w:rsid w:val="00CE7301"/>
    <w:rsid w:val="00D277BF"/>
    <w:rsid w:val="00D30CF8"/>
    <w:rsid w:val="00D50BDF"/>
    <w:rsid w:val="00D57367"/>
    <w:rsid w:val="00D62FDF"/>
    <w:rsid w:val="00D631B3"/>
    <w:rsid w:val="00D64DC3"/>
    <w:rsid w:val="00D7773B"/>
    <w:rsid w:val="00D826CA"/>
    <w:rsid w:val="00D95F72"/>
    <w:rsid w:val="00DA2545"/>
    <w:rsid w:val="00DD13E7"/>
    <w:rsid w:val="00DF0A1E"/>
    <w:rsid w:val="00DF3A7D"/>
    <w:rsid w:val="00E030BC"/>
    <w:rsid w:val="00E06686"/>
    <w:rsid w:val="00E06ABC"/>
    <w:rsid w:val="00E15F47"/>
    <w:rsid w:val="00E17D71"/>
    <w:rsid w:val="00E21EF6"/>
    <w:rsid w:val="00E2713B"/>
    <w:rsid w:val="00E300AB"/>
    <w:rsid w:val="00E57138"/>
    <w:rsid w:val="00E5740F"/>
    <w:rsid w:val="00E60BE0"/>
    <w:rsid w:val="00E63E7D"/>
    <w:rsid w:val="00E8344E"/>
    <w:rsid w:val="00E84ECA"/>
    <w:rsid w:val="00E87622"/>
    <w:rsid w:val="00E97809"/>
    <w:rsid w:val="00EB4B6A"/>
    <w:rsid w:val="00EB6437"/>
    <w:rsid w:val="00EB6E43"/>
    <w:rsid w:val="00EC6F7C"/>
    <w:rsid w:val="00ED0120"/>
    <w:rsid w:val="00ED50B2"/>
    <w:rsid w:val="00EF035C"/>
    <w:rsid w:val="00F111A0"/>
    <w:rsid w:val="00F12BEC"/>
    <w:rsid w:val="00F17892"/>
    <w:rsid w:val="00F2293B"/>
    <w:rsid w:val="00F2583E"/>
    <w:rsid w:val="00F34F50"/>
    <w:rsid w:val="00F37BD6"/>
    <w:rsid w:val="00F52232"/>
    <w:rsid w:val="00F57298"/>
    <w:rsid w:val="00F618A6"/>
    <w:rsid w:val="00F61C86"/>
    <w:rsid w:val="00F706D0"/>
    <w:rsid w:val="00F70A16"/>
    <w:rsid w:val="00F77778"/>
    <w:rsid w:val="00FB0A01"/>
    <w:rsid w:val="00FB664B"/>
    <w:rsid w:val="00FB780B"/>
    <w:rsid w:val="00FC5021"/>
    <w:rsid w:val="00FC7798"/>
    <w:rsid w:val="00FD206B"/>
    <w:rsid w:val="00FD3A05"/>
    <w:rsid w:val="10114664"/>
    <w:rsid w:val="759D647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AF0F3E"/>
  <w15:docId w15:val="{6D366503-AFAB-4C08-AD91-2D0BA24E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Bidi"/>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5"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4" w:qFormat="1"/>
    <w:lsdException w:name="table of figures"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jc w:val="both"/>
    </w:pPr>
    <w:rPr>
      <w:sz w:val="22"/>
      <w:szCs w:val="22"/>
      <w:lang w:eastAsia="en-US"/>
    </w:r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
    <w:next w:val="Normal"/>
    <w:link w:val="Heading1Char"/>
    <w:qFormat/>
    <w:pPr>
      <w:keepNext/>
      <w:numPr>
        <w:numId w:val="1"/>
      </w:numPr>
      <w:spacing w:before="120" w:after="120"/>
      <w:outlineLvl w:val="0"/>
    </w:pPr>
    <w:rPr>
      <w:rFonts w:asciiTheme="majorHAnsi" w:eastAsiaTheme="majorEastAsia" w:hAnsiTheme="majorHAnsi" w:cstheme="minorBidi"/>
      <w:b/>
      <w:iCs/>
      <w:color w:val="0E1B8D"/>
      <w:sz w:val="32"/>
      <w:szCs w:val="22"/>
      <w:lang w:val="en-GB" w:eastAsia="en-US"/>
    </w:rPr>
  </w:style>
  <w:style w:type="paragraph" w:styleId="Heading2">
    <w:name w:val="heading 2"/>
    <w:aliases w:val="l2,H2,Heading 2.2,Heading 21,h2,h2 main heading,heading 2,Chapter Title,P,fred2,head2,head II,Chapter Number/Appendix Letter,chn,2 headline,21,A.B.C.,2 headline1,h5,211,h21,A.B.C.1,heading 21,2 headline2,h6,212,h22,A.B.C.2,heading 22"/>
    <w:basedOn w:val="Heading1"/>
    <w:next w:val="Normal"/>
    <w:link w:val="Heading2Char"/>
    <w:qFormat/>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
    <w:basedOn w:val="Heading1"/>
    <w:next w:val="Normal"/>
    <w:link w:val="Heading3Char"/>
    <w:qFormat/>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pPr>
      <w:numPr>
        <w:ilvl w:val="3"/>
      </w:numPr>
      <w:outlineLvl w:val="3"/>
    </w:pPr>
    <w:rPr>
      <w:iCs w:val="0"/>
      <w:sz w:val="24"/>
    </w:rPr>
  </w:style>
  <w:style w:type="paragraph" w:styleId="Heading5">
    <w:name w:val="heading 5"/>
    <w:aliases w:val="X,Block Label,N,H5,H51,H52,H53,H54,H55,rp_Heading 5,DO NOT USE_h5"/>
    <w:basedOn w:val="Heading1"/>
    <w:next w:val="Normal"/>
    <w:link w:val="Heading5Char"/>
    <w:unhideWhenUsed/>
    <w:qFormat/>
    <w:pPr>
      <w:numPr>
        <w:ilvl w:val="4"/>
      </w:numPr>
      <w:outlineLvl w:val="4"/>
    </w:pPr>
    <w:rPr>
      <w:sz w:val="24"/>
    </w:rPr>
  </w:style>
  <w:style w:type="paragraph" w:styleId="Heading6">
    <w:name w:val="heading 6"/>
    <w:aliases w:val="Heading 6 Char1,Heading 6 Char Char,Heading 61,Heading 6 + Bold,Blank 2,rp_Heading 6,DO NOT USE_h6,Appendix 2,Heading 6E"/>
    <w:basedOn w:val="Heading1"/>
    <w:next w:val="Normal"/>
    <w:link w:val="Heading6Char"/>
    <w:unhideWhenUsed/>
    <w:qFormat/>
    <w:pPr>
      <w:numPr>
        <w:ilvl w:val="5"/>
      </w:numPr>
      <w:outlineLvl w:val="5"/>
    </w:pPr>
    <w:rPr>
      <w:sz w:val="24"/>
    </w:rPr>
  </w:style>
  <w:style w:type="paragraph" w:styleId="Heading7">
    <w:name w:val="heading 7"/>
    <w:aliases w:val="(Not CSW),rp_Heading 7,Appendix Level 1,Heading 71"/>
    <w:basedOn w:val="Heading1"/>
    <w:next w:val="Normal"/>
    <w:link w:val="Heading7Char"/>
    <w:unhideWhenUsed/>
    <w:qFormat/>
    <w:pPr>
      <w:numPr>
        <w:ilvl w:val="6"/>
      </w:numPr>
      <w:outlineLvl w:val="6"/>
    </w:pPr>
    <w:rPr>
      <w:iCs w:val="0"/>
      <w:sz w:val="24"/>
    </w:rPr>
  </w:style>
  <w:style w:type="paragraph" w:styleId="Heading8">
    <w:name w:val="heading 8"/>
    <w:aliases w:val="Heading 8(Not CSW),rp_Heading 8,Heading 81"/>
    <w:basedOn w:val="Heading1"/>
    <w:next w:val="Normal"/>
    <w:link w:val="Heading8Char"/>
    <w:unhideWhenUsed/>
    <w:qFormat/>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
    <w:basedOn w:val="Heading1"/>
    <w:next w:val="Normal"/>
    <w:link w:val="Heading9Char"/>
    <w:unhideWhenUsed/>
    <w:qFormat/>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lockText">
    <w:name w:val="Block Text"/>
    <w:basedOn w:val="Normal"/>
    <w:uiPriority w:val="99"/>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qFormat/>
  </w:style>
  <w:style w:type="paragraph" w:styleId="Caption">
    <w:name w:val="caption"/>
    <w:basedOn w:val="Normal"/>
    <w:next w:val="Normal"/>
    <w:uiPriority w:val="4"/>
    <w:qFormat/>
    <w:pPr>
      <w:keepNext/>
      <w:spacing w:before="120" w:line="240" w:lineRule="auto"/>
      <w:jc w:val="center"/>
    </w:pPr>
    <w:rPr>
      <w:rFonts w:asciiTheme="minorHAnsi" w:eastAsia="Times New Roman" w:hAnsiTheme="minorHAnsi" w:cs="Times New Roman"/>
      <w:b/>
      <w:szCs w:val="24"/>
      <w:lang w:val="en-GB"/>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jc w:val="center"/>
    </w:pPr>
    <w:rPr>
      <w:szCs w:val="24"/>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qFormat/>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0"/>
    <w:qFormat/>
    <w:pPr>
      <w:spacing w:line="240" w:lineRule="auto"/>
    </w:pPr>
    <w:rPr>
      <w:rFonts w:asciiTheme="minorHAnsi" w:eastAsiaTheme="minorEastAsia" w:hAnsiTheme="minorHAnsi" w:cstheme="minorBidi"/>
      <w:color w:val="0E1B8D"/>
      <w:sz w:val="2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Title">
    <w:name w:val="Title"/>
    <w:next w:val="Normal"/>
    <w:link w:val="TitleChar"/>
    <w:uiPriority w:val="10"/>
    <w:qFormat/>
    <w:pPr>
      <w:spacing w:after="240"/>
      <w:contextualSpacing/>
    </w:pPr>
    <w:rPr>
      <w:rFonts w:asciiTheme="majorHAnsi" w:eastAsiaTheme="majorEastAsia" w:hAnsiTheme="majorHAnsi"/>
      <w:color w:val="0E1B8D"/>
      <w:sz w:val="36"/>
      <w:szCs w:val="56"/>
      <w:lang w:eastAsia="en-US"/>
    </w:rPr>
  </w:style>
  <w:style w:type="paragraph" w:styleId="TOC1">
    <w:name w:val="toc 1"/>
    <w:basedOn w:val="Normal"/>
    <w:next w:val="Normal"/>
    <w:uiPriority w:val="39"/>
    <w:unhideWhenUsed/>
    <w:qFormat/>
    <w:pPr>
      <w:tabs>
        <w:tab w:val="left" w:pos="284"/>
        <w:tab w:val="right" w:leader="dot" w:pos="9628"/>
      </w:tabs>
      <w:spacing w:after="0" w:line="240" w:lineRule="auto"/>
    </w:pPr>
    <w:rPr>
      <w:b/>
    </w:rPr>
  </w:style>
  <w:style w:type="paragraph" w:styleId="TOC2">
    <w:name w:val="toc 2"/>
    <w:basedOn w:val="Normal"/>
    <w:next w:val="Normal"/>
    <w:uiPriority w:val="39"/>
    <w:unhideWhenUsed/>
    <w:qFormat/>
    <w:pPr>
      <w:tabs>
        <w:tab w:val="left" w:pos="709"/>
        <w:tab w:val="right" w:leader="dot" w:pos="9628"/>
      </w:tabs>
      <w:spacing w:after="0" w:line="240" w:lineRule="auto"/>
      <w:ind w:left="284"/>
    </w:pPr>
  </w:style>
  <w:style w:type="paragraph" w:styleId="TOC3">
    <w:name w:val="toc 3"/>
    <w:basedOn w:val="Normal"/>
    <w:next w:val="Normal"/>
    <w:uiPriority w:val="39"/>
    <w:unhideWhenUsed/>
    <w:qFormat/>
    <w:pPr>
      <w:tabs>
        <w:tab w:val="left" w:pos="1276"/>
        <w:tab w:val="right" w:leader="dot" w:pos="9628"/>
      </w:tabs>
      <w:spacing w:after="0"/>
      <w:ind w:left="709"/>
    </w:pPr>
  </w:style>
  <w:style w:type="character" w:customStyle="1" w:styleId="HeaderChar">
    <w:name w:val="Header Char"/>
    <w:basedOn w:val="DefaultParagraphFont"/>
    <w:link w:val="Header"/>
    <w:uiPriority w:val="99"/>
    <w:qFormat/>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qFormat/>
    <w:rPr>
      <w:rFonts w:asciiTheme="majorHAnsi" w:eastAsiaTheme="majorEastAsia" w:hAnsiTheme="majorHAnsi" w:cstheme="minorBidi"/>
      <w:b/>
      <w:iCs/>
      <w:color w:val="0E1B8D"/>
      <w:sz w:val="32"/>
      <w:szCs w:val="22"/>
      <w:lang w:val="en-GB" w:eastAsia="en-US"/>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qFormat/>
    <w:rPr>
      <w:rFonts w:asciiTheme="majorHAnsi" w:eastAsiaTheme="majorEastAsia" w:hAnsiTheme="majorHAnsi" w:cstheme="minorBidi"/>
      <w:b/>
      <w:color w:val="0E1B8D"/>
      <w:sz w:val="28"/>
      <w:szCs w:val="26"/>
      <w:lang w:eastAsia="en-US"/>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qFormat/>
    <w:rPr>
      <w:rFonts w:asciiTheme="majorHAnsi" w:eastAsiaTheme="majorEastAsia" w:hAnsiTheme="majorHAnsi" w:cstheme="minorBidi"/>
      <w:b/>
      <w:iCs/>
      <w:color w:val="0E1B8D"/>
      <w:sz w:val="24"/>
      <w:szCs w:val="24"/>
      <w:lang w:val="en-GB" w:eastAsia="en-US"/>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qFormat/>
    <w:rPr>
      <w:rFonts w:asciiTheme="majorHAnsi" w:eastAsiaTheme="majorEastAsia" w:hAnsiTheme="majorHAnsi" w:cstheme="minorBidi"/>
      <w:b/>
      <w:color w:val="0E1B8D"/>
      <w:sz w:val="24"/>
      <w:szCs w:val="22"/>
      <w:lang w:val="en-GB" w:eastAsia="en-US"/>
    </w:rPr>
  </w:style>
  <w:style w:type="character" w:customStyle="1" w:styleId="Heading5Char">
    <w:name w:val="Heading 5 Char"/>
    <w:aliases w:val="X Char,Block Label Char,N Char,H5 Char,H51 Char,H52 Char,H53 Char,H54 Char,H55 Char,rp_Heading 5 Char,DO NOT USE_h5 Char"/>
    <w:basedOn w:val="DefaultParagraphFont"/>
    <w:link w:val="Heading5"/>
    <w:qFormat/>
    <w:rPr>
      <w:rFonts w:asciiTheme="majorHAnsi" w:eastAsiaTheme="majorEastAsia" w:hAnsiTheme="majorHAnsi" w:cstheme="minorBidi"/>
      <w:b/>
      <w:iCs/>
      <w:color w:val="0E1B8D"/>
      <w:sz w:val="24"/>
      <w:szCs w:val="22"/>
      <w:lang w:val="en-GB" w:eastAsia="en-US"/>
    </w:rPr>
  </w:style>
  <w:style w:type="character" w:customStyle="1" w:styleId="Heading6Char">
    <w:name w:val="Heading 6 Char"/>
    <w:aliases w:val="Heading 6 Char1 Char,Heading 6 Char Char Char,Heading 61 Char,Heading 6 + Bold Char,Blank 2 Char,rp_Heading 6 Char,DO NOT USE_h6 Char,Appendix 2 Char,Heading 6E Char"/>
    <w:basedOn w:val="DefaultParagraphFont"/>
    <w:link w:val="Heading6"/>
    <w:qFormat/>
    <w:rPr>
      <w:rFonts w:asciiTheme="majorHAnsi" w:eastAsiaTheme="majorEastAsia" w:hAnsiTheme="majorHAnsi" w:cstheme="minorBidi"/>
      <w:b/>
      <w:iCs/>
      <w:color w:val="0E1B8D"/>
      <w:sz w:val="24"/>
      <w:szCs w:val="22"/>
      <w:lang w:val="en-GB" w:eastAsia="en-US"/>
    </w:rPr>
  </w:style>
  <w:style w:type="character" w:customStyle="1" w:styleId="Heading7Char">
    <w:name w:val="Heading 7 Char"/>
    <w:aliases w:val="(Not CSW) Char,rp_Heading 7 Char,Appendix Level 1 Char,Heading 71 Char"/>
    <w:basedOn w:val="DefaultParagraphFont"/>
    <w:link w:val="Heading7"/>
    <w:rPr>
      <w:rFonts w:asciiTheme="majorHAnsi" w:eastAsiaTheme="majorEastAsia" w:hAnsiTheme="majorHAnsi" w:cstheme="minorBidi"/>
      <w:b/>
      <w:color w:val="0E1B8D"/>
      <w:sz w:val="24"/>
      <w:szCs w:val="22"/>
      <w:lang w:val="en-GB" w:eastAsia="en-US"/>
    </w:rPr>
  </w:style>
  <w:style w:type="character" w:customStyle="1" w:styleId="Heading8Char">
    <w:name w:val="Heading 8 Char"/>
    <w:aliases w:val="Heading 8(Not CSW) Char,rp_Heading 8 Char,Heading 81 Char"/>
    <w:basedOn w:val="DefaultParagraphFont"/>
    <w:link w:val="Heading8"/>
    <w:qFormat/>
    <w:rPr>
      <w:rFonts w:asciiTheme="majorHAnsi" w:eastAsiaTheme="majorEastAsia" w:hAnsiTheme="majorHAnsi" w:cstheme="minorBidi"/>
      <w:b/>
      <w:iCs/>
      <w:color w:val="0E1B8D"/>
      <w:sz w:val="24"/>
      <w:szCs w:val="21"/>
      <w:lang w:val="en-GB" w:eastAsia="en-US"/>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rPr>
      <w:rFonts w:asciiTheme="majorHAnsi" w:eastAsiaTheme="majorEastAsia" w:hAnsiTheme="majorHAnsi" w:cstheme="minorBidi"/>
      <w:b/>
      <w:color w:val="0E1B8D"/>
      <w:sz w:val="24"/>
      <w:szCs w:val="21"/>
      <w:lang w:val="en-GB" w:eastAsia="en-US"/>
    </w:rPr>
  </w:style>
  <w:style w:type="character" w:customStyle="1" w:styleId="TitleChar">
    <w:name w:val="Title Char"/>
    <w:basedOn w:val="DefaultParagraphFont"/>
    <w:link w:val="Title"/>
    <w:uiPriority w:val="10"/>
    <w:qFormat/>
    <w:rPr>
      <w:rFonts w:asciiTheme="majorHAnsi" w:eastAsiaTheme="majorEastAsia" w:hAnsiTheme="majorHAnsi"/>
      <w:color w:val="0E1B8D"/>
      <w:sz w:val="36"/>
      <w:szCs w:val="56"/>
    </w:rPr>
  </w:style>
  <w:style w:type="character" w:customStyle="1" w:styleId="FooterChar">
    <w:name w:val="Footer Char"/>
    <w:basedOn w:val="DefaultParagraphFont"/>
    <w:link w:val="Footer"/>
    <w:uiPriority w:val="99"/>
  </w:style>
  <w:style w:type="paragraph" w:customStyle="1" w:styleId="Preliminary">
    <w:name w:val="Preliminary"/>
    <w:qFormat/>
    <w:pPr>
      <w:spacing w:line="276" w:lineRule="auto"/>
    </w:pPr>
    <w:rPr>
      <w:sz w:val="18"/>
      <w:szCs w:val="22"/>
      <w:lang w:eastAsia="en-US"/>
    </w:rPr>
  </w:style>
  <w:style w:type="paragraph" w:customStyle="1" w:styleId="TOCHeading1">
    <w:name w:val="TOC Heading1"/>
    <w:basedOn w:val="Heading1"/>
    <w:next w:val="Normal"/>
    <w:uiPriority w:val="39"/>
    <w:unhideWhenUsed/>
    <w:qFormat/>
    <w:pPr>
      <w:keepLines/>
      <w:numPr>
        <w:numId w:val="0"/>
      </w:numPr>
      <w:spacing w:after="0" w:line="259" w:lineRule="auto"/>
      <w:outlineLvl w:val="9"/>
    </w:pPr>
    <w:rPr>
      <w:b w:val="0"/>
      <w:color w:val="365F91" w:themeColor="accent1" w:themeShade="BF"/>
      <w:lang w:val="en-US"/>
    </w:rPr>
  </w:style>
  <w:style w:type="paragraph" w:customStyle="1" w:styleId="PrelimHeading">
    <w:name w:val="Prelim_Heading"/>
    <w:basedOn w:val="Normal"/>
    <w:rPr>
      <w:b/>
      <w:color w:val="0E1B8D"/>
      <w:sz w:val="24"/>
    </w:rPr>
  </w:style>
  <w:style w:type="character" w:customStyle="1" w:styleId="SubtitleChar">
    <w:name w:val="Subtitle Char"/>
    <w:basedOn w:val="DefaultParagraphFont"/>
    <w:link w:val="Subtitle"/>
    <w:uiPriority w:val="10"/>
    <w:rPr>
      <w:rFonts w:asciiTheme="minorHAnsi" w:eastAsiaTheme="minorEastAsia" w:hAnsiTheme="minorHAnsi" w:cstheme="minorBidi"/>
      <w:color w:val="0E1B8D"/>
      <w:sz w:val="28"/>
    </w:rPr>
  </w:style>
  <w:style w:type="paragraph" w:customStyle="1" w:styleId="TableText">
    <w:name w:val="Table Text"/>
    <w:link w:val="TableTextChar"/>
    <w:uiPriority w:val="5"/>
    <w:pPr>
      <w:spacing w:before="60" w:after="60"/>
    </w:pPr>
    <w:rPr>
      <w:rFonts w:asciiTheme="minorHAnsi" w:eastAsia="Times New Roman" w:hAnsiTheme="minorHAnsi" w:cs="Times New Roman"/>
      <w:szCs w:val="22"/>
      <w:lang w:eastAsia="en-US"/>
    </w:rPr>
  </w:style>
  <w:style w:type="character" w:customStyle="1" w:styleId="TableTextChar">
    <w:name w:val="Table Text Char"/>
    <w:basedOn w:val="DefaultParagraphFont"/>
    <w:link w:val="TableText"/>
    <w:uiPriority w:val="5"/>
    <w:qFormat/>
    <w:rPr>
      <w:rFonts w:asciiTheme="minorHAnsi" w:eastAsia="Times New Roman" w:hAnsiTheme="minorHAnsi" w:cs="Times New Roman"/>
      <w:sz w:val="20"/>
    </w:rPr>
  </w:style>
  <w:style w:type="paragraph" w:customStyle="1" w:styleId="AnnexH1">
    <w:name w:val="Annex H1"/>
    <w:basedOn w:val="BodyText"/>
    <w:next w:val="AnnexH2"/>
    <w:link w:val="AnnexH1Char"/>
    <w:qFormat/>
    <w:pPr>
      <w:pageBreakBefore/>
      <w:numPr>
        <w:numId w:val="2"/>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2">
    <w:name w:val="Annex H2"/>
    <w:next w:val="Normal"/>
    <w:link w:val="AnnexH2Char"/>
    <w:qFormat/>
    <w:pPr>
      <w:keepNext/>
      <w:numPr>
        <w:ilvl w:val="1"/>
        <w:numId w:val="2"/>
      </w:numPr>
      <w:spacing w:after="120"/>
      <w:outlineLvl w:val="1"/>
    </w:pPr>
    <w:rPr>
      <w:rFonts w:asciiTheme="minorHAnsi" w:eastAsia="Times New Roman" w:hAnsiTheme="minorHAnsi" w:cs="Times New Roman"/>
      <w:b/>
      <w:color w:val="0E1B8D"/>
      <w:sz w:val="32"/>
      <w:szCs w:val="22"/>
      <w:lang w:val="en-GB" w:eastAsia="en-US"/>
    </w:rPr>
  </w:style>
  <w:style w:type="paragraph" w:customStyle="1" w:styleId="AnnexH3">
    <w:name w:val="Annex H3"/>
    <w:next w:val="Normal"/>
    <w:unhideWhenUsed/>
    <w:qFormat/>
    <w:pPr>
      <w:numPr>
        <w:ilvl w:val="2"/>
        <w:numId w:val="2"/>
      </w:numPr>
      <w:tabs>
        <w:tab w:val="left" w:pos="851"/>
      </w:tabs>
      <w:spacing w:before="60" w:after="120"/>
      <w:outlineLvl w:val="2"/>
    </w:pPr>
    <w:rPr>
      <w:rFonts w:asciiTheme="minorHAnsi" w:eastAsia="Times New Roman" w:hAnsiTheme="minorHAnsi" w:cs="Times New Roman"/>
      <w:b/>
      <w:color w:val="0E1B8D"/>
      <w:sz w:val="28"/>
      <w:szCs w:val="22"/>
      <w:lang w:val="en-GB" w:eastAsia="en-US"/>
    </w:rPr>
  </w:style>
  <w:style w:type="paragraph" w:customStyle="1" w:styleId="AnnexH4">
    <w:name w:val="Annex H4"/>
    <w:next w:val="Normal"/>
    <w:unhideWhenUsed/>
    <w:qFormat/>
    <w:pPr>
      <w:numPr>
        <w:ilvl w:val="3"/>
        <w:numId w:val="2"/>
      </w:numPr>
      <w:spacing w:before="240" w:after="60" w:line="276" w:lineRule="auto"/>
    </w:pPr>
    <w:rPr>
      <w:rFonts w:asciiTheme="minorHAnsi" w:eastAsia="Times New Roman" w:hAnsiTheme="minorHAnsi" w:cs="Times New Roman"/>
      <w:b/>
      <w:color w:val="0E1B8D"/>
      <w:sz w:val="24"/>
      <w:szCs w:val="24"/>
      <w:lang w:val="en-GB" w:eastAsia="en-US"/>
    </w:rPr>
  </w:style>
  <w:style w:type="character" w:customStyle="1" w:styleId="AnnexH2Char">
    <w:name w:val="Annex H2 Char"/>
    <w:basedOn w:val="Heading1Char"/>
    <w:link w:val="AnnexH2"/>
    <w:rPr>
      <w:rFonts w:asciiTheme="minorHAnsi" w:eastAsia="Times New Roman" w:hAnsiTheme="minorHAnsi" w:cs="Times New Roman"/>
      <w:b/>
      <w:iCs w:val="0"/>
      <w:color w:val="0E1B8D"/>
      <w:sz w:val="32"/>
      <w:szCs w:val="22"/>
      <w:lang w:val="en-GB" w:eastAsia="en-US"/>
    </w:rPr>
  </w:style>
  <w:style w:type="paragraph" w:customStyle="1" w:styleId="Comments">
    <w:name w:val="Comments"/>
    <w:uiPriority w:val="12"/>
    <w:qFormat/>
    <w:pPr>
      <w:spacing w:after="120" w:line="276" w:lineRule="auto"/>
    </w:pPr>
    <w:rPr>
      <w:color w:val="4F81BD" w:themeColor="accent1"/>
      <w:sz w:val="22"/>
      <w:szCs w:val="22"/>
      <w:lang w:eastAsia="en-US"/>
    </w:rPr>
  </w:style>
  <w:style w:type="table" w:customStyle="1" w:styleId="SITATable">
    <w:name w:val="SITA Table"/>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auto"/>
          <w:insideV w:val="single" w:sz="4" w:space="0" w:color="auto"/>
        </w:tcBorders>
        <w:shd w:val="clear" w:color="auto" w:fill="DBE5F1" w:themeFill="accent1" w:themeFillTint="33"/>
      </w:tcPr>
    </w:tblStylePr>
  </w:style>
  <w:style w:type="paragraph" w:styleId="NoSpacing">
    <w:name w:val="No Spacing"/>
    <w:link w:val="NoSpacingChar"/>
    <w:uiPriority w:val="11"/>
    <w:qFormat/>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1"/>
    <w:rPr>
      <w:rFonts w:asciiTheme="minorHAnsi" w:eastAsiaTheme="minorEastAsia" w:hAnsiTheme="minorHAnsi" w:cstheme="minorBidi"/>
    </w:rPr>
  </w:style>
  <w:style w:type="paragraph" w:customStyle="1" w:styleId="Cover">
    <w:name w:val="Cover"/>
    <w:basedOn w:val="Title"/>
    <w:link w:val="CoverChar"/>
    <w:uiPriority w:val="11"/>
    <w:unhideWhenUsed/>
    <w:pPr>
      <w:spacing w:before="600" w:after="0"/>
    </w:pPr>
    <w:rPr>
      <w:color w:val="000066"/>
      <w:sz w:val="48"/>
      <w:szCs w:val="48"/>
    </w:rPr>
  </w:style>
  <w:style w:type="character" w:customStyle="1" w:styleId="CoverChar">
    <w:name w:val="Cover Char"/>
    <w:basedOn w:val="TitleChar"/>
    <w:link w:val="Cover"/>
    <w:uiPriority w:val="11"/>
    <w:rPr>
      <w:rFonts w:asciiTheme="majorHAnsi" w:eastAsiaTheme="majorEastAsia" w:hAnsiTheme="majorHAnsi"/>
      <w:color w:val="000066"/>
      <w:sz w:val="48"/>
      <w:szCs w:val="4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nnexH1Char">
    <w:name w:val="Annex H1 Char"/>
    <w:basedOn w:val="DefaultParagraphFont"/>
    <w:link w:val="AnnexH1"/>
    <w:rPr>
      <w:rFonts w:asciiTheme="minorHAnsi" w:eastAsiaTheme="majorEastAsia" w:hAnsiTheme="minorHAnsi" w:cs="Times New Roman"/>
      <w:b/>
      <w:color w:val="0E1B8D"/>
      <w:sz w:val="36"/>
      <w:szCs w:val="40"/>
      <w:lang w:eastAsia="en-US"/>
    </w:rPr>
  </w:style>
  <w:style w:type="character" w:customStyle="1" w:styleId="BodyTextChar">
    <w:name w:val="Body Text Char"/>
    <w:basedOn w:val="DefaultParagraphFont"/>
    <w:link w:val="BodyText"/>
    <w:uiPriority w:val="99"/>
    <w:semiHidden/>
  </w:style>
  <w:style w:type="character" w:customStyle="1" w:styleId="FootnoteTextChar">
    <w:name w:val="Footnote Text Char"/>
    <w:basedOn w:val="DefaultParagraphFont"/>
    <w:link w:val="FootnoteText"/>
    <w:uiPriority w:val="99"/>
    <w:semiHidden/>
    <w:rPr>
      <w:sz w:val="20"/>
      <w:szCs w:val="20"/>
    </w:rPr>
  </w:style>
  <w:style w:type="character" w:customStyle="1" w:styleId="IntenseEmphasis1">
    <w:name w:val="Intense Emphasis1"/>
    <w:basedOn w:val="DefaultParagraphFont"/>
    <w:uiPriority w:val="21"/>
    <w:qFormat/>
    <w:rPr>
      <w:b/>
      <w:i/>
      <w:iCs/>
    </w:rPr>
  </w:style>
  <w:style w:type="paragraph" w:styleId="IntenseQuote">
    <w:name w:val="Intense Quote"/>
    <w:basedOn w:val="BlockText"/>
    <w:next w:val="Normal"/>
    <w:link w:val="IntenseQuoteChar"/>
    <w:uiPriority w:val="30"/>
    <w:qFormat/>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rPr>
  </w:style>
  <w:style w:type="character" w:customStyle="1" w:styleId="IntenseReference1">
    <w:name w:val="Intense Reference1"/>
    <w:basedOn w:val="DefaultParagraphFont"/>
    <w:uiPriority w:val="32"/>
    <w:qFormat/>
    <w:rPr>
      <w:b/>
      <w:bCs/>
      <w:smallCaps/>
      <w:color w:val="auto"/>
      <w:spacing w:val="5"/>
    </w:rPr>
  </w:style>
  <w:style w:type="paragraph" w:customStyle="1" w:styleId="SITARegistration">
    <w:name w:val="SITA_Registration"/>
    <w:uiPriority w:val="10"/>
    <w:qFormat/>
    <w:pPr>
      <w:spacing w:after="120" w:line="276" w:lineRule="auto"/>
      <w:jc w:val="center"/>
    </w:pPr>
    <w:rPr>
      <w:color w:val="808080" w:themeColor="background1" w:themeShade="80"/>
      <w:sz w:val="14"/>
      <w:szCs w:val="16"/>
      <w:lang w:eastAsia="en-US"/>
    </w:rPr>
  </w:style>
  <w:style w:type="character" w:customStyle="1" w:styleId="SubtleReference1">
    <w:name w:val="Subtle Reference1"/>
    <w:basedOn w:val="DefaultParagraphFont"/>
    <w:uiPriority w:val="31"/>
    <w:qFormat/>
    <w:rPr>
      <w:smallCaps/>
      <w:color w:val="595959" w:themeColor="text1" w:themeTint="A6"/>
    </w:rPr>
  </w:style>
  <w:style w:type="character" w:styleId="PlaceholderText">
    <w:name w:val="Placeholder Text"/>
    <w:basedOn w:val="DefaultParagraphFont"/>
    <w:uiPriority w:val="99"/>
    <w:semiHidden/>
    <w:qFormat/>
    <w:rPr>
      <w:color w:val="808080"/>
    </w:rPr>
  </w:style>
  <w:style w:type="paragraph" w:customStyle="1" w:styleId="Figure">
    <w:name w:val="Figure"/>
    <w:next w:val="Caption"/>
    <w:link w:val="FigureChar"/>
    <w:qFormat/>
    <w:pPr>
      <w:keepNext/>
      <w:spacing w:after="240"/>
      <w:jc w:val="center"/>
    </w:pPr>
    <w:rPr>
      <w:sz w:val="22"/>
      <w:szCs w:val="22"/>
      <w:lang w:eastAsia="en-GB"/>
    </w:rPr>
  </w:style>
  <w:style w:type="paragraph" w:customStyle="1" w:styleId="TableHeading">
    <w:name w:val="Table Heading"/>
    <w:basedOn w:val="TableText"/>
    <w:link w:val="TableHeadingChar"/>
    <w:qFormat/>
    <w:rPr>
      <w:b/>
      <w:color w:val="0E1B8D"/>
    </w:rPr>
  </w:style>
  <w:style w:type="character" w:customStyle="1" w:styleId="FigureChar">
    <w:name w:val="Figure Char"/>
    <w:basedOn w:val="DefaultParagraphFont"/>
    <w:link w:val="Figure"/>
    <w:qFormat/>
    <w:rPr>
      <w:lang w:eastAsia="en-GB"/>
    </w:rPr>
  </w:style>
  <w:style w:type="character" w:customStyle="1" w:styleId="TableHeadingChar">
    <w:name w:val="Table Heading Char"/>
    <w:basedOn w:val="TableTextChar"/>
    <w:link w:val="TableHeading"/>
    <w:qFormat/>
    <w:rPr>
      <w:rFonts w:asciiTheme="minorHAnsi" w:eastAsia="Times New Roman" w:hAnsiTheme="minorHAnsi" w:cs="Times New Roman"/>
      <w:b/>
      <w:color w:val="0E1B8D"/>
      <w:sz w:val="20"/>
    </w:rPr>
  </w:style>
  <w:style w:type="paragraph" w:customStyle="1" w:styleId="Specification">
    <w:name w:val="Specification"/>
    <w:basedOn w:val="ListParagraph"/>
    <w:qFormat/>
    <w:pPr>
      <w:spacing w:after="120" w:line="240" w:lineRule="auto"/>
      <w:jc w:val="left"/>
      <w:outlineLvl w:val="9"/>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Pr>
      <w:rFonts w:asciiTheme="minorHAnsi" w:hAnsiTheme="minorHAnsi"/>
    </w:rPr>
  </w:style>
  <w:style w:type="paragraph" w:customStyle="1" w:styleId="Revision1">
    <w:name w:val="Revision1"/>
    <w:hidden/>
    <w:uiPriority w:val="99"/>
    <w:semiHidden/>
    <w:rPr>
      <w:sz w:val="22"/>
      <w:szCs w:val="22"/>
      <w:lang w:eastAsia="en-US"/>
    </w:rPr>
  </w:style>
  <w:style w:type="table" w:customStyle="1" w:styleId="TableGrid1">
    <w:name w:val="Table Grid1"/>
    <w:basedOn w:val="TableNormal"/>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pPr>
      <w:widowControl w:val="0"/>
      <w:autoSpaceDE w:val="0"/>
      <w:autoSpaceDN w:val="0"/>
      <w:spacing w:before="1" w:after="0" w:line="240" w:lineRule="auto"/>
      <w:ind w:left="105"/>
      <w:jc w:val="left"/>
    </w:pPr>
    <w:rPr>
      <w:rFonts w:eastAsia="Calibri Light" w:cs="Calibri Light"/>
      <w:lang w:val="en-US"/>
    </w:rPr>
  </w:style>
  <w:style w:type="paragraph" w:styleId="Revision">
    <w:name w:val="Revision"/>
    <w:hidden/>
    <w:uiPriority w:val="99"/>
    <w:unhideWhenUsed/>
    <w:rsid w:val="003A786A"/>
    <w:rPr>
      <w:sz w:val="22"/>
      <w:szCs w:val="22"/>
      <w:lang w:eastAsia="en-US"/>
    </w:rPr>
  </w:style>
  <w:style w:type="table" w:customStyle="1" w:styleId="TableGrid3">
    <w:name w:val="Table Grid3"/>
    <w:basedOn w:val="TableNormal"/>
    <w:next w:val="TableGrid"/>
    <w:rsid w:val="00935E13"/>
    <w:rPr>
      <w:rFonts w:eastAsia="Calibri Light"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F2221"/>
    <w:rPr>
      <w:rFonts w:asciiTheme="minorHAnsi" w:eastAsiaTheme="minorEastAsia" w:hAnsiTheme="minorHAnsi" w:cstheme="minorBidi"/>
      <w:kern w:val="2"/>
      <w:sz w:val="24"/>
      <w:szCs w:val="24"/>
      <w:lang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78720">
      <w:bodyDiv w:val="1"/>
      <w:marLeft w:val="0"/>
      <w:marRight w:val="0"/>
      <w:marTop w:val="0"/>
      <w:marBottom w:val="0"/>
      <w:divBdr>
        <w:top w:val="none" w:sz="0" w:space="0" w:color="auto"/>
        <w:left w:val="none" w:sz="0" w:space="0" w:color="auto"/>
        <w:bottom w:val="none" w:sz="0" w:space="0" w:color="auto"/>
        <w:right w:val="none" w:sz="0" w:space="0" w:color="auto"/>
      </w:divBdr>
    </w:div>
    <w:div w:id="690491354">
      <w:bodyDiv w:val="1"/>
      <w:marLeft w:val="0"/>
      <w:marRight w:val="0"/>
      <w:marTop w:val="0"/>
      <w:marBottom w:val="0"/>
      <w:divBdr>
        <w:top w:val="none" w:sz="0" w:space="0" w:color="auto"/>
        <w:left w:val="none" w:sz="0" w:space="0" w:color="auto"/>
        <w:bottom w:val="none" w:sz="0" w:space="0" w:color="auto"/>
        <w:right w:val="none" w:sz="0" w:space="0" w:color="auto"/>
      </w:divBdr>
    </w:div>
    <w:div w:id="1148396776">
      <w:bodyDiv w:val="1"/>
      <w:marLeft w:val="0"/>
      <w:marRight w:val="0"/>
      <w:marTop w:val="0"/>
      <w:marBottom w:val="0"/>
      <w:divBdr>
        <w:top w:val="none" w:sz="0" w:space="0" w:color="auto"/>
        <w:left w:val="none" w:sz="0" w:space="0" w:color="auto"/>
        <w:bottom w:val="none" w:sz="0" w:space="0" w:color="auto"/>
        <w:right w:val="none" w:sz="0" w:space="0" w:color="auto"/>
      </w:divBdr>
    </w:div>
    <w:div w:id="1264151069">
      <w:bodyDiv w:val="1"/>
      <w:marLeft w:val="0"/>
      <w:marRight w:val="0"/>
      <w:marTop w:val="0"/>
      <w:marBottom w:val="0"/>
      <w:divBdr>
        <w:top w:val="none" w:sz="0" w:space="0" w:color="auto"/>
        <w:left w:val="none" w:sz="0" w:space="0" w:color="auto"/>
        <w:bottom w:val="none" w:sz="0" w:space="0" w:color="auto"/>
        <w:right w:val="none" w:sz="0" w:space="0" w:color="auto"/>
      </w:divBdr>
    </w:div>
    <w:div w:id="1292324662">
      <w:bodyDiv w:val="1"/>
      <w:marLeft w:val="0"/>
      <w:marRight w:val="0"/>
      <w:marTop w:val="0"/>
      <w:marBottom w:val="0"/>
      <w:divBdr>
        <w:top w:val="none" w:sz="0" w:space="0" w:color="auto"/>
        <w:left w:val="none" w:sz="0" w:space="0" w:color="auto"/>
        <w:bottom w:val="none" w:sz="0" w:space="0" w:color="auto"/>
        <w:right w:val="none" w:sz="0" w:space="0" w:color="auto"/>
      </w:divBdr>
    </w:div>
    <w:div w:id="1332104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ams.microsoft.com/l/meetup-join/19%3ameeting_OTY3NTdjZDItZjM4Yy00MGY2LThkMmEtNWM1OTYyMDBkMzcw%40thread.v2/0?context=%7b%22Tid%22%3a%2248cd5724-88c7-48c3-a665-945436edd7fc%22%2c%22Oid%22%3a%229f2a0ada-8047-4271-bac7-992890b673ce%22%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elam\Desktop\Natally\Annexure%201%20Bid%20Specification%20template%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54F3BC96584273A0D396625CF9EF01"/>
        <w:category>
          <w:name w:val="General"/>
          <w:gallery w:val="placeholder"/>
        </w:category>
        <w:types>
          <w:type w:val="bbPlcHdr"/>
        </w:types>
        <w:behaviors>
          <w:behavior w:val="content"/>
        </w:behaviors>
        <w:guid w:val="{9A336D03-4819-47B6-9E0B-C4B4F31CEC0C}"/>
      </w:docPartPr>
      <w:docPartBody>
        <w:p w:rsidR="0071277C" w:rsidRDefault="00D32DB9">
          <w:pPr>
            <w:pStyle w:val="1354F3BC96584273A0D396625CF9EF01"/>
          </w:pPr>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7B03" w:rsidRDefault="00DC7B03">
      <w:pPr>
        <w:spacing w:line="240" w:lineRule="auto"/>
      </w:pPr>
      <w:r>
        <w:separator/>
      </w:r>
    </w:p>
  </w:endnote>
  <w:endnote w:type="continuationSeparator" w:id="0">
    <w:p w:rsidR="00DC7B03" w:rsidRDefault="00DC7B0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7B03" w:rsidRDefault="00DC7B03">
      <w:pPr>
        <w:spacing w:after="0"/>
      </w:pPr>
      <w:r>
        <w:separator/>
      </w:r>
    </w:p>
  </w:footnote>
  <w:footnote w:type="continuationSeparator" w:id="0">
    <w:p w:rsidR="00DC7B03" w:rsidRDefault="00DC7B0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78E"/>
    <w:rsid w:val="00226431"/>
    <w:rsid w:val="002A3ED5"/>
    <w:rsid w:val="00437112"/>
    <w:rsid w:val="00512CA5"/>
    <w:rsid w:val="00531528"/>
    <w:rsid w:val="00533EB6"/>
    <w:rsid w:val="00573AA7"/>
    <w:rsid w:val="005939BA"/>
    <w:rsid w:val="00630B2C"/>
    <w:rsid w:val="00656548"/>
    <w:rsid w:val="006D2D79"/>
    <w:rsid w:val="0071277C"/>
    <w:rsid w:val="00881256"/>
    <w:rsid w:val="00904187"/>
    <w:rsid w:val="00922021"/>
    <w:rsid w:val="00930774"/>
    <w:rsid w:val="00935C62"/>
    <w:rsid w:val="00941C37"/>
    <w:rsid w:val="009668CE"/>
    <w:rsid w:val="00B4278E"/>
    <w:rsid w:val="00B951B7"/>
    <w:rsid w:val="00CE7301"/>
    <w:rsid w:val="00D32DB9"/>
    <w:rsid w:val="00D57367"/>
    <w:rsid w:val="00DC7B03"/>
    <w:rsid w:val="00E5640B"/>
    <w:rsid w:val="00E621E3"/>
    <w:rsid w:val="00E7318A"/>
    <w:rsid w:val="00E96392"/>
    <w:rsid w:val="00F3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54F3BC96584273A0D396625CF9EF01">
    <w:name w:val="1354F3BC96584273A0D396625CF9EF01"/>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E179FCC-6609-484E-92FD-B6E5020F45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Template>
  <TotalTime>6</TotalTime>
  <Pages>21</Pages>
  <Words>6634</Words>
  <Characters>37819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Mosela Motloung</dc:creator>
  <cp:lastModifiedBy>Konwaba Mbolekwa</cp:lastModifiedBy>
  <cp:revision>6</cp:revision>
  <cp:lastPrinted>2017-11-22T15:08:00Z</cp:lastPrinted>
  <dcterms:created xsi:type="dcterms:W3CDTF">2024-07-11T10:34:00Z</dcterms:created>
  <dcterms:modified xsi:type="dcterms:W3CDTF">2024-07-15T08:04:00Z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E1E884749E0D42658E15A737118EA595_12</vt:lpwstr>
  </property>
</Properties>
</file>