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9C9C" w14:textId="77777777" w:rsidR="00304117" w:rsidRPr="0063746A" w:rsidRDefault="0063746A" w:rsidP="00304117">
      <w:pPr>
        <w:spacing w:before="60" w:after="60" w:line="276" w:lineRule="auto"/>
        <w:rPr>
          <w:rFonts w:ascii="Arial" w:hAnsi="Arial" w:cs="Arial"/>
          <w:b/>
          <w:color w:val="FF0000"/>
          <w:sz w:val="22"/>
        </w:rPr>
      </w:pPr>
      <w:r w:rsidRPr="0063746A">
        <w:rPr>
          <w:rFonts w:ascii="Arial" w:hAnsi="Arial" w:cs="Arial"/>
          <w:b/>
          <w:color w:val="FF0000"/>
          <w:sz w:val="22"/>
        </w:rPr>
        <w:t xml:space="preserve">                                                                </w:t>
      </w:r>
    </w:p>
    <w:tbl>
      <w:tblPr>
        <w:tblStyle w:val="TableGrid"/>
        <w:tblW w:w="8926" w:type="dxa"/>
        <w:tblLook w:val="04A0" w:firstRow="1" w:lastRow="0" w:firstColumn="1" w:lastColumn="0" w:noHBand="0" w:noVBand="1"/>
      </w:tblPr>
      <w:tblGrid>
        <w:gridCol w:w="3369"/>
        <w:gridCol w:w="5557"/>
      </w:tblGrid>
      <w:tr w:rsidR="00304117" w:rsidRPr="00A919B1" w14:paraId="2AF6EFB3" w14:textId="77777777" w:rsidTr="00304117">
        <w:tc>
          <w:tcPr>
            <w:tcW w:w="3369" w:type="dxa"/>
          </w:tcPr>
          <w:p w14:paraId="2FBAEF5B"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Business Unit</w:t>
            </w:r>
          </w:p>
        </w:tc>
        <w:tc>
          <w:tcPr>
            <w:tcW w:w="5557" w:type="dxa"/>
          </w:tcPr>
          <w:p w14:paraId="317D3214" w14:textId="3FBF597D" w:rsidR="00304117" w:rsidRPr="00A919B1" w:rsidRDefault="008C6A58" w:rsidP="00304117">
            <w:pPr>
              <w:spacing w:before="60" w:after="60" w:line="276" w:lineRule="auto"/>
              <w:rPr>
                <w:rFonts w:ascii="Arial" w:hAnsi="Arial" w:cs="Arial"/>
                <w:sz w:val="22"/>
              </w:rPr>
            </w:pPr>
            <w:r>
              <w:rPr>
                <w:rFonts w:ascii="Arial" w:hAnsi="Arial" w:cs="Arial"/>
                <w:sz w:val="22"/>
              </w:rPr>
              <w:t>Generation</w:t>
            </w:r>
            <w:r w:rsidR="00A90AEA">
              <w:rPr>
                <w:rFonts w:ascii="Arial" w:hAnsi="Arial" w:cs="Arial"/>
                <w:sz w:val="22"/>
              </w:rPr>
              <w:t xml:space="preserve"> (Ma</w:t>
            </w:r>
            <w:r w:rsidR="008B58BA">
              <w:rPr>
                <w:rFonts w:ascii="Arial" w:hAnsi="Arial" w:cs="Arial"/>
                <w:sz w:val="22"/>
              </w:rPr>
              <w:t>juba</w:t>
            </w:r>
            <w:r w:rsidR="0064691F">
              <w:rPr>
                <w:rFonts w:ascii="Arial" w:hAnsi="Arial" w:cs="Arial"/>
                <w:sz w:val="22"/>
              </w:rPr>
              <w:t xml:space="preserve"> </w:t>
            </w:r>
            <w:r>
              <w:rPr>
                <w:rFonts w:ascii="Arial" w:hAnsi="Arial" w:cs="Arial"/>
                <w:sz w:val="22"/>
              </w:rPr>
              <w:t>Power Station</w:t>
            </w:r>
            <w:r w:rsidR="001829A7">
              <w:rPr>
                <w:rFonts w:ascii="Arial" w:hAnsi="Arial" w:cs="Arial"/>
                <w:sz w:val="22"/>
              </w:rPr>
              <w:t>)</w:t>
            </w:r>
          </w:p>
        </w:tc>
      </w:tr>
      <w:tr w:rsidR="00304117" w:rsidRPr="00A919B1" w14:paraId="24793E9D" w14:textId="77777777" w:rsidTr="00304117">
        <w:tc>
          <w:tcPr>
            <w:tcW w:w="3369" w:type="dxa"/>
          </w:tcPr>
          <w:p w14:paraId="5E5675F9"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Description/ Scope of Work</w:t>
            </w:r>
          </w:p>
        </w:tc>
        <w:tc>
          <w:tcPr>
            <w:tcW w:w="5557" w:type="dxa"/>
          </w:tcPr>
          <w:p w14:paraId="35F8CA64" w14:textId="288C4A1E" w:rsidR="00304117" w:rsidRPr="00A919B1" w:rsidRDefault="000631CC" w:rsidP="00304117">
            <w:pPr>
              <w:spacing w:before="60" w:after="60" w:line="276" w:lineRule="auto"/>
              <w:rPr>
                <w:rFonts w:ascii="Arial" w:hAnsi="Arial" w:cs="Arial"/>
                <w:sz w:val="22"/>
              </w:rPr>
            </w:pPr>
            <w:r w:rsidRPr="000631CC">
              <w:rPr>
                <w:rFonts w:ascii="Arial" w:hAnsi="Arial" w:cs="Arial"/>
                <w:sz w:val="22"/>
              </w:rPr>
              <w:t>The supply and delivery of Personnel Protective Equipment</w:t>
            </w:r>
          </w:p>
        </w:tc>
      </w:tr>
      <w:tr w:rsidR="00304117" w:rsidRPr="00A919B1" w14:paraId="2B80DDE1" w14:textId="77777777" w:rsidTr="00304117">
        <w:tc>
          <w:tcPr>
            <w:tcW w:w="3369" w:type="dxa"/>
          </w:tcPr>
          <w:p w14:paraId="5A63D02B" w14:textId="77777777" w:rsidR="00304117" w:rsidRPr="00A919B1" w:rsidRDefault="00304117" w:rsidP="00304117">
            <w:pPr>
              <w:spacing w:before="60" w:after="60" w:line="276" w:lineRule="auto"/>
              <w:rPr>
                <w:rFonts w:ascii="Arial" w:hAnsi="Arial" w:cs="Arial"/>
                <w:b/>
                <w:sz w:val="22"/>
              </w:rPr>
            </w:pPr>
            <w:r w:rsidRPr="00A919B1">
              <w:rPr>
                <w:rFonts w:ascii="Arial" w:hAnsi="Arial" w:cs="Arial"/>
                <w:b/>
                <w:sz w:val="22"/>
              </w:rPr>
              <w:t>Duration of the Project</w:t>
            </w:r>
          </w:p>
        </w:tc>
        <w:tc>
          <w:tcPr>
            <w:tcW w:w="5557" w:type="dxa"/>
          </w:tcPr>
          <w:p w14:paraId="4235F83C" w14:textId="0C6552B5" w:rsidR="00304117" w:rsidRPr="00A919B1" w:rsidRDefault="006E6575" w:rsidP="00304117">
            <w:pPr>
              <w:spacing w:before="60" w:after="60" w:line="276" w:lineRule="auto"/>
              <w:rPr>
                <w:rFonts w:ascii="Arial" w:hAnsi="Arial" w:cs="Arial"/>
                <w:sz w:val="22"/>
              </w:rPr>
            </w:pPr>
            <w:r>
              <w:rPr>
                <w:rFonts w:ascii="Arial" w:hAnsi="Arial" w:cs="Arial"/>
                <w:sz w:val="22"/>
              </w:rPr>
              <w:t>60 months</w:t>
            </w:r>
          </w:p>
        </w:tc>
      </w:tr>
    </w:tbl>
    <w:p w14:paraId="6DE73B04" w14:textId="77777777" w:rsidR="003B055B" w:rsidRDefault="003B055B" w:rsidP="008D2E40">
      <w:pPr>
        <w:spacing w:before="60" w:after="60"/>
        <w:rPr>
          <w:rFonts w:ascii="Arial" w:hAnsi="Arial" w:cs="Arial"/>
          <w:b/>
          <w:u w:val="single"/>
        </w:rPr>
      </w:pPr>
    </w:p>
    <w:p w14:paraId="4CBCD488" w14:textId="3D89E371" w:rsidR="008D2E40" w:rsidRDefault="003B055B" w:rsidP="008D2E40">
      <w:pPr>
        <w:spacing w:before="60" w:after="60"/>
        <w:rPr>
          <w:rFonts w:ascii="Arial" w:hAnsi="Arial" w:cs="Arial"/>
          <w:b/>
          <w:u w:val="single"/>
        </w:rPr>
      </w:pPr>
      <w:r>
        <w:rPr>
          <w:rFonts w:ascii="Arial" w:hAnsi="Arial" w:cs="Arial"/>
          <w:b/>
          <w:u w:val="single"/>
        </w:rPr>
        <w:t>S</w:t>
      </w:r>
      <w:r w:rsidR="008D2E40" w:rsidRPr="00F80733">
        <w:rPr>
          <w:rFonts w:ascii="Arial" w:hAnsi="Arial" w:cs="Arial"/>
          <w:b/>
          <w:u w:val="single"/>
        </w:rPr>
        <w:t>ection 1: Specific Goals</w:t>
      </w:r>
    </w:p>
    <w:p w14:paraId="18B3CFF3" w14:textId="77777777" w:rsidR="003B055B" w:rsidRPr="00F80733" w:rsidRDefault="003B055B" w:rsidP="008D2E40">
      <w:pPr>
        <w:spacing w:before="60" w:after="60"/>
        <w:rPr>
          <w:rFonts w:ascii="Arial" w:hAnsi="Arial" w:cs="Arial"/>
          <w:b/>
          <w:u w:val="single"/>
        </w:rPr>
      </w:pPr>
    </w:p>
    <w:p w14:paraId="61BB27B9" w14:textId="0758087E" w:rsidR="00D5281D" w:rsidRPr="003F64F6"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A maximum of 10/20 points may be awarded to a tenderer for the specific goal specified for the</w:t>
      </w:r>
    </w:p>
    <w:p w14:paraId="63EFC829" w14:textId="77777777" w:rsidR="00D5281D" w:rsidRPr="003F64F6"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tender. The points scored for the specific goal must be added to the points scored for price and the</w:t>
      </w:r>
    </w:p>
    <w:p w14:paraId="00DEB294" w14:textId="77777777" w:rsidR="00D5281D" w:rsidRPr="003F64F6"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total must be rounded off to the nearest two decimal places. Subject to section 2(1)(f) of the</w:t>
      </w:r>
    </w:p>
    <w:p w14:paraId="7A757788" w14:textId="77777777" w:rsidR="00D5281D" w:rsidRPr="003F64F6"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Preferential Procurement Policy Framework Act, the contract must be awarded to the tenderer</w:t>
      </w:r>
    </w:p>
    <w:p w14:paraId="0834FA26" w14:textId="07779D37" w:rsidR="00D5281D" w:rsidRDefault="00D5281D" w:rsidP="00D5281D">
      <w:pPr>
        <w:spacing w:after="200" w:line="276" w:lineRule="auto"/>
        <w:contextualSpacing/>
        <w:jc w:val="both"/>
        <w:rPr>
          <w:rFonts w:ascii="Arial" w:hAnsi="Arial" w:cs="Arial"/>
          <w:bCs/>
          <w:sz w:val="20"/>
          <w:lang w:val="en-ZA"/>
        </w:rPr>
      </w:pPr>
      <w:r w:rsidRPr="003F64F6">
        <w:rPr>
          <w:rFonts w:ascii="Arial" w:hAnsi="Arial" w:cs="Arial"/>
          <w:bCs/>
          <w:sz w:val="20"/>
          <w:lang w:val="en-ZA"/>
        </w:rPr>
        <w:t>scoring the highest points.</w:t>
      </w:r>
    </w:p>
    <w:p w14:paraId="3C042ACA" w14:textId="77777777" w:rsidR="008D2E40" w:rsidRDefault="008D2E40" w:rsidP="008D2E40">
      <w:pPr>
        <w:spacing w:after="200" w:line="276" w:lineRule="auto"/>
        <w:contextualSpacing/>
        <w:jc w:val="both"/>
        <w:rPr>
          <w:rFonts w:ascii="Arial" w:hAnsi="Arial" w:cs="Arial"/>
          <w:bCs/>
          <w:sz w:val="20"/>
          <w:lang w:val="en-ZA"/>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2700"/>
        <w:gridCol w:w="2520"/>
      </w:tblGrid>
      <w:tr w:rsidR="00D33E30" w:rsidRPr="00D33E30" w14:paraId="0315A454" w14:textId="77777777" w:rsidTr="00D33E30">
        <w:trPr>
          <w:trHeight w:val="863"/>
        </w:trPr>
        <w:tc>
          <w:tcPr>
            <w:tcW w:w="3675" w:type="dxa"/>
            <w:shd w:val="clear" w:color="auto" w:fill="C00000"/>
            <w:vAlign w:val="center"/>
          </w:tcPr>
          <w:p w14:paraId="6D35E75F" w14:textId="77777777" w:rsidR="00D33E30" w:rsidRPr="00D33E30" w:rsidRDefault="00D33E30" w:rsidP="00D33E30">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47FA2A90" w14:textId="77777777" w:rsidR="00D33E30" w:rsidRPr="00D33E30" w:rsidRDefault="00D33E30" w:rsidP="00D33E3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33FA450" w14:textId="77777777" w:rsidR="00D33E30" w:rsidRPr="00D33E30" w:rsidRDefault="00D33E30" w:rsidP="00D33E30">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1B8F6E47" w14:textId="77777777" w:rsidR="00D33E30" w:rsidRPr="00D33E30" w:rsidRDefault="00D33E30" w:rsidP="00D33E3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8864BC5" w14:textId="77777777" w:rsidR="00D33E30" w:rsidRPr="00D33E30" w:rsidRDefault="00D33E30" w:rsidP="00D33E30">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D33E30" w:rsidRPr="00D33E30" w14:paraId="27CE4800" w14:textId="77777777" w:rsidTr="00D33E30">
        <w:trPr>
          <w:trHeight w:val="317"/>
        </w:trPr>
        <w:tc>
          <w:tcPr>
            <w:tcW w:w="3675" w:type="dxa"/>
            <w:shd w:val="clear" w:color="auto" w:fill="auto"/>
          </w:tcPr>
          <w:p w14:paraId="704DE33C"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771361E4"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3D9F6ABA"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D33E30" w:rsidRPr="00D33E30" w14:paraId="6CC76469" w14:textId="77777777" w:rsidTr="00D33E30">
        <w:trPr>
          <w:trHeight w:val="317"/>
        </w:trPr>
        <w:tc>
          <w:tcPr>
            <w:tcW w:w="3675" w:type="dxa"/>
            <w:shd w:val="clear" w:color="auto" w:fill="auto"/>
          </w:tcPr>
          <w:p w14:paraId="2FACE717"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172A34F3"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493E0EB7"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D33E30" w:rsidRPr="00D33E30" w14:paraId="30E35B6D" w14:textId="77777777" w:rsidTr="00D33E30">
        <w:trPr>
          <w:trHeight w:val="317"/>
        </w:trPr>
        <w:tc>
          <w:tcPr>
            <w:tcW w:w="3675" w:type="dxa"/>
            <w:shd w:val="clear" w:color="auto" w:fill="auto"/>
          </w:tcPr>
          <w:p w14:paraId="3863F97F"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6E673F98"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FFAED8"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D33E30" w:rsidRPr="00D33E30" w14:paraId="5E6F2535" w14:textId="77777777" w:rsidTr="00D33E30">
        <w:trPr>
          <w:trHeight w:val="317"/>
        </w:trPr>
        <w:tc>
          <w:tcPr>
            <w:tcW w:w="3675" w:type="dxa"/>
            <w:shd w:val="clear" w:color="auto" w:fill="auto"/>
          </w:tcPr>
          <w:p w14:paraId="1D373EF7"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6B773F74" w14:textId="77777777" w:rsidR="00D33E30" w:rsidRPr="00D33E30" w:rsidRDefault="00D33E30" w:rsidP="00D33E30">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58CA280B"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D33E30" w:rsidRPr="00D33E30" w14:paraId="012A970F" w14:textId="77777777" w:rsidTr="00D33E30">
        <w:trPr>
          <w:trHeight w:val="317"/>
        </w:trPr>
        <w:tc>
          <w:tcPr>
            <w:tcW w:w="3675" w:type="dxa"/>
            <w:shd w:val="clear" w:color="auto" w:fill="auto"/>
          </w:tcPr>
          <w:p w14:paraId="68F33BB7"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5646D709"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76B46243"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D33E30" w:rsidRPr="00D33E30" w14:paraId="77253F2C" w14:textId="77777777" w:rsidTr="00D33E30">
        <w:trPr>
          <w:trHeight w:val="317"/>
        </w:trPr>
        <w:tc>
          <w:tcPr>
            <w:tcW w:w="3675" w:type="dxa"/>
            <w:shd w:val="clear" w:color="auto" w:fill="auto"/>
          </w:tcPr>
          <w:p w14:paraId="59F1D185"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2CFFC891"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6BBE1B2B"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D33E30" w:rsidRPr="00D33E30" w14:paraId="0E7637CF" w14:textId="77777777" w:rsidTr="00D33E30">
        <w:trPr>
          <w:trHeight w:val="317"/>
        </w:trPr>
        <w:tc>
          <w:tcPr>
            <w:tcW w:w="3675" w:type="dxa"/>
            <w:shd w:val="clear" w:color="auto" w:fill="auto"/>
          </w:tcPr>
          <w:p w14:paraId="6AF5733E"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6552FFE4"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3C2FBD19"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D33E30" w:rsidRPr="00D33E30" w14:paraId="5814818E" w14:textId="77777777" w:rsidTr="00D33E30">
        <w:trPr>
          <w:trHeight w:val="317"/>
        </w:trPr>
        <w:tc>
          <w:tcPr>
            <w:tcW w:w="3675" w:type="dxa"/>
            <w:shd w:val="clear" w:color="auto" w:fill="auto"/>
          </w:tcPr>
          <w:p w14:paraId="6847BDDD"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234BB3EF"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2A4299D6"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D33E30" w:rsidRPr="00D33E30" w14:paraId="74182B23" w14:textId="77777777" w:rsidTr="00D33E30">
        <w:trPr>
          <w:trHeight w:val="317"/>
        </w:trPr>
        <w:tc>
          <w:tcPr>
            <w:tcW w:w="3675" w:type="dxa"/>
            <w:shd w:val="clear" w:color="auto" w:fill="auto"/>
          </w:tcPr>
          <w:p w14:paraId="25BB041F"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1299E372"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4B73926" w14:textId="77777777" w:rsidR="00D33E30" w:rsidRPr="00D33E30" w:rsidRDefault="00D33E30" w:rsidP="00D33E3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4C7EDFF5" w14:textId="77777777" w:rsidR="008D2E40" w:rsidRDefault="008D2E40" w:rsidP="008D2E40">
      <w:pPr>
        <w:spacing w:after="200" w:line="276" w:lineRule="auto"/>
        <w:contextualSpacing/>
        <w:jc w:val="both"/>
        <w:rPr>
          <w:rFonts w:ascii="Arial" w:hAnsi="Arial" w:cs="Arial"/>
          <w:bCs/>
          <w:sz w:val="20"/>
          <w:lang w:val="en-ZA"/>
        </w:rPr>
      </w:pPr>
    </w:p>
    <w:p w14:paraId="3A629B7C" w14:textId="77777777" w:rsidR="008D2E40" w:rsidRPr="007133D2" w:rsidRDefault="008D2E40" w:rsidP="008D2E40">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73F3C9F2" w14:textId="77777777" w:rsidR="008D2E40" w:rsidRDefault="008D2E40" w:rsidP="008D2E40">
      <w:pPr>
        <w:spacing w:after="200" w:line="276" w:lineRule="auto"/>
        <w:contextualSpacing/>
        <w:jc w:val="both"/>
        <w:rPr>
          <w:rFonts w:ascii="Arial" w:hAnsi="Arial" w:cs="Arial"/>
          <w:bCs/>
          <w:sz w:val="20"/>
          <w:lang w:val="en-ZA"/>
        </w:rPr>
      </w:pPr>
    </w:p>
    <w:p w14:paraId="6A974A50" w14:textId="77777777" w:rsidR="008D2E40" w:rsidRPr="007133D2" w:rsidRDefault="008D2E40" w:rsidP="008D2E40">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490AD393" w14:textId="77777777" w:rsidR="008D2E40" w:rsidRPr="007133D2" w:rsidRDefault="008D2E40" w:rsidP="008D2E40">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F63998D" w14:textId="77777777" w:rsidR="008D2E40" w:rsidRPr="007133D2" w:rsidRDefault="008D2E40" w:rsidP="008D2E40">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6B068652" w14:textId="77777777" w:rsidR="008D2E40" w:rsidRPr="007133D2" w:rsidRDefault="008D2E40" w:rsidP="008D2E40">
      <w:pPr>
        <w:pStyle w:val="ListParagraph"/>
        <w:numPr>
          <w:ilvl w:val="0"/>
          <w:numId w:val="12"/>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745BD84B" w14:textId="77777777" w:rsidR="008D2E40" w:rsidRPr="007133D2" w:rsidRDefault="008D2E40" w:rsidP="008D2E40">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285B3A7" w14:textId="77777777" w:rsidR="008D2E40" w:rsidRPr="007133D2" w:rsidRDefault="008D2E40" w:rsidP="008D2E40">
      <w:pPr>
        <w:pStyle w:val="ListParagraph"/>
        <w:numPr>
          <w:ilvl w:val="0"/>
          <w:numId w:val="13"/>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5E49D1A0" w14:textId="77777777" w:rsidR="008D2E40" w:rsidRPr="007133D2" w:rsidRDefault="008D2E40" w:rsidP="008D2E40">
      <w:pPr>
        <w:pStyle w:val="ListParagraph"/>
        <w:numPr>
          <w:ilvl w:val="0"/>
          <w:numId w:val="13"/>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9739ADF" w14:textId="1BBF12BF" w:rsidR="008D2E40" w:rsidRDefault="008D2E40" w:rsidP="008D2E40">
      <w:pPr>
        <w:spacing w:before="60" w:after="60"/>
        <w:rPr>
          <w:rFonts w:ascii="Arial" w:hAnsi="Arial" w:cs="Arial"/>
          <w:b/>
          <w:u w:val="single"/>
        </w:rPr>
      </w:pPr>
      <w:r w:rsidRPr="00D5281D">
        <w:rPr>
          <w:rFonts w:ascii="Arial" w:hAnsi="Arial" w:cs="Arial"/>
          <w:b/>
          <w:u w:val="single"/>
        </w:rPr>
        <w:lastRenderedPageBreak/>
        <w:t>Section 2: Objective Criteria</w:t>
      </w:r>
    </w:p>
    <w:p w14:paraId="707A7294" w14:textId="77777777" w:rsidR="000C379B" w:rsidRDefault="000C379B" w:rsidP="000C379B">
      <w:pPr>
        <w:spacing w:before="60" w:after="60"/>
        <w:rPr>
          <w:rFonts w:ascii="Arial" w:hAnsi="Arial" w:cs="Arial"/>
          <w:sz w:val="20"/>
          <w:u w:val="single"/>
          <w:lang w:val="en-ZA"/>
        </w:rPr>
      </w:pPr>
    </w:p>
    <w:p w14:paraId="70D11C57" w14:textId="20AC36EF" w:rsidR="000C379B" w:rsidRPr="000C379B" w:rsidRDefault="000C379B" w:rsidP="000C379B">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sidR="007333D2">
        <w:rPr>
          <w:rFonts w:ascii="Arial" w:hAnsi="Arial" w:cs="Arial"/>
          <w:bCs/>
          <w:sz w:val="20"/>
          <w:lang w:val="en-ZA"/>
        </w:rPr>
        <w:t>. I</w:t>
      </w:r>
      <w:r w:rsidRPr="000C379B">
        <w:rPr>
          <w:rFonts w:ascii="Arial" w:hAnsi="Arial" w:cs="Arial"/>
          <w:bCs/>
          <w:sz w:val="20"/>
          <w:lang w:val="en-ZA"/>
        </w:rPr>
        <w:t>f the tenderer</w:t>
      </w:r>
      <w:r w:rsidR="007333D2">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0F5D2906" w14:textId="09C42500" w:rsidR="00D33E30" w:rsidRPr="000C379B" w:rsidRDefault="000C379B" w:rsidP="000C379B">
      <w:pPr>
        <w:spacing w:before="60" w:after="60"/>
        <w:rPr>
          <w:rFonts w:ascii="Arial" w:hAnsi="Arial" w:cs="Arial"/>
          <w:bCs/>
          <w:sz w:val="20"/>
          <w:lang w:val="en-ZA"/>
        </w:rPr>
      </w:pPr>
      <w:r w:rsidRPr="000C379B">
        <w:rPr>
          <w:rFonts w:ascii="Arial" w:hAnsi="Arial" w:cs="Arial"/>
          <w:bCs/>
          <w:sz w:val="20"/>
          <w:lang w:val="en-ZA"/>
        </w:rPr>
        <w:t>award.</w:t>
      </w:r>
    </w:p>
    <w:p w14:paraId="17AE678D" w14:textId="77777777" w:rsidR="000C379B" w:rsidRPr="00D5281D" w:rsidRDefault="000C379B" w:rsidP="008D2E40">
      <w:pPr>
        <w:spacing w:before="60" w:after="60"/>
        <w:rPr>
          <w:rFonts w:ascii="Arial" w:hAnsi="Arial" w:cs="Arial"/>
          <w:sz w:val="20"/>
          <w:u w:val="single"/>
        </w:rPr>
      </w:pPr>
    </w:p>
    <w:p w14:paraId="4F64C42F" w14:textId="3619CA24" w:rsidR="00C33694" w:rsidRDefault="00357373" w:rsidP="00C33694">
      <w:pPr>
        <w:spacing w:after="200" w:line="276" w:lineRule="auto"/>
        <w:rPr>
          <w:rFonts w:ascii="Arial" w:hAnsi="Arial" w:cs="Arial"/>
          <w:b/>
          <w:sz w:val="22"/>
          <w:szCs w:val="22"/>
        </w:rPr>
      </w:pPr>
      <w:r>
        <w:rPr>
          <w:rFonts w:ascii="Arial" w:hAnsi="Arial" w:cs="Arial"/>
          <w:b/>
          <w:sz w:val="22"/>
          <w:szCs w:val="22"/>
        </w:rPr>
        <w:t xml:space="preserve">2.1 </w:t>
      </w:r>
      <w:r w:rsidR="00C33694" w:rsidRPr="00D5281D">
        <w:rPr>
          <w:rFonts w:ascii="Arial" w:hAnsi="Arial" w:cs="Arial"/>
          <w:b/>
          <w:sz w:val="22"/>
          <w:szCs w:val="22"/>
          <w:u w:val="single"/>
        </w:rPr>
        <w:t xml:space="preserve">Local </w:t>
      </w:r>
      <w:r w:rsidRPr="00D5281D">
        <w:rPr>
          <w:rFonts w:ascii="Arial" w:hAnsi="Arial" w:cs="Arial"/>
          <w:b/>
          <w:sz w:val="22"/>
          <w:szCs w:val="22"/>
          <w:u w:val="single"/>
        </w:rPr>
        <w:t>Content and Production</w:t>
      </w:r>
    </w:p>
    <w:tbl>
      <w:tblPr>
        <w:tblStyle w:val="TableGrid"/>
        <w:tblW w:w="0" w:type="auto"/>
        <w:tblInd w:w="5" w:type="dxa"/>
        <w:tblLook w:val="04A0" w:firstRow="1" w:lastRow="0" w:firstColumn="1" w:lastColumn="0" w:noHBand="0" w:noVBand="1"/>
      </w:tblPr>
      <w:tblGrid>
        <w:gridCol w:w="3002"/>
        <w:gridCol w:w="4299"/>
        <w:gridCol w:w="1710"/>
      </w:tblGrid>
      <w:tr w:rsidR="00C33694" w:rsidRPr="00726078" w14:paraId="538FC691" w14:textId="77777777" w:rsidTr="00B22A39">
        <w:trPr>
          <w:trHeight w:val="224"/>
        </w:trPr>
        <w:tc>
          <w:tcPr>
            <w:tcW w:w="3002" w:type="dxa"/>
            <w:shd w:val="clear" w:color="auto" w:fill="D9D9D9" w:themeFill="background1" w:themeFillShade="D9"/>
          </w:tcPr>
          <w:p w14:paraId="67C71E3B" w14:textId="77777777" w:rsidR="00C33694" w:rsidRPr="00726078" w:rsidRDefault="00C33694" w:rsidP="00B22A39">
            <w:pPr>
              <w:rPr>
                <w:rFonts w:ascii="Arial" w:hAnsi="Arial" w:cs="Arial"/>
                <w:b/>
                <w:sz w:val="20"/>
              </w:rPr>
            </w:pPr>
            <w:r w:rsidRPr="00726078">
              <w:rPr>
                <w:rFonts w:ascii="Arial" w:hAnsi="Arial" w:cs="Arial"/>
                <w:b/>
                <w:sz w:val="20"/>
              </w:rPr>
              <w:t>Commodity</w:t>
            </w:r>
          </w:p>
        </w:tc>
        <w:tc>
          <w:tcPr>
            <w:tcW w:w="4299" w:type="dxa"/>
            <w:shd w:val="clear" w:color="auto" w:fill="D9D9D9" w:themeFill="background1" w:themeFillShade="D9"/>
          </w:tcPr>
          <w:p w14:paraId="5CDFB17F" w14:textId="77777777" w:rsidR="00C33694" w:rsidRPr="00726078" w:rsidRDefault="00C33694" w:rsidP="00B22A39">
            <w:pPr>
              <w:rPr>
                <w:rFonts w:ascii="Arial" w:hAnsi="Arial" w:cs="Arial"/>
                <w:b/>
                <w:sz w:val="20"/>
              </w:rPr>
            </w:pPr>
            <w:r w:rsidRPr="00726078">
              <w:rPr>
                <w:rFonts w:ascii="Arial" w:hAnsi="Arial" w:cs="Arial"/>
                <w:b/>
                <w:sz w:val="20"/>
              </w:rPr>
              <w:t>Components</w:t>
            </w:r>
          </w:p>
        </w:tc>
        <w:tc>
          <w:tcPr>
            <w:tcW w:w="1710" w:type="dxa"/>
            <w:shd w:val="clear" w:color="auto" w:fill="D9D9D9" w:themeFill="background1" w:themeFillShade="D9"/>
          </w:tcPr>
          <w:p w14:paraId="0CA93CD7" w14:textId="77777777" w:rsidR="00C33694" w:rsidRPr="00726078" w:rsidRDefault="00C33694" w:rsidP="00B22A39">
            <w:pPr>
              <w:rPr>
                <w:rFonts w:ascii="Arial" w:hAnsi="Arial" w:cs="Arial"/>
                <w:b/>
                <w:sz w:val="20"/>
              </w:rPr>
            </w:pPr>
            <w:r w:rsidRPr="00726078">
              <w:rPr>
                <w:rFonts w:ascii="Arial" w:hAnsi="Arial" w:cs="Arial"/>
                <w:b/>
                <w:sz w:val="20"/>
              </w:rPr>
              <w:t>Local Content Threshold</w:t>
            </w:r>
          </w:p>
        </w:tc>
      </w:tr>
      <w:tr w:rsidR="00D33E30" w14:paraId="0E4E6425" w14:textId="77777777" w:rsidTr="00B22A39">
        <w:trPr>
          <w:trHeight w:val="271"/>
        </w:trPr>
        <w:tc>
          <w:tcPr>
            <w:tcW w:w="3002" w:type="dxa"/>
          </w:tcPr>
          <w:p w14:paraId="4DC186EF" w14:textId="29CAAA00" w:rsidR="00D33E30" w:rsidRPr="00D33E30" w:rsidRDefault="000631CC" w:rsidP="00D33E30">
            <w:pPr>
              <w:spacing w:before="60" w:after="60"/>
              <w:rPr>
                <w:rFonts w:ascii="Arial" w:hAnsi="Arial" w:cs="Arial"/>
                <w:sz w:val="20"/>
              </w:rPr>
            </w:pPr>
            <w:r>
              <w:rPr>
                <w:rFonts w:ascii="Arial" w:hAnsi="Arial" w:cs="Arial"/>
                <w:sz w:val="20"/>
              </w:rPr>
              <w:t>Jackets, Textile</w:t>
            </w:r>
            <w:r w:rsidR="006E6575">
              <w:rPr>
                <w:rFonts w:ascii="Arial" w:hAnsi="Arial" w:cs="Arial"/>
                <w:sz w:val="20"/>
              </w:rPr>
              <w:t xml:space="preserve"> and Clothing</w:t>
            </w:r>
          </w:p>
        </w:tc>
        <w:tc>
          <w:tcPr>
            <w:tcW w:w="4299" w:type="dxa"/>
          </w:tcPr>
          <w:p w14:paraId="14626BFF" w14:textId="18DA0989" w:rsidR="00D33E30" w:rsidRPr="00D33E30" w:rsidRDefault="006E6575" w:rsidP="00D33E30">
            <w:pPr>
              <w:spacing w:before="60" w:after="60"/>
              <w:rPr>
                <w:rFonts w:ascii="Arial" w:hAnsi="Arial" w:cs="Arial"/>
                <w:sz w:val="20"/>
              </w:rPr>
            </w:pPr>
            <w:r>
              <w:rPr>
                <w:rFonts w:ascii="Arial" w:hAnsi="Arial" w:cs="Arial"/>
                <w:sz w:val="20"/>
              </w:rPr>
              <w:t>PPE</w:t>
            </w:r>
          </w:p>
        </w:tc>
        <w:tc>
          <w:tcPr>
            <w:tcW w:w="1710" w:type="dxa"/>
          </w:tcPr>
          <w:p w14:paraId="1ED5E211" w14:textId="26FA35C1" w:rsidR="00D33E30" w:rsidRPr="00D33E30" w:rsidRDefault="006E6575" w:rsidP="00D33E30">
            <w:pPr>
              <w:spacing w:before="60" w:after="60"/>
              <w:rPr>
                <w:rFonts w:ascii="Arial" w:hAnsi="Arial" w:cs="Arial"/>
                <w:sz w:val="20"/>
              </w:rPr>
            </w:pPr>
            <w:r>
              <w:rPr>
                <w:rFonts w:ascii="Arial" w:hAnsi="Arial" w:cs="Arial"/>
                <w:sz w:val="20"/>
              </w:rPr>
              <w:t>10</w:t>
            </w:r>
            <w:r w:rsidR="00D33E30" w:rsidRPr="00D33E30">
              <w:rPr>
                <w:rFonts w:ascii="Arial" w:hAnsi="Arial" w:cs="Arial"/>
                <w:sz w:val="20"/>
              </w:rPr>
              <w:t>0%</w:t>
            </w:r>
          </w:p>
        </w:tc>
      </w:tr>
    </w:tbl>
    <w:p w14:paraId="70649B3B" w14:textId="77777777" w:rsidR="00C33694" w:rsidRDefault="00C33694" w:rsidP="00C33694">
      <w:pPr>
        <w:spacing w:before="60" w:after="60" w:line="276" w:lineRule="auto"/>
        <w:ind w:left="883" w:hanging="851"/>
        <w:rPr>
          <w:rFonts w:ascii="Arial" w:hAnsi="Arial" w:cs="Arial"/>
          <w:b/>
          <w:sz w:val="20"/>
        </w:rPr>
      </w:pPr>
    </w:p>
    <w:p w14:paraId="4CF888E0" w14:textId="17E11D91" w:rsidR="000C379B" w:rsidRDefault="00C33694" w:rsidP="00C33694">
      <w:pPr>
        <w:spacing w:before="60" w:after="60" w:line="276" w:lineRule="auto"/>
        <w:ind w:left="883" w:hanging="851"/>
        <w:rPr>
          <w:rFonts w:ascii="Arial" w:hAnsi="Arial" w:cs="Arial"/>
          <w:sz w:val="20"/>
        </w:rPr>
      </w:pPr>
      <w:r w:rsidRPr="009D3226">
        <w:rPr>
          <w:rFonts w:ascii="Arial" w:hAnsi="Arial" w:cs="Arial"/>
          <w:b/>
          <w:sz w:val="20"/>
        </w:rPr>
        <w:t>NOTE 1</w:t>
      </w:r>
      <w:r w:rsidRPr="009D3226">
        <w:rPr>
          <w:rFonts w:ascii="Arial" w:hAnsi="Arial" w:cs="Arial"/>
          <w:sz w:val="20"/>
        </w:rPr>
        <w:t xml:space="preserve">: </w:t>
      </w:r>
      <w:r w:rsidR="000C379B" w:rsidRPr="000C379B">
        <w:rPr>
          <w:rFonts w:ascii="Arial" w:hAnsi="Arial" w:cs="Arial"/>
          <w:b/>
          <w:bCs/>
          <w:sz w:val="20"/>
        </w:rPr>
        <w:t xml:space="preserve">Tender </w:t>
      </w:r>
      <w:r w:rsidR="007333D2" w:rsidRPr="000C379B">
        <w:rPr>
          <w:rFonts w:ascii="Arial" w:hAnsi="Arial" w:cs="Arial"/>
          <w:b/>
          <w:bCs/>
          <w:sz w:val="20"/>
        </w:rPr>
        <w:t>Returnable</w:t>
      </w:r>
      <w:r w:rsidR="000C379B">
        <w:rPr>
          <w:rFonts w:ascii="Arial" w:hAnsi="Arial" w:cs="Arial"/>
          <w:b/>
          <w:bCs/>
          <w:sz w:val="20"/>
        </w:rPr>
        <w:t>:</w:t>
      </w:r>
    </w:p>
    <w:p w14:paraId="531EC722" w14:textId="29F15C28" w:rsidR="000C379B" w:rsidRPr="007333D2" w:rsidRDefault="00C33694" w:rsidP="000C379B">
      <w:pPr>
        <w:pStyle w:val="ListParagraph"/>
        <w:numPr>
          <w:ilvl w:val="0"/>
          <w:numId w:val="19"/>
        </w:numPr>
        <w:spacing w:before="60" w:after="60" w:line="276" w:lineRule="auto"/>
        <w:rPr>
          <w:rFonts w:ascii="Arial" w:hAnsi="Arial" w:cs="Arial"/>
          <w:bCs/>
          <w:sz w:val="20"/>
          <w:lang w:val="en-ZA"/>
        </w:rPr>
      </w:pPr>
      <w:r w:rsidRPr="007333D2">
        <w:rPr>
          <w:rFonts w:ascii="Arial" w:hAnsi="Arial" w:cs="Arial"/>
          <w:bCs/>
          <w:sz w:val="20"/>
          <w:lang w:val="en-ZA"/>
        </w:rPr>
        <w:t xml:space="preserve">The Declaration Certificate for Local Production and Content (SBD 6.2) </w:t>
      </w:r>
    </w:p>
    <w:p w14:paraId="006B0272" w14:textId="77777777" w:rsidR="000C379B" w:rsidRPr="007333D2" w:rsidRDefault="00C33694" w:rsidP="000C379B">
      <w:pPr>
        <w:pStyle w:val="ListParagraph"/>
        <w:numPr>
          <w:ilvl w:val="0"/>
          <w:numId w:val="19"/>
        </w:numPr>
        <w:spacing w:before="60" w:after="60" w:line="276" w:lineRule="auto"/>
        <w:rPr>
          <w:rFonts w:ascii="Arial" w:hAnsi="Arial" w:cs="Arial"/>
          <w:bCs/>
          <w:sz w:val="20"/>
          <w:lang w:val="en-ZA"/>
        </w:rPr>
      </w:pPr>
      <w:r w:rsidRPr="007333D2">
        <w:rPr>
          <w:rFonts w:ascii="Arial" w:hAnsi="Arial" w:cs="Arial"/>
          <w:bCs/>
          <w:sz w:val="20"/>
          <w:lang w:val="en-ZA"/>
        </w:rPr>
        <w:t>Annex</w:t>
      </w:r>
      <w:r w:rsidR="000C379B" w:rsidRPr="007333D2">
        <w:rPr>
          <w:rFonts w:ascii="Arial" w:hAnsi="Arial" w:cs="Arial"/>
          <w:bCs/>
          <w:sz w:val="20"/>
          <w:lang w:val="en-ZA"/>
        </w:rPr>
        <w:t>ure</w:t>
      </w:r>
      <w:r w:rsidRPr="007333D2">
        <w:rPr>
          <w:rFonts w:ascii="Arial" w:hAnsi="Arial" w:cs="Arial"/>
          <w:bCs/>
          <w:sz w:val="20"/>
          <w:lang w:val="en-ZA"/>
        </w:rPr>
        <w:t xml:space="preserve"> C</w:t>
      </w:r>
      <w:r w:rsidR="000C379B" w:rsidRPr="007333D2">
        <w:rPr>
          <w:rFonts w:ascii="Arial" w:hAnsi="Arial" w:cs="Arial"/>
          <w:bCs/>
          <w:sz w:val="20"/>
          <w:lang w:val="en-ZA"/>
        </w:rPr>
        <w:t xml:space="preserve"> </w:t>
      </w:r>
      <w:r w:rsidRPr="007333D2">
        <w:rPr>
          <w:rFonts w:ascii="Arial" w:hAnsi="Arial" w:cs="Arial"/>
          <w:bCs/>
          <w:sz w:val="20"/>
          <w:lang w:val="en-ZA"/>
        </w:rPr>
        <w:t xml:space="preserve">(Local Content Declaration: Summary Schedule) </w:t>
      </w:r>
    </w:p>
    <w:p w14:paraId="2E58B25B" w14:textId="77777777" w:rsidR="000C379B" w:rsidRDefault="000C379B" w:rsidP="000C379B">
      <w:pPr>
        <w:pStyle w:val="ListParagraph"/>
        <w:spacing w:before="60" w:after="60" w:line="276" w:lineRule="auto"/>
        <w:ind w:hanging="328"/>
        <w:rPr>
          <w:rFonts w:ascii="Arial" w:hAnsi="Arial" w:cs="Arial"/>
          <w:bCs/>
          <w:color w:val="FF0000"/>
          <w:sz w:val="20"/>
          <w:lang w:val="en-ZA"/>
        </w:rPr>
      </w:pPr>
    </w:p>
    <w:p w14:paraId="5EA424B0" w14:textId="0F4D94F8" w:rsidR="00C33694" w:rsidRPr="007333D2" w:rsidRDefault="000C379B" w:rsidP="000C379B">
      <w:pPr>
        <w:pStyle w:val="ListParagraph"/>
        <w:spacing w:before="60" w:after="60" w:line="276" w:lineRule="auto"/>
        <w:ind w:hanging="328"/>
        <w:rPr>
          <w:rFonts w:ascii="Arial" w:hAnsi="Arial" w:cs="Arial"/>
          <w:bCs/>
          <w:sz w:val="20"/>
          <w:lang w:val="en-ZA"/>
        </w:rPr>
      </w:pPr>
      <w:r w:rsidRPr="007333D2">
        <w:rPr>
          <w:rFonts w:ascii="Arial" w:hAnsi="Arial" w:cs="Arial"/>
          <w:bCs/>
          <w:sz w:val="20"/>
          <w:lang w:val="en-ZA"/>
        </w:rPr>
        <w:t xml:space="preserve">The above </w:t>
      </w:r>
      <w:r w:rsidR="00C33694" w:rsidRPr="007333D2">
        <w:rPr>
          <w:rFonts w:ascii="Arial" w:hAnsi="Arial" w:cs="Arial"/>
          <w:bCs/>
          <w:sz w:val="20"/>
          <w:lang w:val="en-ZA"/>
        </w:rPr>
        <w:t>MUST be completed, duly signed and submitted by the bidder</w:t>
      </w:r>
      <w:r w:rsidRPr="007333D2">
        <w:rPr>
          <w:rFonts w:ascii="Arial" w:hAnsi="Arial" w:cs="Arial"/>
          <w:bCs/>
          <w:sz w:val="20"/>
          <w:lang w:val="en-ZA"/>
        </w:rPr>
        <w:t>.</w:t>
      </w:r>
      <w:r w:rsidR="00C33694" w:rsidRPr="007333D2">
        <w:rPr>
          <w:rFonts w:ascii="Arial" w:hAnsi="Arial" w:cs="Arial"/>
          <w:bCs/>
          <w:sz w:val="20"/>
          <w:lang w:val="en-ZA"/>
        </w:rPr>
        <w:t xml:space="preserve"> </w:t>
      </w:r>
    </w:p>
    <w:p w14:paraId="597A5FE6" w14:textId="77777777" w:rsidR="000C379B" w:rsidRPr="009D3226" w:rsidRDefault="000C379B" w:rsidP="00C33694">
      <w:pPr>
        <w:spacing w:before="60" w:after="60" w:line="276" w:lineRule="auto"/>
        <w:ind w:left="883" w:hanging="851"/>
        <w:rPr>
          <w:rFonts w:ascii="Arial" w:hAnsi="Arial" w:cs="Arial"/>
          <w:sz w:val="20"/>
        </w:rPr>
      </w:pPr>
    </w:p>
    <w:p w14:paraId="5A205053" w14:textId="77777777" w:rsidR="00C33694" w:rsidRPr="009D3226" w:rsidRDefault="00C33694" w:rsidP="00C33694">
      <w:pPr>
        <w:spacing w:before="60" w:after="60" w:line="276" w:lineRule="auto"/>
        <w:rPr>
          <w:rFonts w:ascii="Arial" w:hAnsi="Arial" w:cs="Arial"/>
          <w:b/>
          <w:color w:val="FF0000"/>
          <w:sz w:val="20"/>
          <w:lang w:val="en-ZA"/>
        </w:rPr>
      </w:pPr>
      <w:r w:rsidRPr="009D3226">
        <w:rPr>
          <w:rFonts w:ascii="Arial" w:hAnsi="Arial" w:cs="Arial"/>
          <w:b/>
          <w:sz w:val="20"/>
        </w:rPr>
        <w:t xml:space="preserve">NOTE 2: </w:t>
      </w:r>
      <w:r w:rsidRPr="000C379B">
        <w:rPr>
          <w:rFonts w:ascii="Arial" w:hAnsi="Arial" w:cs="Arial"/>
          <w:b/>
          <w:sz w:val="20"/>
          <w:lang w:val="en-GB"/>
        </w:rPr>
        <w:t>Application for exemptions:</w:t>
      </w:r>
    </w:p>
    <w:p w14:paraId="24B65892" w14:textId="4DA40D57" w:rsidR="00C33694" w:rsidRPr="007333D2" w:rsidRDefault="00C33694" w:rsidP="00C33694">
      <w:pPr>
        <w:spacing w:after="200" w:line="276" w:lineRule="auto"/>
        <w:rPr>
          <w:rFonts w:ascii="Arial" w:hAnsi="Arial" w:cs="Arial"/>
          <w:sz w:val="20"/>
          <w:lang w:val="en-GB"/>
        </w:rPr>
      </w:pPr>
      <w:bookmarkStart w:id="0" w:name="_Hlk125715194"/>
      <w:r w:rsidRPr="007333D2">
        <w:rPr>
          <w:rFonts w:ascii="Arial" w:hAnsi="Arial" w:cs="Arial"/>
          <w:sz w:val="20"/>
          <w:lang w:val="en-GB"/>
        </w:rPr>
        <w:t>If the required input materials cannot be wholly sourced from South Africa, bidders should request and obtain a written exemption letter from the DTI</w:t>
      </w:r>
      <w:r w:rsidR="002501C9" w:rsidRPr="007333D2">
        <w:rPr>
          <w:rFonts w:ascii="Arial" w:hAnsi="Arial" w:cs="Arial"/>
          <w:sz w:val="20"/>
          <w:lang w:val="en-GB"/>
        </w:rPr>
        <w:t>C</w:t>
      </w:r>
      <w:r w:rsidRPr="007333D2">
        <w:rPr>
          <w:rFonts w:ascii="Arial" w:hAnsi="Arial" w:cs="Arial"/>
          <w:sz w:val="20"/>
          <w:lang w:val="en-GB"/>
        </w:rPr>
        <w:t>. The exemption letter should then be submitted, and approvals obtained prior to the closure of the bid(s). The DTI</w:t>
      </w:r>
      <w:r w:rsidR="002501C9" w:rsidRPr="007333D2">
        <w:rPr>
          <w:rFonts w:ascii="Arial" w:hAnsi="Arial" w:cs="Arial"/>
          <w:sz w:val="20"/>
          <w:lang w:val="en-GB"/>
        </w:rPr>
        <w:t>C</w:t>
      </w:r>
      <w:r w:rsidRPr="007333D2">
        <w:rPr>
          <w:rFonts w:ascii="Arial" w:hAnsi="Arial" w:cs="Arial"/>
          <w:sz w:val="20"/>
          <w:lang w:val="en-GB"/>
        </w:rPr>
        <w:t xml:space="preserve"> together with the procuring organ of state and the winning bidder will consider the exemption on a case-by-case basis.</w:t>
      </w:r>
    </w:p>
    <w:bookmarkEnd w:id="0"/>
    <w:p w14:paraId="3A712AD6" w14:textId="5FE1EE88" w:rsidR="008D2E40" w:rsidRPr="00F80733" w:rsidRDefault="006A23C4" w:rsidP="006A23C4">
      <w:pPr>
        <w:spacing w:after="200" w:line="276" w:lineRule="auto"/>
        <w:rPr>
          <w:rFonts w:ascii="Arial" w:hAnsi="Arial" w:cs="Arial"/>
          <w:b/>
          <w:u w:val="single"/>
        </w:rPr>
      </w:pPr>
      <w:r w:rsidRPr="003F64F6">
        <w:rPr>
          <w:rFonts w:ascii="Arial" w:hAnsi="Arial" w:cs="Arial"/>
          <w:color w:val="000000" w:themeColor="text1"/>
          <w:sz w:val="20"/>
          <w:lang w:val="en-GB"/>
        </w:rPr>
        <w:t>“</w:t>
      </w:r>
      <w:r w:rsidR="008D2E40" w:rsidRPr="00F80733">
        <w:rPr>
          <w:rFonts w:ascii="Arial" w:hAnsi="Arial" w:cs="Arial"/>
          <w:b/>
          <w:u w:val="single"/>
        </w:rPr>
        <w:t>Section 3: SDL&amp;I Undertaking</w:t>
      </w:r>
    </w:p>
    <w:tbl>
      <w:tblPr>
        <w:tblStyle w:val="TableGrid"/>
        <w:tblW w:w="9129" w:type="dxa"/>
        <w:jc w:val="center"/>
        <w:tblLook w:val="04A0" w:firstRow="1" w:lastRow="0" w:firstColumn="1" w:lastColumn="0" w:noHBand="0" w:noVBand="1"/>
      </w:tblPr>
      <w:tblGrid>
        <w:gridCol w:w="9016"/>
        <w:gridCol w:w="113"/>
      </w:tblGrid>
      <w:tr w:rsidR="008D2E40" w:rsidRPr="000C5130" w14:paraId="670DA303" w14:textId="77777777" w:rsidTr="0017164C">
        <w:trPr>
          <w:gridAfter w:val="1"/>
          <w:wAfter w:w="113" w:type="dxa"/>
          <w:jc w:val="center"/>
        </w:trPr>
        <w:tc>
          <w:tcPr>
            <w:tcW w:w="9016" w:type="dxa"/>
            <w:shd w:val="clear" w:color="auto" w:fill="000000" w:themeFill="text1"/>
          </w:tcPr>
          <w:p w14:paraId="2285189A" w14:textId="4EC7018C" w:rsidR="008D2E40" w:rsidRPr="000C5130" w:rsidRDefault="008D2E40" w:rsidP="0017164C">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SD&amp;L undertakings do not form part of </w:t>
            </w:r>
            <w:r w:rsidR="0064691F" w:rsidRPr="000C5130">
              <w:rPr>
                <w:rFonts w:ascii="Arial" w:hAnsi="Arial" w:cs="Arial"/>
                <w:sz w:val="20"/>
              </w:rPr>
              <w:t>scoring,</w:t>
            </w:r>
            <w:r w:rsidRPr="000C5130">
              <w:rPr>
                <w:rFonts w:ascii="Arial" w:hAnsi="Arial" w:cs="Arial"/>
                <w:sz w:val="20"/>
              </w:rPr>
              <w:t xml:space="preserve"> but commitments will form part of contractual obligations</w:t>
            </w:r>
            <w:r w:rsidR="007333D2">
              <w:rPr>
                <w:rFonts w:ascii="Arial" w:hAnsi="Arial" w:cs="Arial"/>
                <w:sz w:val="20"/>
              </w:rPr>
              <w:t>.</w:t>
            </w:r>
          </w:p>
        </w:tc>
      </w:tr>
      <w:tr w:rsidR="008D2E40" w:rsidRPr="000C5130" w14:paraId="6142844A" w14:textId="77777777" w:rsidTr="0017164C">
        <w:trPr>
          <w:jc w:val="center"/>
        </w:trPr>
        <w:tc>
          <w:tcPr>
            <w:tcW w:w="9129" w:type="dxa"/>
            <w:gridSpan w:val="2"/>
            <w:shd w:val="clear" w:color="auto" w:fill="FFFFFF" w:themeFill="background1"/>
          </w:tcPr>
          <w:p w14:paraId="1133867B" w14:textId="77777777" w:rsidR="008D2E40" w:rsidRPr="000C5130" w:rsidRDefault="008D2E40" w:rsidP="0017164C">
            <w:pPr>
              <w:tabs>
                <w:tab w:val="left" w:pos="720"/>
              </w:tabs>
              <w:jc w:val="both"/>
              <w:rPr>
                <w:rFonts w:ascii="Arial" w:hAnsi="Arial" w:cs="Arial"/>
                <w:sz w:val="20"/>
              </w:rPr>
            </w:pPr>
          </w:p>
          <w:p w14:paraId="00BACEBD" w14:textId="77777777" w:rsidR="008D2E40" w:rsidRPr="00197E3F" w:rsidRDefault="008D2E40" w:rsidP="0017164C">
            <w:pPr>
              <w:tabs>
                <w:tab w:val="left" w:pos="426"/>
              </w:tabs>
              <w:spacing w:line="360" w:lineRule="auto"/>
              <w:jc w:val="both"/>
              <w:rPr>
                <w:rFonts w:ascii="Arial" w:hAnsi="Arial" w:cs="Arial"/>
                <w:b/>
                <w:sz w:val="20"/>
                <w:u w:val="single"/>
                <w:lang w:val="en-ZA"/>
              </w:rPr>
            </w:pPr>
            <w:r w:rsidRPr="00197E3F">
              <w:rPr>
                <w:rFonts w:ascii="Arial" w:hAnsi="Arial" w:cs="Arial"/>
                <w:b/>
                <w:sz w:val="20"/>
                <w:u w:val="single"/>
                <w:lang w:val="en-ZA"/>
              </w:rPr>
              <w:t>B-BBEE Requirements</w:t>
            </w:r>
          </w:p>
          <w:p w14:paraId="1999E907" w14:textId="77777777" w:rsidR="008D2E40" w:rsidRDefault="008D2E40" w:rsidP="0017164C">
            <w:pPr>
              <w:spacing w:after="200" w:line="276" w:lineRule="auto"/>
              <w:contextualSpacing/>
              <w:jc w:val="both"/>
              <w:rPr>
                <w:rFonts w:ascii="Arial" w:hAnsi="Arial" w:cs="Arial"/>
                <w:bCs/>
                <w:sz w:val="20"/>
                <w:lang w:val="en-ZA"/>
              </w:rPr>
            </w:pPr>
            <w:r w:rsidRPr="006D5EF3">
              <w:rPr>
                <w:rFonts w:ascii="Arial" w:hAnsi="Arial" w:cs="Arial"/>
                <w:bCs/>
                <w:sz w:val="20"/>
                <w:lang w:val="en-ZA"/>
              </w:rPr>
              <w:t>Tenderers will be required to maintain or improve their B-BBEE Recognition Level for the duration of the contract.</w:t>
            </w:r>
          </w:p>
          <w:p w14:paraId="408D6625" w14:textId="77777777" w:rsidR="008D2E40" w:rsidRDefault="008D2E40" w:rsidP="0017164C">
            <w:pPr>
              <w:spacing w:after="200" w:line="276" w:lineRule="auto"/>
              <w:contextualSpacing/>
              <w:jc w:val="both"/>
              <w:rPr>
                <w:rFonts w:ascii="Arial" w:hAnsi="Arial" w:cs="Arial"/>
                <w:bCs/>
                <w:sz w:val="20"/>
                <w:lang w:val="en-ZA"/>
              </w:rPr>
            </w:pPr>
          </w:p>
          <w:p w14:paraId="0B946C0E" w14:textId="77777777" w:rsidR="008D2E40" w:rsidRPr="00806BC4" w:rsidRDefault="008D2E40" w:rsidP="0017164C">
            <w:pPr>
              <w:spacing w:after="200" w:line="276" w:lineRule="auto"/>
              <w:contextualSpacing/>
              <w:jc w:val="both"/>
              <w:rPr>
                <w:rFonts w:ascii="Arial" w:eastAsia="Calibri" w:hAnsi="Arial" w:cs="Arial"/>
                <w:b/>
                <w:bCs/>
                <w:sz w:val="20"/>
                <w:u w:val="single"/>
                <w:lang w:val="en-ZA"/>
              </w:rPr>
            </w:pPr>
            <w:r w:rsidRPr="00806BC4">
              <w:rPr>
                <w:rFonts w:ascii="Arial" w:eastAsia="Calibri" w:hAnsi="Arial" w:cs="Arial"/>
                <w:b/>
                <w:bCs/>
                <w:sz w:val="20"/>
                <w:u w:val="single"/>
                <w:lang w:val="en-ZA"/>
              </w:rPr>
              <w:t>Local Procurement Content</w:t>
            </w:r>
          </w:p>
          <w:p w14:paraId="5801FF58" w14:textId="77777777" w:rsidR="008D2E40" w:rsidRPr="00806BC4" w:rsidRDefault="008D2E40" w:rsidP="0017164C">
            <w:pPr>
              <w:spacing w:after="200" w:line="276" w:lineRule="auto"/>
              <w:contextualSpacing/>
              <w:jc w:val="both"/>
              <w:rPr>
                <w:rFonts w:ascii="Arial" w:eastAsia="Calibri" w:hAnsi="Arial" w:cs="Arial"/>
                <w:b/>
                <w:bCs/>
                <w:sz w:val="20"/>
                <w:u w:val="single"/>
                <w:lang w:val="en-ZA"/>
              </w:rPr>
            </w:pPr>
          </w:p>
          <w:p w14:paraId="5FADBDE4" w14:textId="77777777" w:rsidR="008D2E40" w:rsidRDefault="008D2E40" w:rsidP="0017164C">
            <w:pPr>
              <w:spacing w:after="200" w:line="276" w:lineRule="auto"/>
              <w:contextualSpacing/>
              <w:jc w:val="both"/>
              <w:rPr>
                <w:rFonts w:ascii="Arial" w:eastAsia="Calibri" w:hAnsi="Arial" w:cs="Arial"/>
                <w:sz w:val="20"/>
                <w:lang w:val="en-ZA"/>
              </w:rPr>
            </w:pPr>
            <w:r>
              <w:rPr>
                <w:rFonts w:ascii="Arial" w:eastAsia="Calibri" w:hAnsi="Arial" w:cs="Arial"/>
                <w:sz w:val="20"/>
                <w:lang w:val="en-ZA"/>
              </w:rPr>
              <w:t xml:space="preserve">Tenderers will </w:t>
            </w:r>
            <w:r w:rsidRPr="00806BC4">
              <w:rPr>
                <w:rFonts w:ascii="Arial" w:eastAsia="Calibri" w:hAnsi="Arial" w:cs="Arial"/>
                <w:sz w:val="20"/>
                <w:lang w:val="en-ZA"/>
              </w:rPr>
              <w:t>stipulate local procurement content for the works.</w:t>
            </w:r>
          </w:p>
          <w:p w14:paraId="275AB563" w14:textId="77777777" w:rsidR="008D2E40" w:rsidRDefault="008D2E40" w:rsidP="0017164C">
            <w:pPr>
              <w:spacing w:after="200" w:line="276" w:lineRule="auto"/>
              <w:contextualSpacing/>
              <w:jc w:val="both"/>
              <w:rPr>
                <w:rFonts w:ascii="Arial" w:eastAsia="Calibri" w:hAnsi="Arial" w:cs="Arial"/>
                <w:sz w:val="20"/>
                <w:lang w:val="en-ZA"/>
              </w:rPr>
            </w:pPr>
          </w:p>
          <w:p w14:paraId="5DED5D79" w14:textId="77777777" w:rsidR="008D2E40" w:rsidRPr="00B97970" w:rsidRDefault="008D2E40" w:rsidP="0017164C">
            <w:pPr>
              <w:tabs>
                <w:tab w:val="left" w:pos="720"/>
              </w:tabs>
              <w:jc w:val="both"/>
              <w:rPr>
                <w:rFonts w:ascii="Arial" w:hAnsi="Arial" w:cs="Arial"/>
                <w:b/>
                <w:bCs/>
                <w:sz w:val="20"/>
                <w:u w:val="single"/>
              </w:rPr>
            </w:pPr>
            <w:r w:rsidRPr="00B97970">
              <w:rPr>
                <w:rFonts w:ascii="Arial" w:hAnsi="Arial" w:cs="Arial"/>
                <w:b/>
                <w:bCs/>
                <w:sz w:val="20"/>
                <w:u w:val="single"/>
              </w:rPr>
              <w:t>Job Opportunities</w:t>
            </w:r>
          </w:p>
          <w:p w14:paraId="7627C1DF" w14:textId="77777777" w:rsidR="008D2E40" w:rsidRPr="000C5130" w:rsidRDefault="008D2E40" w:rsidP="0017164C">
            <w:pPr>
              <w:tabs>
                <w:tab w:val="left" w:pos="720"/>
              </w:tabs>
              <w:jc w:val="both"/>
              <w:rPr>
                <w:rFonts w:ascii="Arial" w:hAnsi="Arial" w:cs="Arial"/>
                <w:sz w:val="20"/>
                <w:u w:val="single"/>
              </w:rPr>
            </w:pPr>
          </w:p>
          <w:p w14:paraId="6E457CD3" w14:textId="03FD1E12" w:rsidR="008D2E40" w:rsidRPr="000C5130" w:rsidRDefault="008D2E40" w:rsidP="0017164C">
            <w:pPr>
              <w:tabs>
                <w:tab w:val="left" w:pos="720"/>
              </w:tabs>
              <w:jc w:val="both"/>
              <w:rPr>
                <w:rFonts w:ascii="Arial" w:hAnsi="Arial" w:cs="Arial"/>
                <w:sz w:val="20"/>
              </w:rPr>
            </w:pPr>
            <w:r w:rsidRPr="000C5130">
              <w:rPr>
                <w:rFonts w:ascii="Arial" w:hAnsi="Arial" w:cs="Arial"/>
                <w:sz w:val="20"/>
              </w:rPr>
              <w:t xml:space="preserve">Tenderer to indicate number of Jobs to be created and/or retained </w:t>
            </w:r>
            <w:r>
              <w:rPr>
                <w:rFonts w:ascii="Arial" w:hAnsi="Arial" w:cs="Arial"/>
                <w:sz w:val="20"/>
              </w:rPr>
              <w:t xml:space="preserve">due to </w:t>
            </w:r>
            <w:r w:rsidRPr="000C5130">
              <w:rPr>
                <w:rFonts w:ascii="Arial" w:hAnsi="Arial" w:cs="Arial"/>
                <w:sz w:val="20"/>
              </w:rPr>
              <w:t xml:space="preserve">this </w:t>
            </w:r>
            <w:r w:rsidR="0064691F" w:rsidRPr="000C5130">
              <w:rPr>
                <w:rFonts w:ascii="Arial" w:hAnsi="Arial" w:cs="Arial"/>
                <w:sz w:val="20"/>
              </w:rPr>
              <w:t>contract.</w:t>
            </w:r>
          </w:p>
          <w:p w14:paraId="7AD28B62" w14:textId="77777777" w:rsidR="008D2E40" w:rsidRPr="000C5130" w:rsidRDefault="008D2E40" w:rsidP="0017164C">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66"/>
            </w:tblGrid>
            <w:tr w:rsidR="008D2E40" w:rsidRPr="000C5130" w14:paraId="6D5C5E8D" w14:textId="77777777" w:rsidTr="0017164C">
              <w:tc>
                <w:tcPr>
                  <w:tcW w:w="4266" w:type="dxa"/>
                  <w:shd w:val="clear" w:color="auto" w:fill="D9D9D9" w:themeFill="background1" w:themeFillShade="D9"/>
                </w:tcPr>
                <w:p w14:paraId="7A3A1B9E" w14:textId="77777777" w:rsidR="008D2E40" w:rsidRPr="000C5130" w:rsidRDefault="008D2E40" w:rsidP="0017164C">
                  <w:pPr>
                    <w:tabs>
                      <w:tab w:val="left" w:pos="720"/>
                    </w:tabs>
                    <w:jc w:val="both"/>
                    <w:rPr>
                      <w:rFonts w:ascii="Arial" w:hAnsi="Arial" w:cs="Arial"/>
                      <w:b/>
                      <w:sz w:val="20"/>
                    </w:rPr>
                  </w:pPr>
                  <w:r w:rsidRPr="000C5130">
                    <w:rPr>
                      <w:rFonts w:ascii="Arial" w:hAnsi="Arial" w:cs="Arial"/>
                      <w:b/>
                      <w:sz w:val="20"/>
                    </w:rPr>
                    <w:t>Number of Jobs to be created</w:t>
                  </w:r>
                </w:p>
              </w:tc>
              <w:tc>
                <w:tcPr>
                  <w:tcW w:w="4266" w:type="dxa"/>
                  <w:shd w:val="clear" w:color="auto" w:fill="D9D9D9" w:themeFill="background1" w:themeFillShade="D9"/>
                </w:tcPr>
                <w:p w14:paraId="224287B1" w14:textId="77777777" w:rsidR="008D2E40" w:rsidRPr="000C5130" w:rsidRDefault="008D2E40" w:rsidP="0017164C">
                  <w:pPr>
                    <w:tabs>
                      <w:tab w:val="left" w:pos="720"/>
                    </w:tabs>
                    <w:jc w:val="both"/>
                    <w:rPr>
                      <w:rFonts w:ascii="Arial" w:hAnsi="Arial" w:cs="Arial"/>
                      <w:b/>
                      <w:sz w:val="20"/>
                    </w:rPr>
                  </w:pPr>
                  <w:r w:rsidRPr="000C5130">
                    <w:rPr>
                      <w:rFonts w:ascii="Arial" w:hAnsi="Arial" w:cs="Arial"/>
                      <w:b/>
                      <w:sz w:val="20"/>
                    </w:rPr>
                    <w:t xml:space="preserve">Number of Jobs to be retained </w:t>
                  </w:r>
                </w:p>
              </w:tc>
            </w:tr>
            <w:tr w:rsidR="008D2E40" w:rsidRPr="000C5130" w14:paraId="7162C0E0" w14:textId="77777777" w:rsidTr="0017164C">
              <w:tc>
                <w:tcPr>
                  <w:tcW w:w="4266" w:type="dxa"/>
                  <w:shd w:val="clear" w:color="auto" w:fill="auto"/>
                </w:tcPr>
                <w:p w14:paraId="0BA42B7B" w14:textId="77777777" w:rsidR="008D2E40" w:rsidRPr="000C5130" w:rsidRDefault="008D2E40" w:rsidP="0017164C">
                  <w:pPr>
                    <w:tabs>
                      <w:tab w:val="left" w:pos="720"/>
                    </w:tabs>
                    <w:jc w:val="both"/>
                    <w:rPr>
                      <w:rFonts w:ascii="Arial" w:hAnsi="Arial" w:cs="Arial"/>
                      <w:sz w:val="20"/>
                    </w:rPr>
                  </w:pPr>
                </w:p>
                <w:p w14:paraId="3424C2A9" w14:textId="77777777" w:rsidR="008D2E40" w:rsidRPr="000C5130" w:rsidRDefault="008D2E40" w:rsidP="0017164C">
                  <w:pPr>
                    <w:tabs>
                      <w:tab w:val="left" w:pos="720"/>
                    </w:tabs>
                    <w:jc w:val="both"/>
                    <w:rPr>
                      <w:rFonts w:ascii="Arial" w:hAnsi="Arial" w:cs="Arial"/>
                      <w:sz w:val="20"/>
                    </w:rPr>
                  </w:pPr>
                </w:p>
              </w:tc>
              <w:tc>
                <w:tcPr>
                  <w:tcW w:w="4266" w:type="dxa"/>
                  <w:shd w:val="clear" w:color="auto" w:fill="auto"/>
                </w:tcPr>
                <w:p w14:paraId="014C90FC" w14:textId="77777777" w:rsidR="008D2E40" w:rsidRPr="000C5130" w:rsidRDefault="008D2E40" w:rsidP="0017164C">
                  <w:pPr>
                    <w:tabs>
                      <w:tab w:val="left" w:pos="720"/>
                    </w:tabs>
                    <w:jc w:val="both"/>
                    <w:rPr>
                      <w:rFonts w:ascii="Arial" w:hAnsi="Arial" w:cs="Arial"/>
                      <w:sz w:val="20"/>
                    </w:rPr>
                  </w:pPr>
                </w:p>
              </w:tc>
            </w:tr>
          </w:tbl>
          <w:p w14:paraId="748E4D74" w14:textId="77777777" w:rsidR="008D2E40" w:rsidRDefault="008D2E40" w:rsidP="0017164C">
            <w:pPr>
              <w:tabs>
                <w:tab w:val="left" w:pos="720"/>
              </w:tabs>
              <w:jc w:val="both"/>
              <w:rPr>
                <w:rFonts w:ascii="Arial" w:hAnsi="Arial" w:cs="Arial"/>
                <w:color w:val="FF0000"/>
                <w:sz w:val="20"/>
              </w:rPr>
            </w:pPr>
          </w:p>
          <w:p w14:paraId="7061568E" w14:textId="0E701E50" w:rsidR="008D2E40" w:rsidRPr="008D5711" w:rsidRDefault="008D2E40" w:rsidP="006E6575">
            <w:pPr>
              <w:tabs>
                <w:tab w:val="left" w:pos="720"/>
              </w:tabs>
              <w:jc w:val="both"/>
              <w:rPr>
                <w:rFonts w:ascii="Arial" w:hAnsi="Arial" w:cs="Arial"/>
                <w:sz w:val="20"/>
              </w:rPr>
            </w:pPr>
            <w:r w:rsidRPr="007333D2">
              <w:rPr>
                <w:rFonts w:ascii="Arial" w:hAnsi="Arial" w:cs="Arial"/>
                <w:sz w:val="20"/>
              </w:rPr>
              <w:t>During installation, the Contractor should ensure that it recruits its General Workers and Semi-Skilled Workers within the vicinity of the station in accordance with the M</w:t>
            </w:r>
            <w:r w:rsidR="00815C2E" w:rsidRPr="007333D2">
              <w:rPr>
                <w:rFonts w:ascii="Arial" w:hAnsi="Arial" w:cs="Arial"/>
                <w:sz w:val="20"/>
              </w:rPr>
              <w:t>ajuba</w:t>
            </w:r>
            <w:r w:rsidRPr="007333D2">
              <w:rPr>
                <w:rFonts w:ascii="Arial" w:hAnsi="Arial" w:cs="Arial"/>
                <w:sz w:val="20"/>
              </w:rPr>
              <w:t xml:space="preserve"> Power Station’s Recruitment Procedure/Stakeholder Management Forum. </w:t>
            </w:r>
          </w:p>
        </w:tc>
      </w:tr>
    </w:tbl>
    <w:p w14:paraId="4FD9EAB7" w14:textId="00268994" w:rsidR="008D2E40" w:rsidRPr="00F80733" w:rsidRDefault="008D2E40" w:rsidP="008D2E40">
      <w:pPr>
        <w:spacing w:before="360" w:after="240" w:line="276" w:lineRule="auto"/>
        <w:rPr>
          <w:rFonts w:ascii="Arial" w:hAnsi="Arial" w:cs="Arial"/>
          <w:b/>
          <w:u w:val="single"/>
        </w:rPr>
      </w:pPr>
      <w:r w:rsidRPr="00F80733">
        <w:rPr>
          <w:rFonts w:ascii="Arial" w:hAnsi="Arial" w:cs="Arial"/>
          <w:b/>
          <w:u w:val="single"/>
        </w:rPr>
        <w:lastRenderedPageBreak/>
        <w:t>Section 4: SD&amp;L Penalty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8D2E40" w:rsidRPr="006260D8" w14:paraId="1ECDCE62" w14:textId="77777777" w:rsidTr="0017164C">
        <w:trPr>
          <w:jc w:val="center"/>
        </w:trPr>
        <w:tc>
          <w:tcPr>
            <w:tcW w:w="9050" w:type="dxa"/>
            <w:shd w:val="clear" w:color="auto" w:fill="000000"/>
          </w:tcPr>
          <w:p w14:paraId="760E5488" w14:textId="77777777" w:rsidR="008D2E40" w:rsidRPr="006260D8" w:rsidRDefault="008D2E40" w:rsidP="0017164C">
            <w:pPr>
              <w:tabs>
                <w:tab w:val="left" w:pos="720"/>
              </w:tabs>
              <w:jc w:val="both"/>
              <w:rPr>
                <w:rFonts w:ascii="Arial" w:hAnsi="Arial" w:cs="Arial"/>
                <w:sz w:val="20"/>
              </w:rPr>
            </w:pPr>
          </w:p>
        </w:tc>
      </w:tr>
      <w:tr w:rsidR="008D2E40" w:rsidRPr="000C5130" w14:paraId="4B05E2AE" w14:textId="77777777" w:rsidTr="0017164C">
        <w:trPr>
          <w:trHeight w:val="1441"/>
          <w:jc w:val="center"/>
        </w:trPr>
        <w:tc>
          <w:tcPr>
            <w:tcW w:w="9050" w:type="dxa"/>
            <w:shd w:val="clear" w:color="auto" w:fill="auto"/>
          </w:tcPr>
          <w:p w14:paraId="58734B82" w14:textId="77777777" w:rsidR="008D2E40" w:rsidRPr="0029148E" w:rsidRDefault="008D2E40" w:rsidP="0017164C">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5A24A61F" w14:textId="77777777" w:rsidR="008D2E40" w:rsidRPr="003F67B4" w:rsidRDefault="008D2E40" w:rsidP="0017164C">
            <w:pPr>
              <w:spacing w:after="200" w:line="276" w:lineRule="auto"/>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 fulfilment of all SDL&amp;I obligations at the end of the contract.</w:t>
            </w:r>
          </w:p>
        </w:tc>
      </w:tr>
    </w:tbl>
    <w:p w14:paraId="3BD60ADF" w14:textId="77777777" w:rsidR="008D2E40" w:rsidRPr="00871B1B" w:rsidRDefault="008D2E40" w:rsidP="008D2E40">
      <w:pPr>
        <w:rPr>
          <w:rFonts w:ascii="Arial" w:hAnsi="Arial" w:cs="Arial"/>
          <w:sz w:val="22"/>
        </w:rPr>
      </w:pPr>
    </w:p>
    <w:p w14:paraId="4FCEC781" w14:textId="721AB6B4" w:rsidR="008D2E40" w:rsidRPr="00F80733" w:rsidRDefault="008D2E40" w:rsidP="008D2E40">
      <w:pPr>
        <w:rPr>
          <w:rFonts w:ascii="Arial" w:hAnsi="Arial" w:cs="Arial"/>
          <w:b/>
          <w:u w:val="single"/>
        </w:rPr>
      </w:pPr>
      <w:r w:rsidRPr="00F80733">
        <w:rPr>
          <w:rFonts w:ascii="Arial" w:hAnsi="Arial" w:cs="Arial"/>
          <w:b/>
          <w:u w:val="single"/>
        </w:rPr>
        <w:t>Section 5: Reporting and Monitoring</w:t>
      </w:r>
    </w:p>
    <w:p w14:paraId="05E002B1" w14:textId="77777777" w:rsidR="00F80733" w:rsidRPr="007E3522" w:rsidRDefault="00F80733" w:rsidP="008D2E40">
      <w:pPr>
        <w:rPr>
          <w:rFonts w:ascii="Arial" w:hAnsi="Arial" w:cs="Arial"/>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16"/>
      </w:tblGrid>
      <w:tr w:rsidR="008D2E40" w:rsidRPr="006260D8" w14:paraId="09113322" w14:textId="77777777" w:rsidTr="0017164C">
        <w:trPr>
          <w:jc w:val="center"/>
        </w:trPr>
        <w:tc>
          <w:tcPr>
            <w:tcW w:w="9050" w:type="dxa"/>
            <w:shd w:val="clear" w:color="auto" w:fill="000000"/>
          </w:tcPr>
          <w:p w14:paraId="4AC88132" w14:textId="77777777" w:rsidR="008D2E40" w:rsidRPr="006260D8" w:rsidRDefault="008D2E40" w:rsidP="0017164C">
            <w:pPr>
              <w:tabs>
                <w:tab w:val="left" w:pos="720"/>
              </w:tabs>
              <w:jc w:val="both"/>
              <w:rPr>
                <w:rFonts w:ascii="Arial" w:hAnsi="Arial" w:cs="Arial"/>
                <w:sz w:val="20"/>
              </w:rPr>
            </w:pPr>
          </w:p>
        </w:tc>
      </w:tr>
      <w:tr w:rsidR="008D2E40" w:rsidRPr="000C5130" w14:paraId="1AEB1A25" w14:textId="77777777" w:rsidTr="0017164C">
        <w:trPr>
          <w:trHeight w:val="1058"/>
          <w:jc w:val="center"/>
        </w:trPr>
        <w:tc>
          <w:tcPr>
            <w:tcW w:w="9050" w:type="dxa"/>
            <w:shd w:val="clear" w:color="auto" w:fill="DDD9C3" w:themeFill="background2" w:themeFillShade="E6"/>
          </w:tcPr>
          <w:p w14:paraId="73E35C44" w14:textId="77777777" w:rsidR="008D2E40" w:rsidRPr="00337B1F" w:rsidRDefault="008D2E40" w:rsidP="008D2E40">
            <w:pPr>
              <w:pStyle w:val="ListParagraph"/>
              <w:numPr>
                <w:ilvl w:val="0"/>
                <w:numId w:val="14"/>
              </w:numPr>
              <w:spacing w:after="200"/>
              <w:ind w:left="314" w:hanging="218"/>
              <w:jc w:val="both"/>
              <w:rPr>
                <w:rFonts w:ascii="Arial" w:eastAsia="Calibri" w:hAnsi="Arial" w:cs="Arial"/>
                <w:sz w:val="20"/>
                <w:lang w:val="en-GB"/>
              </w:rPr>
            </w:pPr>
            <w:bookmarkStart w:id="1" w:name="OLE_LINK6"/>
            <w:r w:rsidRPr="00337B1F">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1"/>
          </w:p>
          <w:p w14:paraId="74579064" w14:textId="77777777" w:rsidR="008D2E40" w:rsidRPr="00337B1F" w:rsidRDefault="008D2E40" w:rsidP="008D2E40">
            <w:pPr>
              <w:pStyle w:val="ListParagraph"/>
              <w:numPr>
                <w:ilvl w:val="0"/>
                <w:numId w:val="14"/>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5E4B378D" w14:textId="77777777" w:rsidR="008D2E40" w:rsidRPr="00337B1F" w:rsidRDefault="008D2E40" w:rsidP="008D2E40">
            <w:pPr>
              <w:pStyle w:val="ListParagraph"/>
              <w:numPr>
                <w:ilvl w:val="0"/>
                <w:numId w:val="14"/>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069EF35E" w14:textId="77777777" w:rsidR="008D2E40" w:rsidRPr="00871B1B" w:rsidRDefault="008D2E40" w:rsidP="008D2E40">
            <w:pPr>
              <w:pStyle w:val="ListParagraph"/>
              <w:numPr>
                <w:ilvl w:val="0"/>
                <w:numId w:val="14"/>
              </w:numPr>
              <w:tabs>
                <w:tab w:val="left" w:pos="720"/>
              </w:tabs>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4856AB5F" w14:textId="77777777" w:rsidR="008D2E40" w:rsidRPr="00F80733" w:rsidRDefault="008D2E40" w:rsidP="008D2E40">
      <w:pPr>
        <w:spacing w:before="360" w:after="240" w:line="276" w:lineRule="auto"/>
        <w:rPr>
          <w:rFonts w:ascii="Arial" w:hAnsi="Arial" w:cs="Arial"/>
          <w:b/>
          <w:u w:val="single"/>
        </w:rPr>
      </w:pPr>
      <w:r w:rsidRPr="00F80733">
        <w:rPr>
          <w:rFonts w:ascii="Arial" w:hAnsi="Arial" w:cs="Arial"/>
          <w:b/>
          <w:u w:val="single"/>
        </w:rPr>
        <w:t>Section 6: Market Research</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225"/>
        <w:gridCol w:w="2976"/>
      </w:tblGrid>
      <w:tr w:rsidR="008D2E40" w:rsidRPr="005C18BF" w14:paraId="587D587A" w14:textId="77777777" w:rsidTr="0017164C">
        <w:trPr>
          <w:jc w:val="center"/>
        </w:trPr>
        <w:tc>
          <w:tcPr>
            <w:tcW w:w="9201" w:type="dxa"/>
            <w:gridSpan w:val="2"/>
            <w:shd w:val="clear" w:color="auto" w:fill="000000"/>
          </w:tcPr>
          <w:p w14:paraId="3FF9429D" w14:textId="77777777" w:rsidR="008D2E40" w:rsidRPr="005C18BF" w:rsidRDefault="008D2E40" w:rsidP="0017164C">
            <w:pPr>
              <w:tabs>
                <w:tab w:val="left" w:pos="720"/>
              </w:tabs>
              <w:jc w:val="both"/>
              <w:rPr>
                <w:rFonts w:ascii="Arial" w:hAnsi="Arial" w:cs="Arial"/>
              </w:rPr>
            </w:pPr>
            <w:r w:rsidRPr="005C18BF">
              <w:rPr>
                <w:rFonts w:ascii="Arial" w:hAnsi="Arial" w:cs="Arial"/>
              </w:rPr>
              <w:t>The following information demonstrates market analysis and assists in arriving at the targets above.</w:t>
            </w:r>
            <w:r w:rsidRPr="005C18BF">
              <w:t xml:space="preserve">  </w:t>
            </w:r>
          </w:p>
        </w:tc>
      </w:tr>
      <w:tr w:rsidR="008D2E40" w:rsidRPr="005C18BF" w14:paraId="2FA23855" w14:textId="77777777" w:rsidTr="0017164C">
        <w:trPr>
          <w:trHeight w:val="439"/>
          <w:jc w:val="center"/>
        </w:trPr>
        <w:tc>
          <w:tcPr>
            <w:tcW w:w="6225" w:type="dxa"/>
            <w:shd w:val="clear" w:color="auto" w:fill="auto"/>
          </w:tcPr>
          <w:p w14:paraId="67FDAB68" w14:textId="20BD39BB" w:rsidR="0064691F" w:rsidRPr="00C33694" w:rsidRDefault="008D2E40" w:rsidP="0064691F">
            <w:pPr>
              <w:jc w:val="both"/>
              <w:rPr>
                <w:rFonts w:ascii="Arial" w:hAnsi="Arial" w:cs="Arial"/>
                <w:bCs/>
                <w:iCs/>
                <w:color w:val="000000" w:themeColor="text1"/>
                <w:sz w:val="20"/>
              </w:rPr>
            </w:pPr>
            <w:r w:rsidRPr="003C5108">
              <w:rPr>
                <w:rFonts w:ascii="Arial" w:hAnsi="Arial" w:cs="Arial"/>
                <w:bCs/>
                <w:iCs/>
                <w:color w:val="000000" w:themeColor="text1"/>
                <w:sz w:val="20"/>
              </w:rPr>
              <w:t>There are sufficient suppliers within South Africa with</w:t>
            </w:r>
            <w:r w:rsidR="00357373">
              <w:rPr>
                <w:rFonts w:ascii="Arial" w:hAnsi="Arial" w:cs="Arial"/>
                <w:bCs/>
                <w:iCs/>
                <w:color w:val="000000" w:themeColor="text1"/>
                <w:sz w:val="20"/>
              </w:rPr>
              <w:t xml:space="preserve"> manufacturing capacity</w:t>
            </w:r>
            <w:r w:rsidRPr="003C5108">
              <w:rPr>
                <w:rFonts w:ascii="Arial" w:hAnsi="Arial" w:cs="Arial"/>
                <w:bCs/>
                <w:iCs/>
                <w:color w:val="000000" w:themeColor="text1"/>
                <w:sz w:val="20"/>
              </w:rPr>
              <w:t>.</w:t>
            </w:r>
          </w:p>
        </w:tc>
        <w:tc>
          <w:tcPr>
            <w:tcW w:w="2976" w:type="dxa"/>
            <w:shd w:val="clear" w:color="auto" w:fill="auto"/>
          </w:tcPr>
          <w:p w14:paraId="09A5906C" w14:textId="77777777" w:rsidR="008D2E40" w:rsidRPr="001751DE" w:rsidRDefault="008D2E40" w:rsidP="0017164C">
            <w:pPr>
              <w:jc w:val="both"/>
              <w:rPr>
                <w:rFonts w:ascii="Arial" w:hAnsi="Arial" w:cs="Arial"/>
                <w:bCs/>
                <w:iCs/>
                <w:sz w:val="20"/>
              </w:rPr>
            </w:pPr>
          </w:p>
        </w:tc>
      </w:tr>
    </w:tbl>
    <w:p w14:paraId="5299E8F1" w14:textId="67ED05AD" w:rsidR="00815C2E" w:rsidRDefault="00815C2E" w:rsidP="008D2E40">
      <w:pPr>
        <w:spacing w:after="200" w:line="276" w:lineRule="auto"/>
        <w:rPr>
          <w:rFonts w:ascii="Arial" w:hAnsi="Arial" w:cs="Arial"/>
          <w:b/>
          <w:u w:val="single"/>
        </w:rPr>
      </w:pPr>
    </w:p>
    <w:p w14:paraId="2E09C193" w14:textId="758A356C" w:rsidR="008D2E40" w:rsidRPr="00F80733" w:rsidRDefault="008D2E40" w:rsidP="008D2E40">
      <w:pPr>
        <w:spacing w:after="200" w:line="276" w:lineRule="auto"/>
        <w:rPr>
          <w:rFonts w:ascii="Arial" w:hAnsi="Arial" w:cs="Arial"/>
          <w:b/>
          <w:u w:val="single"/>
        </w:rPr>
      </w:pPr>
      <w:r w:rsidRPr="00F80733">
        <w:rPr>
          <w:rFonts w:ascii="Arial" w:hAnsi="Arial" w:cs="Arial"/>
          <w:b/>
          <w:u w:val="single"/>
        </w:rPr>
        <w:t>Section 7: General Information on Validity of Sworn Affidavits</w:t>
      </w:r>
    </w:p>
    <w:tbl>
      <w:tblPr>
        <w:tblStyle w:val="TableGrid"/>
        <w:tblW w:w="0" w:type="auto"/>
        <w:jc w:val="center"/>
        <w:tblLook w:val="04A0" w:firstRow="1" w:lastRow="0" w:firstColumn="1" w:lastColumn="0" w:noHBand="0" w:noVBand="1"/>
      </w:tblPr>
      <w:tblGrid>
        <w:gridCol w:w="9016"/>
      </w:tblGrid>
      <w:tr w:rsidR="008D2E40" w:rsidRPr="00726078" w14:paraId="790607F5" w14:textId="77777777" w:rsidTr="0017164C">
        <w:trPr>
          <w:jc w:val="center"/>
        </w:trPr>
        <w:tc>
          <w:tcPr>
            <w:tcW w:w="9016" w:type="dxa"/>
            <w:shd w:val="clear" w:color="auto" w:fill="000000" w:themeFill="text1"/>
          </w:tcPr>
          <w:p w14:paraId="4753E85D" w14:textId="77777777" w:rsidR="008D2E40" w:rsidRPr="00E548C1" w:rsidRDefault="008D2E40" w:rsidP="0017164C">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8D2E40" w:rsidRPr="00726078" w14:paraId="06ADD9DC" w14:textId="77777777" w:rsidTr="0017164C">
        <w:trPr>
          <w:jc w:val="center"/>
        </w:trPr>
        <w:tc>
          <w:tcPr>
            <w:tcW w:w="9016" w:type="dxa"/>
            <w:shd w:val="clear" w:color="auto" w:fill="DDD9C3" w:themeFill="background2" w:themeFillShade="E6"/>
          </w:tcPr>
          <w:p w14:paraId="776C297A" w14:textId="77777777" w:rsidR="008D2E40" w:rsidRDefault="008D2E40" w:rsidP="0017164C">
            <w:pPr>
              <w:pStyle w:val="ListParagraph"/>
              <w:ind w:left="426"/>
              <w:rPr>
                <w:rFonts w:ascii="Arial" w:hAnsi="Arial" w:cs="Arial"/>
                <w:sz w:val="16"/>
                <w:lang w:val="en-ZA"/>
              </w:rPr>
            </w:pPr>
          </w:p>
          <w:p w14:paraId="0B8027AF" w14:textId="7D7B82A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 xml:space="preserve">EME’S valid sworn affidavit (DTI template) must be submitted and attested / signed by a Commissioner of </w:t>
            </w:r>
            <w:r w:rsidR="00931A59" w:rsidRPr="00337B1F">
              <w:rPr>
                <w:rFonts w:ascii="Arial" w:hAnsi="Arial" w:cs="Arial"/>
                <w:sz w:val="20"/>
                <w:lang w:val="en-ZA"/>
              </w:rPr>
              <w:t>Oaths.</w:t>
            </w:r>
          </w:p>
          <w:p w14:paraId="4E7F0983"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 xml:space="preserve">SE’s valid sworn affidavit (DTI template) must be submitted and attested / signed by a Commissioner of Oaths   OR B-BBEE certificate from SANAS approved agency </w:t>
            </w:r>
          </w:p>
          <w:p w14:paraId="7A9CD57B"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Joint Ventures can only submit a Consolidated, Valid and Certified Copy of B-BBEE Certificate issued by a SANAS Accredited Verification Agency specific for this</w:t>
            </w:r>
          </w:p>
          <w:p w14:paraId="6DB6C94A" w14:textId="6FEC1402"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Affidavit must be completed in full (</w:t>
            </w:r>
            <w:r w:rsidR="00931A59" w:rsidRPr="00337B1F">
              <w:rPr>
                <w:rFonts w:ascii="Arial" w:hAnsi="Arial" w:cs="Arial"/>
                <w:sz w:val="20"/>
                <w:lang w:val="en-ZA"/>
              </w:rPr>
              <w:t>i.e.,</w:t>
            </w:r>
            <w:r w:rsidRPr="00337B1F">
              <w:rPr>
                <w:rFonts w:ascii="Arial" w:hAnsi="Arial" w:cs="Arial"/>
                <w:sz w:val="20"/>
                <w:lang w:val="en-ZA"/>
              </w:rPr>
              <w:t xml:space="preserve"> Full financial year-end dates (day, month, year), ownership percentages and contribution level and signed off).</w:t>
            </w:r>
          </w:p>
          <w:p w14:paraId="18551498"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Deponent and Commissioners date must be the same.</w:t>
            </w:r>
          </w:p>
          <w:p w14:paraId="1303D6AD"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Affidavits on Accountants/Auditors letterheads will not be accepted.</w:t>
            </w:r>
          </w:p>
          <w:p w14:paraId="154F5AF4"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Affidavits signed by Accountants/Auditors will not be accepted.</w:t>
            </w:r>
          </w:p>
          <w:p w14:paraId="20610DA5" w14:textId="77777777"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Only Sworn Affidavit for EMEs coming from DTI/CIPC and B- BBEE Certificates (SANAS Accredited) will be accepted.</w:t>
            </w:r>
          </w:p>
          <w:p w14:paraId="465545F6" w14:textId="4F76A11A" w:rsidR="008D2E40" w:rsidRPr="00337B1F" w:rsidRDefault="008D2E40" w:rsidP="008D2E40">
            <w:pPr>
              <w:pStyle w:val="ListParagraph"/>
              <w:numPr>
                <w:ilvl w:val="0"/>
                <w:numId w:val="15"/>
              </w:numPr>
              <w:rPr>
                <w:rFonts w:ascii="Arial" w:hAnsi="Arial" w:cs="Arial"/>
                <w:sz w:val="20"/>
                <w:lang w:val="en-ZA"/>
              </w:rPr>
            </w:pPr>
            <w:r w:rsidRPr="00337B1F">
              <w:rPr>
                <w:rFonts w:ascii="Arial" w:hAnsi="Arial" w:cs="Arial"/>
                <w:sz w:val="20"/>
                <w:lang w:val="en-ZA"/>
              </w:rPr>
              <w:t xml:space="preserve">Sworn </w:t>
            </w:r>
            <w:r w:rsidR="00931A59" w:rsidRPr="00337B1F">
              <w:rPr>
                <w:rFonts w:ascii="Arial" w:hAnsi="Arial" w:cs="Arial"/>
                <w:sz w:val="20"/>
                <w:lang w:val="en-ZA"/>
              </w:rPr>
              <w:t>Affidavits attested</w:t>
            </w:r>
            <w:r w:rsidRPr="00337B1F">
              <w:rPr>
                <w:rFonts w:ascii="Arial" w:hAnsi="Arial" w:cs="Arial"/>
                <w:sz w:val="20"/>
                <w:lang w:val="en-ZA"/>
              </w:rPr>
              <w:t xml:space="preserve"> / signed by a Commissioner of Oaths with true copy of the original stamp will not be accepted</w:t>
            </w:r>
          </w:p>
          <w:p w14:paraId="5069D219" w14:textId="77777777" w:rsidR="008D2E40" w:rsidRPr="00871B1B" w:rsidRDefault="008D2E40" w:rsidP="0017164C">
            <w:pPr>
              <w:pStyle w:val="ListParagraph"/>
              <w:ind w:left="426"/>
              <w:rPr>
                <w:rFonts w:ascii="Arial" w:hAnsi="Arial" w:cs="Arial"/>
                <w:sz w:val="16"/>
                <w:lang w:val="en-ZA"/>
              </w:rPr>
            </w:pPr>
          </w:p>
        </w:tc>
      </w:tr>
    </w:tbl>
    <w:p w14:paraId="18EE6BD9" w14:textId="77777777" w:rsidR="00C95EC4" w:rsidRDefault="00C95EC4" w:rsidP="00304117">
      <w:pPr>
        <w:pBdr>
          <w:bottom w:val="single" w:sz="12" w:space="1" w:color="auto"/>
        </w:pBdr>
        <w:tabs>
          <w:tab w:val="left" w:pos="720"/>
        </w:tabs>
        <w:jc w:val="both"/>
        <w:rPr>
          <w:rFonts w:ascii="Arial" w:hAnsi="Arial" w:cs="Arial"/>
          <w:sz w:val="20"/>
        </w:rPr>
      </w:pPr>
    </w:p>
    <w:p w14:paraId="0DAC101E" w14:textId="77777777" w:rsidR="00FE6AD8" w:rsidRDefault="00FE6AD8" w:rsidP="00FE6AD8">
      <w:pPr>
        <w:tabs>
          <w:tab w:val="left" w:pos="720"/>
        </w:tabs>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04117" w14:paraId="3A3E54AE" w14:textId="77777777" w:rsidTr="00304117">
        <w:tc>
          <w:tcPr>
            <w:tcW w:w="4508" w:type="dxa"/>
          </w:tcPr>
          <w:p w14:paraId="1CF30FCA" w14:textId="77777777" w:rsidR="00304117" w:rsidRDefault="00304117" w:rsidP="00304117">
            <w:pPr>
              <w:tabs>
                <w:tab w:val="left" w:pos="720"/>
              </w:tabs>
              <w:jc w:val="both"/>
              <w:rPr>
                <w:rFonts w:ascii="Arial" w:hAnsi="Arial" w:cs="Arial"/>
                <w:sz w:val="20"/>
              </w:rPr>
            </w:pPr>
            <w:r w:rsidRPr="000C5130">
              <w:rPr>
                <w:rFonts w:ascii="Arial" w:hAnsi="Arial" w:cs="Arial"/>
                <w:sz w:val="20"/>
              </w:rPr>
              <w:t>Compiled by:</w:t>
            </w:r>
          </w:p>
        </w:tc>
        <w:tc>
          <w:tcPr>
            <w:tcW w:w="4508" w:type="dxa"/>
          </w:tcPr>
          <w:p w14:paraId="33B17766" w14:textId="18DB3159" w:rsidR="00304117" w:rsidRDefault="00304117" w:rsidP="00304117">
            <w:pPr>
              <w:tabs>
                <w:tab w:val="left" w:pos="720"/>
              </w:tabs>
              <w:jc w:val="both"/>
              <w:rPr>
                <w:rFonts w:ascii="Arial" w:hAnsi="Arial" w:cs="Arial"/>
                <w:sz w:val="20"/>
              </w:rPr>
            </w:pPr>
          </w:p>
        </w:tc>
      </w:tr>
      <w:tr w:rsidR="00304117" w:rsidRPr="00AC3774" w14:paraId="0E5D426D" w14:textId="77777777" w:rsidTr="00304117">
        <w:tc>
          <w:tcPr>
            <w:tcW w:w="4508" w:type="dxa"/>
          </w:tcPr>
          <w:p w14:paraId="04435BC6" w14:textId="77777777" w:rsidR="00304117" w:rsidRPr="00AC3774" w:rsidRDefault="00304117" w:rsidP="00304117">
            <w:pPr>
              <w:tabs>
                <w:tab w:val="left" w:pos="720"/>
              </w:tabs>
              <w:jc w:val="both"/>
              <w:rPr>
                <w:rFonts w:ascii="Arial" w:hAnsi="Arial" w:cs="Arial"/>
                <w:sz w:val="20"/>
              </w:rPr>
            </w:pPr>
          </w:p>
          <w:p w14:paraId="27247620" w14:textId="77777777" w:rsidR="00304117" w:rsidRPr="00AC3774" w:rsidRDefault="00304117" w:rsidP="00304117">
            <w:pPr>
              <w:tabs>
                <w:tab w:val="left" w:pos="720"/>
              </w:tabs>
              <w:jc w:val="both"/>
              <w:rPr>
                <w:rFonts w:ascii="Arial" w:hAnsi="Arial" w:cs="Arial"/>
                <w:sz w:val="20"/>
              </w:rPr>
            </w:pPr>
          </w:p>
          <w:p w14:paraId="3CD47022" w14:textId="77777777" w:rsidR="00304117" w:rsidRPr="00AC3774" w:rsidRDefault="00304117" w:rsidP="00304117">
            <w:pPr>
              <w:tabs>
                <w:tab w:val="left" w:pos="720"/>
              </w:tabs>
              <w:jc w:val="both"/>
              <w:rPr>
                <w:rFonts w:ascii="Arial" w:hAnsi="Arial" w:cs="Arial"/>
                <w:sz w:val="20"/>
              </w:rPr>
            </w:pPr>
          </w:p>
          <w:p w14:paraId="3CDE9F45" w14:textId="77777777" w:rsidR="00304117" w:rsidRPr="00AC3774" w:rsidRDefault="00304117" w:rsidP="00304117">
            <w:pPr>
              <w:tabs>
                <w:tab w:val="left" w:pos="720"/>
              </w:tabs>
              <w:jc w:val="both"/>
              <w:rPr>
                <w:rFonts w:ascii="Arial" w:hAnsi="Arial" w:cs="Arial"/>
                <w:sz w:val="20"/>
              </w:rPr>
            </w:pPr>
            <w:r w:rsidRPr="00AC3774">
              <w:rPr>
                <w:rFonts w:ascii="Arial" w:hAnsi="Arial" w:cs="Arial"/>
                <w:sz w:val="20"/>
              </w:rPr>
              <w:t>……………………………..</w:t>
            </w:r>
          </w:p>
          <w:p w14:paraId="4390E884" w14:textId="18271560" w:rsidR="00304117" w:rsidRPr="00AC3774" w:rsidRDefault="00721429" w:rsidP="00AC3774">
            <w:pPr>
              <w:tabs>
                <w:tab w:val="left" w:pos="720"/>
              </w:tabs>
              <w:jc w:val="both"/>
              <w:rPr>
                <w:rFonts w:ascii="Arial" w:hAnsi="Arial" w:cs="Arial"/>
                <w:sz w:val="20"/>
              </w:rPr>
            </w:pPr>
            <w:r>
              <w:rPr>
                <w:rFonts w:ascii="Arial" w:hAnsi="Arial" w:cs="Arial"/>
                <w:sz w:val="20"/>
              </w:rPr>
              <w:t>Thomas Chuene</w:t>
            </w:r>
          </w:p>
        </w:tc>
        <w:tc>
          <w:tcPr>
            <w:tcW w:w="4508" w:type="dxa"/>
          </w:tcPr>
          <w:p w14:paraId="10A46903" w14:textId="2C00E007" w:rsidR="00304117" w:rsidRPr="00AC3774" w:rsidRDefault="00304117" w:rsidP="00304117">
            <w:pPr>
              <w:tabs>
                <w:tab w:val="left" w:pos="720"/>
              </w:tabs>
              <w:jc w:val="both"/>
              <w:rPr>
                <w:rFonts w:ascii="Arial" w:hAnsi="Arial" w:cs="Arial"/>
                <w:sz w:val="20"/>
              </w:rPr>
            </w:pPr>
          </w:p>
        </w:tc>
      </w:tr>
      <w:tr w:rsidR="00304117" w:rsidRPr="00AC3774" w14:paraId="5A0B83A9" w14:textId="77777777" w:rsidTr="00304117">
        <w:tc>
          <w:tcPr>
            <w:tcW w:w="4508" w:type="dxa"/>
          </w:tcPr>
          <w:p w14:paraId="2ACA1B21" w14:textId="77777777" w:rsidR="00304117" w:rsidRPr="00AC3774" w:rsidRDefault="00AC3774" w:rsidP="00304117">
            <w:pPr>
              <w:tabs>
                <w:tab w:val="left" w:pos="720"/>
              </w:tabs>
              <w:jc w:val="both"/>
              <w:rPr>
                <w:rFonts w:ascii="Arial" w:hAnsi="Arial" w:cs="Arial"/>
                <w:sz w:val="20"/>
              </w:rPr>
            </w:pPr>
            <w:r w:rsidRPr="00AC3774">
              <w:rPr>
                <w:rFonts w:ascii="Arial" w:hAnsi="Arial" w:cs="Arial"/>
                <w:sz w:val="20"/>
              </w:rPr>
              <w:t>Senior Advisor</w:t>
            </w:r>
          </w:p>
          <w:p w14:paraId="267F7810" w14:textId="77777777" w:rsidR="00304117" w:rsidRPr="00AC3774" w:rsidRDefault="00AC3774" w:rsidP="00304117">
            <w:pPr>
              <w:tabs>
                <w:tab w:val="left" w:pos="720"/>
              </w:tabs>
              <w:jc w:val="both"/>
              <w:rPr>
                <w:rFonts w:ascii="Arial" w:hAnsi="Arial" w:cs="Arial"/>
                <w:sz w:val="20"/>
              </w:rPr>
            </w:pPr>
            <w:r w:rsidRPr="00AC3774">
              <w:rPr>
                <w:rFonts w:ascii="Arial" w:hAnsi="Arial" w:cs="Arial"/>
                <w:sz w:val="20"/>
              </w:rPr>
              <w:t>Supplier Development and Localization</w:t>
            </w:r>
          </w:p>
        </w:tc>
        <w:tc>
          <w:tcPr>
            <w:tcW w:w="4508" w:type="dxa"/>
          </w:tcPr>
          <w:p w14:paraId="0DDFB410" w14:textId="389F24F7" w:rsidR="00304117" w:rsidRPr="00AC3774" w:rsidRDefault="00304117" w:rsidP="00304117">
            <w:pPr>
              <w:tabs>
                <w:tab w:val="left" w:pos="720"/>
              </w:tabs>
              <w:jc w:val="both"/>
              <w:rPr>
                <w:rFonts w:ascii="Arial" w:hAnsi="Arial" w:cs="Arial"/>
                <w:sz w:val="20"/>
              </w:rPr>
            </w:pPr>
          </w:p>
        </w:tc>
      </w:tr>
      <w:tr w:rsidR="00304117" w14:paraId="1923C7D8" w14:textId="77777777" w:rsidTr="00304117">
        <w:tc>
          <w:tcPr>
            <w:tcW w:w="4508" w:type="dxa"/>
          </w:tcPr>
          <w:p w14:paraId="06C6BD92" w14:textId="77777777" w:rsidR="00304117" w:rsidRPr="00AC3774" w:rsidRDefault="00304117" w:rsidP="00304117">
            <w:pPr>
              <w:tabs>
                <w:tab w:val="left" w:pos="720"/>
              </w:tabs>
              <w:jc w:val="both"/>
              <w:rPr>
                <w:rFonts w:ascii="Arial" w:hAnsi="Arial" w:cs="Arial"/>
                <w:sz w:val="20"/>
              </w:rPr>
            </w:pPr>
          </w:p>
          <w:p w14:paraId="11632EFB" w14:textId="25CDF848" w:rsidR="00304117" w:rsidRPr="00AC3774" w:rsidRDefault="00721429" w:rsidP="00304117">
            <w:pPr>
              <w:tabs>
                <w:tab w:val="left" w:pos="720"/>
              </w:tabs>
              <w:jc w:val="both"/>
              <w:rPr>
                <w:rFonts w:ascii="Arial" w:hAnsi="Arial" w:cs="Arial"/>
                <w:sz w:val="20"/>
              </w:rPr>
            </w:pPr>
            <w:r w:rsidRPr="00AC3774">
              <w:rPr>
                <w:rFonts w:ascii="Arial" w:hAnsi="Arial" w:cs="Arial"/>
                <w:sz w:val="20"/>
              </w:rPr>
              <w:t>Date:</w:t>
            </w:r>
            <w:r w:rsidR="007F200A">
              <w:rPr>
                <w:rFonts w:ascii="Arial" w:hAnsi="Arial" w:cs="Arial"/>
                <w:sz w:val="20"/>
              </w:rPr>
              <w:t xml:space="preserve"> </w:t>
            </w:r>
            <w:r w:rsidR="00D33E30">
              <w:rPr>
                <w:rFonts w:ascii="Arial" w:hAnsi="Arial" w:cs="Arial"/>
                <w:sz w:val="20"/>
              </w:rPr>
              <w:t>0</w:t>
            </w:r>
            <w:r w:rsidR="000631CC">
              <w:rPr>
                <w:rFonts w:ascii="Arial" w:hAnsi="Arial" w:cs="Arial"/>
                <w:sz w:val="20"/>
              </w:rPr>
              <w:t xml:space="preserve">2 March </w:t>
            </w:r>
            <w:r w:rsidR="007F200A">
              <w:rPr>
                <w:rFonts w:ascii="Arial" w:hAnsi="Arial" w:cs="Arial"/>
                <w:sz w:val="20"/>
              </w:rPr>
              <w:t xml:space="preserve"> 2023</w:t>
            </w:r>
          </w:p>
        </w:tc>
        <w:tc>
          <w:tcPr>
            <w:tcW w:w="4508" w:type="dxa"/>
          </w:tcPr>
          <w:p w14:paraId="294A0EBA" w14:textId="4C59E8F4" w:rsidR="00304117" w:rsidRPr="00AC3774" w:rsidRDefault="00304117" w:rsidP="00304117">
            <w:pPr>
              <w:tabs>
                <w:tab w:val="left" w:pos="720"/>
              </w:tabs>
              <w:jc w:val="both"/>
              <w:rPr>
                <w:rFonts w:ascii="Arial" w:hAnsi="Arial" w:cs="Arial"/>
                <w:sz w:val="20"/>
              </w:rPr>
            </w:pPr>
          </w:p>
        </w:tc>
      </w:tr>
    </w:tbl>
    <w:p w14:paraId="0CB66DE2" w14:textId="77777777" w:rsidR="003914DE" w:rsidRDefault="003914DE">
      <w:pPr>
        <w:rPr>
          <w:rFonts w:ascii="Arial" w:hAnsi="Arial" w:cs="Arial"/>
          <w:sz w:val="20"/>
          <w:lang w:val="en-GB"/>
        </w:rPr>
      </w:pPr>
    </w:p>
    <w:sectPr w:rsidR="003914DE"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F81D" w14:textId="77777777" w:rsidR="00056A5E" w:rsidRDefault="00056A5E" w:rsidP="00201A98">
      <w:r>
        <w:separator/>
      </w:r>
    </w:p>
  </w:endnote>
  <w:endnote w:type="continuationSeparator" w:id="0">
    <w:p w14:paraId="70FDBC6C" w14:textId="77777777" w:rsidR="00056A5E" w:rsidRDefault="00056A5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E333"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79B2FEBB"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62E338A7" w14:textId="77777777" w:rsidR="00105474" w:rsidRPr="00105474" w:rsidRDefault="00105474" w:rsidP="00105474">
    <w:pPr>
      <w:pStyle w:val="Footer"/>
      <w:jc w:val="center"/>
      <w:rPr>
        <w:rFonts w:ascii="Arial" w:hAnsi="Arial" w:cs="Arial"/>
        <w:sz w:val="16"/>
        <w:szCs w:val="16"/>
        <w:lang w:val="en-GB"/>
      </w:rPr>
    </w:pPr>
  </w:p>
  <w:p w14:paraId="42014E16" w14:textId="77777777" w:rsidR="00304117" w:rsidRPr="00105474" w:rsidRDefault="00304117"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105474">
      <w:rPr>
        <w:rFonts w:ascii="Arial" w:hAnsi="Arial" w:cs="Arial"/>
        <w:sz w:val="16"/>
        <w:szCs w:val="16"/>
      </w:rPr>
      <w:fldChar w:fldCharType="begin"/>
    </w:r>
    <w:r w:rsidRPr="00105474">
      <w:rPr>
        <w:rFonts w:ascii="Arial" w:hAnsi="Arial" w:cs="Arial"/>
        <w:sz w:val="16"/>
        <w:szCs w:val="16"/>
      </w:rPr>
      <w:instrText xml:space="preserve"> FILENAME  \* FirstCap  \* MERGEFORMAT </w:instrText>
    </w:r>
    <w:r w:rsidRPr="00105474">
      <w:rPr>
        <w:rFonts w:ascii="Arial" w:hAnsi="Arial" w:cs="Arial"/>
        <w:sz w:val="16"/>
        <w:szCs w:val="16"/>
      </w:rPr>
      <w:fldChar w:fldCharType="separate"/>
    </w:r>
    <w:r w:rsidR="00D21895">
      <w:rPr>
        <w:rFonts w:ascii="Arial" w:hAnsi="Arial" w:cs="Arial"/>
        <w:noProof/>
        <w:sz w:val="16"/>
        <w:szCs w:val="16"/>
      </w:rPr>
      <w:t>SDLI Strategy - Gerneral maintenance on Eskom Buildings</w:t>
    </w:r>
    <w:r w:rsidRPr="00105474">
      <w:rPr>
        <w:rFonts w:ascii="Arial" w:hAnsi="Arial" w:cs="Arial"/>
        <w:sz w:val="16"/>
        <w:szCs w:val="16"/>
      </w:rPr>
      <w:fldChar w:fldCharType="end"/>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7757D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7757D9">
      <w:rPr>
        <w:rFonts w:ascii="Arial" w:hAnsi="Arial" w:cs="Arial"/>
        <w:noProof/>
        <w:sz w:val="16"/>
        <w:szCs w:val="16"/>
      </w:rPr>
      <w:t>4</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777F" w14:textId="77777777" w:rsidR="00056A5E" w:rsidRDefault="00056A5E" w:rsidP="00201A98">
      <w:r>
        <w:separator/>
      </w:r>
    </w:p>
  </w:footnote>
  <w:footnote w:type="continuationSeparator" w:id="0">
    <w:p w14:paraId="1915A442" w14:textId="77777777" w:rsidR="00056A5E" w:rsidRDefault="00056A5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09204812" w14:textId="77777777" w:rsidTr="00105474">
      <w:trPr>
        <w:cantSplit/>
        <w:trHeight w:val="263"/>
        <w:jc w:val="center"/>
      </w:trPr>
      <w:tc>
        <w:tcPr>
          <w:tcW w:w="2410" w:type="dxa"/>
          <w:vMerge w:val="restart"/>
          <w:vAlign w:val="bottom"/>
        </w:tcPr>
        <w:p w14:paraId="2D5BBE16"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75592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0075796" r:id="rId2"/>
            </w:object>
          </w:r>
        </w:p>
      </w:tc>
      <w:tc>
        <w:tcPr>
          <w:tcW w:w="3544" w:type="dxa"/>
          <w:vMerge w:val="restart"/>
          <w:vAlign w:val="center"/>
        </w:tcPr>
        <w:p w14:paraId="339824A4"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6EC26877"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332E829C" w14:textId="77777777" w:rsidR="00304117" w:rsidRPr="00105474" w:rsidRDefault="00404772" w:rsidP="003113D9">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1A556B5F"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A04E70A" w14:textId="77777777" w:rsidR="00304117" w:rsidRPr="00105474" w:rsidRDefault="00304117" w:rsidP="003113D9">
          <w:pPr>
            <w:rPr>
              <w:rFonts w:ascii="Arial" w:hAnsi="Arial"/>
              <w:sz w:val="16"/>
              <w:lang w:val="en-GB"/>
            </w:rPr>
          </w:pPr>
          <w:r w:rsidRPr="00105474">
            <w:rPr>
              <w:rFonts w:ascii="Arial" w:hAnsi="Arial"/>
              <w:sz w:val="16"/>
              <w:lang w:val="en-GB"/>
            </w:rPr>
            <w:t>1</w:t>
          </w:r>
        </w:p>
      </w:tc>
    </w:tr>
    <w:tr w:rsidR="00304117" w:rsidRPr="00116E60" w14:paraId="2D70D867" w14:textId="77777777" w:rsidTr="00105474">
      <w:trPr>
        <w:cantSplit/>
        <w:trHeight w:val="261"/>
        <w:jc w:val="center"/>
      </w:trPr>
      <w:tc>
        <w:tcPr>
          <w:tcW w:w="2410" w:type="dxa"/>
          <w:vMerge/>
          <w:vAlign w:val="bottom"/>
        </w:tcPr>
        <w:p w14:paraId="3679A16C" w14:textId="77777777" w:rsidR="00304117" w:rsidRPr="003914DE" w:rsidRDefault="00304117" w:rsidP="00EA1B3D">
          <w:pPr>
            <w:spacing w:before="840"/>
            <w:rPr>
              <w:rFonts w:ascii="Arial" w:hAnsi="Arial"/>
              <w:b/>
              <w:lang w:val="en-GB"/>
            </w:rPr>
          </w:pPr>
        </w:p>
      </w:tc>
      <w:tc>
        <w:tcPr>
          <w:tcW w:w="3544" w:type="dxa"/>
          <w:vMerge/>
          <w:vAlign w:val="center"/>
        </w:tcPr>
        <w:p w14:paraId="73327FA0"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735723B2" w14:textId="77777777" w:rsidR="00304117" w:rsidRPr="00105474" w:rsidRDefault="00304117"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1014631" w14:textId="77777777" w:rsidR="00304117" w:rsidRPr="00105474" w:rsidRDefault="00304117" w:rsidP="00EA1B3D">
          <w:pPr>
            <w:rPr>
              <w:rFonts w:ascii="Arial" w:hAnsi="Arial"/>
              <w:sz w:val="16"/>
              <w:lang w:val="en-GB"/>
            </w:rPr>
          </w:pPr>
          <w:r w:rsidRPr="00105474">
            <w:rPr>
              <w:rFonts w:ascii="Arial" w:hAnsi="Arial"/>
              <w:sz w:val="16"/>
              <w:lang w:val="en-GB"/>
            </w:rPr>
            <w:t>N/A</w:t>
          </w:r>
        </w:p>
      </w:tc>
      <w:tc>
        <w:tcPr>
          <w:tcW w:w="567" w:type="dxa"/>
          <w:shd w:val="clear" w:color="auto" w:fill="auto"/>
          <w:vAlign w:val="center"/>
        </w:tcPr>
        <w:p w14:paraId="58EEC09B" w14:textId="77777777" w:rsidR="00304117" w:rsidRPr="00105474" w:rsidRDefault="00304117"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5A5FEF6C" w14:textId="77777777" w:rsidR="00304117" w:rsidRPr="00105474" w:rsidRDefault="00304117" w:rsidP="0088295E">
          <w:pPr>
            <w:rPr>
              <w:rFonts w:ascii="Arial" w:hAnsi="Arial"/>
              <w:sz w:val="16"/>
              <w:lang w:val="en-GB"/>
            </w:rPr>
          </w:pPr>
          <w:r w:rsidRPr="00105474">
            <w:rPr>
              <w:rFonts w:ascii="Arial" w:hAnsi="Arial"/>
              <w:sz w:val="16"/>
              <w:lang w:val="en-GB"/>
            </w:rPr>
            <w:t>N/A</w:t>
          </w:r>
        </w:p>
      </w:tc>
    </w:tr>
    <w:tr w:rsidR="00304117" w:rsidRPr="00116E60" w14:paraId="5CCCD82D" w14:textId="77777777" w:rsidTr="00105474">
      <w:trPr>
        <w:cantSplit/>
        <w:trHeight w:val="261"/>
        <w:jc w:val="center"/>
      </w:trPr>
      <w:tc>
        <w:tcPr>
          <w:tcW w:w="2410" w:type="dxa"/>
          <w:vMerge/>
          <w:vAlign w:val="bottom"/>
        </w:tcPr>
        <w:p w14:paraId="5D2ABCE9" w14:textId="77777777" w:rsidR="00304117" w:rsidRPr="003914DE" w:rsidRDefault="00304117" w:rsidP="00EA1B3D">
          <w:pPr>
            <w:spacing w:before="840"/>
            <w:rPr>
              <w:rFonts w:ascii="Arial" w:hAnsi="Arial"/>
              <w:b/>
              <w:lang w:val="en-GB"/>
            </w:rPr>
          </w:pPr>
        </w:p>
      </w:tc>
      <w:tc>
        <w:tcPr>
          <w:tcW w:w="3544" w:type="dxa"/>
          <w:vMerge/>
          <w:vAlign w:val="center"/>
        </w:tcPr>
        <w:p w14:paraId="4B9E1A26"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0B5E060A" w14:textId="77777777" w:rsidR="00304117" w:rsidRPr="00105474" w:rsidRDefault="00304117"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311A6621" w14:textId="77777777" w:rsidR="00304117" w:rsidRPr="00105474" w:rsidRDefault="00304117" w:rsidP="00BE6D5F">
          <w:pPr>
            <w:rPr>
              <w:rFonts w:ascii="Arial" w:hAnsi="Arial"/>
              <w:sz w:val="16"/>
              <w:lang w:val="en-GB"/>
            </w:rPr>
          </w:pPr>
          <w:r w:rsidRPr="00105474">
            <w:rPr>
              <w:rFonts w:ascii="Arial" w:hAnsi="Arial"/>
              <w:sz w:val="16"/>
              <w:lang w:val="en-GB"/>
            </w:rPr>
            <w:t>01 September 2019</w:t>
          </w:r>
        </w:p>
      </w:tc>
    </w:tr>
    <w:tr w:rsidR="00304117" w:rsidRPr="00DB041F" w14:paraId="60478E54" w14:textId="77777777" w:rsidTr="00105474">
      <w:trPr>
        <w:cantSplit/>
        <w:trHeight w:hRule="exact" w:val="322"/>
        <w:jc w:val="center"/>
      </w:trPr>
      <w:tc>
        <w:tcPr>
          <w:tcW w:w="2410" w:type="dxa"/>
          <w:vMerge/>
          <w:vAlign w:val="bottom"/>
        </w:tcPr>
        <w:p w14:paraId="398E2E89" w14:textId="77777777" w:rsidR="00304117" w:rsidRPr="003914DE" w:rsidRDefault="00304117" w:rsidP="00EA1B3D">
          <w:pPr>
            <w:spacing w:before="840"/>
            <w:rPr>
              <w:rFonts w:ascii="Arial" w:hAnsi="Arial"/>
              <w:b/>
              <w:lang w:val="en-GB"/>
            </w:rPr>
          </w:pPr>
        </w:p>
      </w:tc>
      <w:tc>
        <w:tcPr>
          <w:tcW w:w="3544" w:type="dxa"/>
          <w:vMerge/>
          <w:vAlign w:val="center"/>
        </w:tcPr>
        <w:p w14:paraId="1E9BFEBC" w14:textId="77777777" w:rsidR="00304117" w:rsidRPr="003914DE" w:rsidRDefault="00304117" w:rsidP="00EA1B3D">
          <w:pPr>
            <w:jc w:val="center"/>
            <w:rPr>
              <w:rFonts w:ascii="Arial" w:hAnsi="Arial" w:cs="Arial"/>
              <w:b/>
              <w:lang w:val="en-GB"/>
            </w:rPr>
          </w:pPr>
        </w:p>
      </w:tc>
      <w:tc>
        <w:tcPr>
          <w:tcW w:w="1795" w:type="dxa"/>
          <w:shd w:val="clear" w:color="auto" w:fill="auto"/>
          <w:vAlign w:val="center"/>
        </w:tcPr>
        <w:p w14:paraId="61883847" w14:textId="77777777" w:rsidR="00304117" w:rsidRPr="00105474" w:rsidRDefault="00304117"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41E3EEA9" w14:textId="77777777" w:rsidR="00304117" w:rsidRPr="00105474" w:rsidRDefault="00304117" w:rsidP="00BE6D5F">
          <w:pPr>
            <w:rPr>
              <w:rFonts w:ascii="Arial" w:hAnsi="Arial"/>
              <w:sz w:val="16"/>
              <w:lang w:val="en-GB"/>
            </w:rPr>
          </w:pPr>
          <w:r w:rsidRPr="00105474">
            <w:rPr>
              <w:rFonts w:ascii="Arial" w:hAnsi="Arial"/>
              <w:sz w:val="16"/>
              <w:lang w:val="en-GB"/>
            </w:rPr>
            <w:t>September 2022</w:t>
          </w:r>
        </w:p>
      </w:tc>
    </w:tr>
  </w:tbl>
  <w:p w14:paraId="342C0A8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A1F8"/>
      </v:shape>
    </w:pict>
  </w:numPicBullet>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AEF3FC9"/>
    <w:multiLevelType w:val="hybridMultilevel"/>
    <w:tmpl w:val="7AD0EADA"/>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E716C61"/>
    <w:multiLevelType w:val="hybridMultilevel"/>
    <w:tmpl w:val="A9860298"/>
    <w:lvl w:ilvl="0" w:tplc="1D3A7AAC">
      <w:start w:val="1"/>
      <w:numFmt w:val="lowerLetter"/>
      <w:lvlText w:val="%1)"/>
      <w:lvlJc w:val="left"/>
      <w:pPr>
        <w:ind w:left="392" w:hanging="360"/>
      </w:pPr>
      <w:rPr>
        <w:rFonts w:hint="default"/>
      </w:rPr>
    </w:lvl>
    <w:lvl w:ilvl="1" w:tplc="1C090019" w:tentative="1">
      <w:start w:val="1"/>
      <w:numFmt w:val="lowerLetter"/>
      <w:lvlText w:val="%2."/>
      <w:lvlJc w:val="left"/>
      <w:pPr>
        <w:ind w:left="1112" w:hanging="360"/>
      </w:pPr>
    </w:lvl>
    <w:lvl w:ilvl="2" w:tplc="1C09001B" w:tentative="1">
      <w:start w:val="1"/>
      <w:numFmt w:val="lowerRoman"/>
      <w:lvlText w:val="%3."/>
      <w:lvlJc w:val="right"/>
      <w:pPr>
        <w:ind w:left="1832" w:hanging="180"/>
      </w:pPr>
    </w:lvl>
    <w:lvl w:ilvl="3" w:tplc="1C09000F" w:tentative="1">
      <w:start w:val="1"/>
      <w:numFmt w:val="decimal"/>
      <w:lvlText w:val="%4."/>
      <w:lvlJc w:val="left"/>
      <w:pPr>
        <w:ind w:left="2552" w:hanging="360"/>
      </w:pPr>
    </w:lvl>
    <w:lvl w:ilvl="4" w:tplc="1C090019" w:tentative="1">
      <w:start w:val="1"/>
      <w:numFmt w:val="lowerLetter"/>
      <w:lvlText w:val="%5."/>
      <w:lvlJc w:val="left"/>
      <w:pPr>
        <w:ind w:left="3272" w:hanging="360"/>
      </w:pPr>
    </w:lvl>
    <w:lvl w:ilvl="5" w:tplc="1C09001B" w:tentative="1">
      <w:start w:val="1"/>
      <w:numFmt w:val="lowerRoman"/>
      <w:lvlText w:val="%6."/>
      <w:lvlJc w:val="right"/>
      <w:pPr>
        <w:ind w:left="3992" w:hanging="180"/>
      </w:pPr>
    </w:lvl>
    <w:lvl w:ilvl="6" w:tplc="1C09000F" w:tentative="1">
      <w:start w:val="1"/>
      <w:numFmt w:val="decimal"/>
      <w:lvlText w:val="%7."/>
      <w:lvlJc w:val="left"/>
      <w:pPr>
        <w:ind w:left="4712" w:hanging="360"/>
      </w:pPr>
    </w:lvl>
    <w:lvl w:ilvl="7" w:tplc="1C090019" w:tentative="1">
      <w:start w:val="1"/>
      <w:numFmt w:val="lowerLetter"/>
      <w:lvlText w:val="%8."/>
      <w:lvlJc w:val="left"/>
      <w:pPr>
        <w:ind w:left="5432" w:hanging="360"/>
      </w:pPr>
    </w:lvl>
    <w:lvl w:ilvl="8" w:tplc="1C09001B" w:tentative="1">
      <w:start w:val="1"/>
      <w:numFmt w:val="lowerRoman"/>
      <w:lvlText w:val="%9."/>
      <w:lvlJc w:val="right"/>
      <w:pPr>
        <w:ind w:left="6152" w:hanging="180"/>
      </w:pPr>
    </w:lvl>
  </w:abstractNum>
  <w:abstractNum w:abstractNumId="11"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12" w15:restartNumberingAfterBreak="0">
    <w:nsid w:val="3A254F08"/>
    <w:multiLevelType w:val="hybridMultilevel"/>
    <w:tmpl w:val="0D3E5C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14" w15:restartNumberingAfterBreak="0">
    <w:nsid w:val="512708D4"/>
    <w:multiLevelType w:val="hybridMultilevel"/>
    <w:tmpl w:val="3594F50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5"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E021334"/>
    <w:multiLevelType w:val="hybridMultilevel"/>
    <w:tmpl w:val="BDFABE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77743140">
    <w:abstractNumId w:val="5"/>
  </w:num>
  <w:num w:numId="2" w16cid:durableId="1285423489">
    <w:abstractNumId w:val="14"/>
  </w:num>
  <w:num w:numId="3" w16cid:durableId="42675470">
    <w:abstractNumId w:val="15"/>
  </w:num>
  <w:num w:numId="4" w16cid:durableId="349918114">
    <w:abstractNumId w:val="2"/>
  </w:num>
  <w:num w:numId="5" w16cid:durableId="854730414">
    <w:abstractNumId w:val="7"/>
  </w:num>
  <w:num w:numId="6" w16cid:durableId="325473575">
    <w:abstractNumId w:val="8"/>
  </w:num>
  <w:num w:numId="7" w16cid:durableId="97605996">
    <w:abstractNumId w:val="17"/>
  </w:num>
  <w:num w:numId="8" w16cid:durableId="567887944">
    <w:abstractNumId w:val="4"/>
  </w:num>
  <w:num w:numId="9" w16cid:durableId="415712519">
    <w:abstractNumId w:val="11"/>
  </w:num>
  <w:num w:numId="10" w16cid:durableId="1940870128">
    <w:abstractNumId w:val="13"/>
  </w:num>
  <w:num w:numId="11" w16cid:durableId="186453728">
    <w:abstractNumId w:val="12"/>
  </w:num>
  <w:num w:numId="12" w16cid:durableId="2119375080">
    <w:abstractNumId w:val="1"/>
  </w:num>
  <w:num w:numId="13" w16cid:durableId="815025792">
    <w:abstractNumId w:val="18"/>
  </w:num>
  <w:num w:numId="14" w16cid:durableId="1682774319">
    <w:abstractNumId w:val="6"/>
  </w:num>
  <w:num w:numId="15" w16cid:durableId="809709444">
    <w:abstractNumId w:val="9"/>
  </w:num>
  <w:num w:numId="16" w16cid:durableId="1915771941">
    <w:abstractNumId w:val="3"/>
  </w:num>
  <w:num w:numId="17" w16cid:durableId="1767966010">
    <w:abstractNumId w:val="0"/>
  </w:num>
  <w:num w:numId="18" w16cid:durableId="679426141">
    <w:abstractNumId w:val="16"/>
  </w:num>
  <w:num w:numId="19" w16cid:durableId="885682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18C"/>
    <w:rsid w:val="00012461"/>
    <w:rsid w:val="00056A5E"/>
    <w:rsid w:val="000631CC"/>
    <w:rsid w:val="00074C17"/>
    <w:rsid w:val="00097047"/>
    <w:rsid w:val="000A01FA"/>
    <w:rsid w:val="000B165C"/>
    <w:rsid w:val="000B28F1"/>
    <w:rsid w:val="000C379B"/>
    <w:rsid w:val="000C49DF"/>
    <w:rsid w:val="000E3C36"/>
    <w:rsid w:val="001022DD"/>
    <w:rsid w:val="001024B1"/>
    <w:rsid w:val="00105474"/>
    <w:rsid w:val="00120EE3"/>
    <w:rsid w:val="001477A3"/>
    <w:rsid w:val="00152E51"/>
    <w:rsid w:val="00155248"/>
    <w:rsid w:val="001829A7"/>
    <w:rsid w:val="001C60DF"/>
    <w:rsid w:val="001D042C"/>
    <w:rsid w:val="00201A98"/>
    <w:rsid w:val="002406B1"/>
    <w:rsid w:val="0024268A"/>
    <w:rsid w:val="002501C9"/>
    <w:rsid w:val="002753A3"/>
    <w:rsid w:val="00277A1E"/>
    <w:rsid w:val="002855B7"/>
    <w:rsid w:val="002A7C4A"/>
    <w:rsid w:val="002F4F5C"/>
    <w:rsid w:val="00304117"/>
    <w:rsid w:val="003113D9"/>
    <w:rsid w:val="00324807"/>
    <w:rsid w:val="00332369"/>
    <w:rsid w:val="00357373"/>
    <w:rsid w:val="00373CF8"/>
    <w:rsid w:val="003840F2"/>
    <w:rsid w:val="003914DE"/>
    <w:rsid w:val="003B055B"/>
    <w:rsid w:val="003B3ABD"/>
    <w:rsid w:val="003C6DB1"/>
    <w:rsid w:val="003E4D3F"/>
    <w:rsid w:val="003F2387"/>
    <w:rsid w:val="003F64F6"/>
    <w:rsid w:val="003F7B1E"/>
    <w:rsid w:val="00404772"/>
    <w:rsid w:val="0042570D"/>
    <w:rsid w:val="00426C0A"/>
    <w:rsid w:val="00457235"/>
    <w:rsid w:val="00457274"/>
    <w:rsid w:val="00460577"/>
    <w:rsid w:val="00470A92"/>
    <w:rsid w:val="0048244F"/>
    <w:rsid w:val="004857A1"/>
    <w:rsid w:val="004954EB"/>
    <w:rsid w:val="004D1602"/>
    <w:rsid w:val="004D47AE"/>
    <w:rsid w:val="004E19F4"/>
    <w:rsid w:val="004E67DD"/>
    <w:rsid w:val="00504CE2"/>
    <w:rsid w:val="00534369"/>
    <w:rsid w:val="00550760"/>
    <w:rsid w:val="00560EDB"/>
    <w:rsid w:val="005765A0"/>
    <w:rsid w:val="005908DD"/>
    <w:rsid w:val="0059543E"/>
    <w:rsid w:val="005E0073"/>
    <w:rsid w:val="005E3BE0"/>
    <w:rsid w:val="005E6044"/>
    <w:rsid w:val="005F11E3"/>
    <w:rsid w:val="005F7D88"/>
    <w:rsid w:val="0060093D"/>
    <w:rsid w:val="006260D8"/>
    <w:rsid w:val="00627923"/>
    <w:rsid w:val="0063746A"/>
    <w:rsid w:val="00637900"/>
    <w:rsid w:val="0064691F"/>
    <w:rsid w:val="00652125"/>
    <w:rsid w:val="00657B8A"/>
    <w:rsid w:val="006A23C4"/>
    <w:rsid w:val="006E0251"/>
    <w:rsid w:val="006E0D63"/>
    <w:rsid w:val="006E52BA"/>
    <w:rsid w:val="006E6575"/>
    <w:rsid w:val="00702C96"/>
    <w:rsid w:val="00721429"/>
    <w:rsid w:val="00732A3F"/>
    <w:rsid w:val="007333D2"/>
    <w:rsid w:val="007757D9"/>
    <w:rsid w:val="00791C9C"/>
    <w:rsid w:val="007A6F13"/>
    <w:rsid w:val="007B40D4"/>
    <w:rsid w:val="007C0A56"/>
    <w:rsid w:val="007C2285"/>
    <w:rsid w:val="007F0AAF"/>
    <w:rsid w:val="007F200A"/>
    <w:rsid w:val="00801C80"/>
    <w:rsid w:val="00815C2E"/>
    <w:rsid w:val="00843855"/>
    <w:rsid w:val="00844D86"/>
    <w:rsid w:val="0084573D"/>
    <w:rsid w:val="0085043F"/>
    <w:rsid w:val="0085759B"/>
    <w:rsid w:val="00860C12"/>
    <w:rsid w:val="00861AE9"/>
    <w:rsid w:val="0088295E"/>
    <w:rsid w:val="008951A9"/>
    <w:rsid w:val="008A66CD"/>
    <w:rsid w:val="008B58BA"/>
    <w:rsid w:val="008C6A58"/>
    <w:rsid w:val="008D10CF"/>
    <w:rsid w:val="008D2E40"/>
    <w:rsid w:val="008F104F"/>
    <w:rsid w:val="008F5BEC"/>
    <w:rsid w:val="00924E22"/>
    <w:rsid w:val="00927750"/>
    <w:rsid w:val="00931A59"/>
    <w:rsid w:val="00934FF7"/>
    <w:rsid w:val="00970379"/>
    <w:rsid w:val="009758E6"/>
    <w:rsid w:val="00990CA9"/>
    <w:rsid w:val="009A77EC"/>
    <w:rsid w:val="009A7A76"/>
    <w:rsid w:val="009B320B"/>
    <w:rsid w:val="009C63AF"/>
    <w:rsid w:val="009C78D8"/>
    <w:rsid w:val="009E1596"/>
    <w:rsid w:val="009F6A5C"/>
    <w:rsid w:val="009F7E7B"/>
    <w:rsid w:val="00A22EF4"/>
    <w:rsid w:val="00A256F9"/>
    <w:rsid w:val="00A32A2B"/>
    <w:rsid w:val="00A6602E"/>
    <w:rsid w:val="00A67C16"/>
    <w:rsid w:val="00A72491"/>
    <w:rsid w:val="00A90AEA"/>
    <w:rsid w:val="00AA16F4"/>
    <w:rsid w:val="00AA6DE1"/>
    <w:rsid w:val="00AC3774"/>
    <w:rsid w:val="00AD5071"/>
    <w:rsid w:val="00AD784B"/>
    <w:rsid w:val="00AE5870"/>
    <w:rsid w:val="00AE7139"/>
    <w:rsid w:val="00AF35DE"/>
    <w:rsid w:val="00B0566F"/>
    <w:rsid w:val="00B85F6B"/>
    <w:rsid w:val="00BA15B9"/>
    <w:rsid w:val="00BA4246"/>
    <w:rsid w:val="00BA5C88"/>
    <w:rsid w:val="00BB781E"/>
    <w:rsid w:val="00BE0CD8"/>
    <w:rsid w:val="00BE56E8"/>
    <w:rsid w:val="00BE6D5F"/>
    <w:rsid w:val="00C044C7"/>
    <w:rsid w:val="00C33694"/>
    <w:rsid w:val="00C40E58"/>
    <w:rsid w:val="00C413FB"/>
    <w:rsid w:val="00C72E5D"/>
    <w:rsid w:val="00C74CDB"/>
    <w:rsid w:val="00C8088F"/>
    <w:rsid w:val="00C95EC4"/>
    <w:rsid w:val="00CA666C"/>
    <w:rsid w:val="00CB13D4"/>
    <w:rsid w:val="00CB3BE1"/>
    <w:rsid w:val="00D21895"/>
    <w:rsid w:val="00D21CAF"/>
    <w:rsid w:val="00D32E5C"/>
    <w:rsid w:val="00D33E30"/>
    <w:rsid w:val="00D3660F"/>
    <w:rsid w:val="00D5281D"/>
    <w:rsid w:val="00D84CB6"/>
    <w:rsid w:val="00DA3954"/>
    <w:rsid w:val="00DB22F3"/>
    <w:rsid w:val="00DB6A92"/>
    <w:rsid w:val="00DC6795"/>
    <w:rsid w:val="00DC6F09"/>
    <w:rsid w:val="00DD5408"/>
    <w:rsid w:val="00DD7B12"/>
    <w:rsid w:val="00E2355B"/>
    <w:rsid w:val="00E534E2"/>
    <w:rsid w:val="00E71A93"/>
    <w:rsid w:val="00E90B24"/>
    <w:rsid w:val="00EA1B3D"/>
    <w:rsid w:val="00EE4B75"/>
    <w:rsid w:val="00EF279E"/>
    <w:rsid w:val="00EF2CE0"/>
    <w:rsid w:val="00EF3D63"/>
    <w:rsid w:val="00EF6D03"/>
    <w:rsid w:val="00F04C7B"/>
    <w:rsid w:val="00F337F6"/>
    <w:rsid w:val="00F45833"/>
    <w:rsid w:val="00F67CFA"/>
    <w:rsid w:val="00F80733"/>
    <w:rsid w:val="00F9323F"/>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D4CA4"/>
  <w15:docId w15:val="{BAA91FF7-CED4-4044-A299-0AFFFB23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3C4"/>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customStyle="1" w:styleId="ListParagraphChar">
    <w:name w:val="List Paragraph Char"/>
    <w:link w:val="ListParagraph"/>
    <w:uiPriority w:val="34"/>
    <w:rsid w:val="007F200A"/>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Nonhlanhla Tshabalala</cp:lastModifiedBy>
  <cp:revision>2</cp:revision>
  <cp:lastPrinted>2019-09-12T07:23:00Z</cp:lastPrinted>
  <dcterms:created xsi:type="dcterms:W3CDTF">2023-07-05T13:23:00Z</dcterms:created>
  <dcterms:modified xsi:type="dcterms:W3CDTF">2023-07-05T13:23:00Z</dcterms:modified>
</cp:coreProperties>
</file>