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0562136A" w14:textId="20CFECE5" w:rsidR="00870839" w:rsidRDefault="0071776D" w:rsidP="00870839">
      <w:pPr>
        <w:spacing w:after="0" w:line="360" w:lineRule="auto"/>
        <w:jc w:val="center"/>
        <w:rPr>
          <w:rFonts w:ascii="Arial" w:eastAsia="Times New Roman" w:hAnsi="Arial" w:cs="Arial"/>
          <w:b/>
          <w:bCs/>
          <w:snapToGrid w:val="0"/>
          <w:lang w:val="en-GB"/>
        </w:rPr>
      </w:pPr>
      <w:r w:rsidRPr="0071776D">
        <w:rPr>
          <w:rFonts w:ascii="Arial" w:eastAsia="Times New Roman" w:hAnsi="Arial" w:cs="Arial"/>
          <w:b/>
          <w:bCs/>
          <w:snapToGrid w:val="0"/>
          <w:lang w:val="en-GB"/>
        </w:rPr>
        <w:t>National Transmission Company South Africa SOC Ltd</w:t>
      </w:r>
    </w:p>
    <w:p w14:paraId="63BFDF29" w14:textId="74A3C119" w:rsidR="0071776D" w:rsidRDefault="0071776D" w:rsidP="00870839">
      <w:pPr>
        <w:spacing w:after="0" w:line="360" w:lineRule="auto"/>
        <w:jc w:val="center"/>
        <w:rPr>
          <w:rFonts w:ascii="Arial" w:eastAsia="Times New Roman" w:hAnsi="Arial" w:cs="Arial"/>
          <w:b/>
          <w:bCs/>
          <w:snapToGrid w:val="0"/>
          <w:lang w:val="en-GB"/>
        </w:rPr>
      </w:pPr>
      <w:r>
        <w:rPr>
          <w:rFonts w:ascii="Arial" w:eastAsia="Times New Roman" w:hAnsi="Arial" w:cs="Arial"/>
          <w:b/>
          <w:bCs/>
          <w:snapToGrid w:val="0"/>
          <w:lang w:val="en-GB"/>
        </w:rPr>
        <w:t>“NTCSA”</w:t>
      </w:r>
    </w:p>
    <w:p w14:paraId="3E4FC520" w14:textId="0C5E503A" w:rsidR="0071776D" w:rsidRPr="0071776D" w:rsidRDefault="0071776D" w:rsidP="0071776D">
      <w:pPr>
        <w:spacing w:after="0" w:line="360" w:lineRule="auto"/>
        <w:jc w:val="center"/>
        <w:rPr>
          <w:rFonts w:ascii="Arial" w:eastAsia="Times New Roman" w:hAnsi="Arial" w:cs="Arial"/>
          <w:b/>
        </w:rPr>
      </w:pPr>
      <w:r w:rsidRPr="0071776D">
        <w:rPr>
          <w:rFonts w:ascii="Arial" w:eastAsia="Times New Roman" w:hAnsi="Arial" w:cs="Arial"/>
          <w:b/>
        </w:rPr>
        <w:t xml:space="preserve">Reg No </w:t>
      </w:r>
      <w:r w:rsidRPr="0071776D">
        <w:rPr>
          <w:rFonts w:ascii="Arial" w:eastAsia="Times New Roman" w:hAnsi="Arial" w:cs="Arial"/>
          <w:b/>
          <w:lang w:val="en-GB"/>
        </w:rPr>
        <w:t>2021/539129/30</w:t>
      </w:r>
    </w:p>
    <w:p w14:paraId="4933C43B" w14:textId="77777777" w:rsidR="0071776D" w:rsidRPr="00870839" w:rsidRDefault="0071776D"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5A35428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002402DC">
        <w:rPr>
          <w:rFonts w:ascii="Arial" w:eastAsia="Times New Roman" w:hAnsi="Arial" w:cs="Arial"/>
          <w:b/>
          <w:caps/>
          <w:lang w:val="en-GB"/>
        </w:rPr>
        <w:t xml:space="preserve">National Transmission company south africa </w:t>
      </w:r>
      <w:r w:rsidRPr="00870839">
        <w:rPr>
          <w:rFonts w:ascii="Arial" w:eastAsia="Times New Roman" w:hAnsi="Arial" w:cs="Arial"/>
          <w:b/>
          <w:caps/>
          <w:lang w:val="en-GB"/>
        </w:rPr>
        <w:t>SOC LTD</w:t>
      </w:r>
      <w:r w:rsidR="002402DC">
        <w:rPr>
          <w:rFonts w:ascii="Arial" w:eastAsia="Times New Roman" w:hAnsi="Arial" w:cs="Arial"/>
          <w:b/>
          <w:caps/>
          <w:lang w:val="en-GB"/>
        </w:rPr>
        <w:t xml:space="preserve"> </w:t>
      </w:r>
      <w:r w:rsidRPr="00870839">
        <w:rPr>
          <w:rFonts w:ascii="Arial" w:eastAsia="Times New Roman" w:hAnsi="Arial" w:cs="Arial"/>
          <w:lang w:val="en-GB"/>
        </w:rPr>
        <w:t xml:space="preserve">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Sunninghill ext.3, Sandton, Republic of South Africa, with registration number </w:t>
      </w:r>
      <w:r w:rsidR="002402DC" w:rsidRPr="002402DC">
        <w:rPr>
          <w:rFonts w:ascii="Arial" w:eastAsia="Times New Roman" w:hAnsi="Arial" w:cs="Arial"/>
          <w:snapToGrid w:val="0"/>
          <w:lang w:val="en-GB"/>
        </w:rPr>
        <w:t xml:space="preserve">2021/539129/30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68F4285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51B2D8F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w:t>
      </w:r>
      <w:r w:rsidR="0071776D">
        <w:rPr>
          <w:rFonts w:ascii="Arial" w:eastAsia="Times New Roman" w:hAnsi="Arial" w:cs="Arial"/>
          <w:lang w:val="en-US"/>
        </w:rPr>
        <w:t>Limited</w:t>
      </w:r>
      <w:r w:rsidRPr="00870839">
        <w:rPr>
          <w:rFonts w:ascii="Arial" w:eastAsia="Times New Roman" w:hAnsi="Arial" w:cs="Arial"/>
          <w:lang w:val="en-US"/>
        </w:rPr>
        <w:t xml:space="preserve">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32E871B9"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w:t>
      </w:r>
      <w:r w:rsidRPr="00870839">
        <w:rPr>
          <w:rFonts w:ascii="Arial" w:eastAsia="Times New Roman" w:hAnsi="Arial" w:cs="Arial"/>
          <w:lang w:val="en-GB"/>
        </w:rPr>
        <w:lastRenderedPageBreak/>
        <w:t xml:space="preserve">losses, damages, costs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30DEFC3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w:t>
      </w:r>
      <w:r w:rsidR="0071776D">
        <w:rPr>
          <w:rFonts w:ascii="Arial" w:eastAsia="Times New Roman" w:hAnsi="Arial" w:cs="Arial"/>
          <w:lang w:val="en-GB"/>
        </w:rPr>
        <w:t>Limited</w:t>
      </w:r>
      <w:r w:rsidRPr="00870839">
        <w:rPr>
          <w:rFonts w:ascii="Arial" w:eastAsia="Times New Roman" w:hAnsi="Arial" w:cs="Arial"/>
          <w:lang w:val="en-GB"/>
        </w:rPr>
        <w:t xml:space="preserve">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19AD3642"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53AD38C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 xml:space="preserve">The failure or delay by the Disclosing Party to enforce or to require the performance at any time of any of the provisions of this Agreement shall not be construed to be a waiver of such </w:t>
      </w:r>
      <w:r w:rsidR="0071776D" w:rsidRPr="00870839">
        <w:rPr>
          <w:rFonts w:ascii="Arial" w:eastAsia="Times New Roman" w:hAnsi="Arial" w:cs="Arial"/>
          <w:lang w:val="en-GB"/>
        </w:rPr>
        <w:t>provision and</w:t>
      </w:r>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17.1</w:t>
      </w:r>
      <w:r w:rsidRPr="00870839">
        <w:rPr>
          <w:rFonts w:ascii="Arial" w:eastAsia="Times New Roman" w:hAnsi="Arial" w:cs="Arial"/>
          <w:lang w:val="en-GB"/>
        </w:rPr>
        <w:tab/>
        <w:t>The Parties hereby choose the address for service (“domicilium”)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1E1C7789" w:rsidR="00870839" w:rsidRPr="00870839" w:rsidRDefault="002402DC" w:rsidP="00870839">
            <w:pPr>
              <w:spacing w:after="0" w:line="360" w:lineRule="auto"/>
              <w:rPr>
                <w:rFonts w:ascii="Arial" w:eastAsia="Times New Roman" w:hAnsi="Arial" w:cs="Arial"/>
                <w:smallCaps/>
                <w:lang w:val="en-GB"/>
              </w:rPr>
            </w:pPr>
            <w:r>
              <w:rPr>
                <w:rFonts w:ascii="Arial" w:eastAsia="Times New Roman" w:hAnsi="Arial" w:cs="Arial"/>
                <w:smallCaps/>
                <w:lang w:val="en-GB"/>
              </w:rPr>
              <w:t xml:space="preserve">NTCSA </w:t>
            </w:r>
            <w:r w:rsidR="0071776D" w:rsidRPr="00870839">
              <w:rPr>
                <w:rFonts w:ascii="Arial" w:eastAsia="Times New Roman" w:hAnsi="Arial" w:cs="Arial"/>
                <w:smallCaps/>
                <w:lang w:val="en-GB"/>
              </w:rPr>
              <w:t>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14:paraId="0547625D" w14:textId="23C30E65"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r w:rsidR="0071776D" w:rsidRPr="00870839">
              <w:rPr>
                <w:rFonts w:ascii="Arial" w:eastAsia="Times New Roman" w:hAnsi="Arial" w:cs="Arial"/>
                <w:smallCaps/>
                <w:lang w:val="en-GB"/>
              </w:rPr>
              <w:t>Johannesburg</w:t>
            </w:r>
            <w:r w:rsidRPr="00870839">
              <w:rPr>
                <w:rFonts w:ascii="Arial" w:eastAsia="Times New Roman" w:hAnsi="Arial" w:cs="Arial"/>
                <w:smallCaps/>
                <w:lang w:val="en-GB"/>
              </w:rPr>
              <w:t xml:space="preserve"> 2000 sa</w:t>
            </w:r>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593E3C9B"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r w:rsidR="0071776D" w:rsidRPr="00870839">
        <w:rPr>
          <w:rFonts w:ascii="Arial" w:eastAsia="Times New Roman" w:hAnsi="Arial" w:cs="Arial"/>
          <w:bCs/>
          <w:lang w:val="en-GB"/>
        </w:rPr>
        <w:t>it</w:t>
      </w:r>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40AC05A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w:t>
      </w:r>
      <w:r w:rsidR="002402DC">
        <w:rPr>
          <w:rFonts w:ascii="Arial" w:eastAsia="Times New Roman" w:hAnsi="Arial" w:cs="Arial"/>
          <w:lang w:val="en-GB"/>
        </w:rPr>
        <w:t xml:space="preserve">NTCSA </w:t>
      </w:r>
      <w:r w:rsidRPr="00870839">
        <w:rPr>
          <w:rFonts w:ascii="Arial" w:eastAsia="Times New Roman" w:hAnsi="Arial" w:cs="Arial"/>
          <w:lang w:val="en-GB"/>
        </w:rPr>
        <w:t xml:space="preserve">may on written notice to the other Party hereto, cede and delegate its rights and obligations under this contract to any of its </w:t>
      </w:r>
      <w:r w:rsidR="00964E2A">
        <w:rPr>
          <w:rFonts w:ascii="Arial" w:eastAsia="Times New Roman" w:hAnsi="Arial" w:cs="Arial"/>
          <w:lang w:val="en-GB"/>
        </w:rPr>
        <w:t>departments</w:t>
      </w:r>
      <w:r w:rsidRPr="00870839">
        <w:rPr>
          <w:rFonts w:ascii="Arial" w:eastAsia="Times New Roman" w:hAnsi="Arial" w:cs="Arial"/>
          <w:lang w:val="en-GB"/>
        </w:rPr>
        <w:t xml:space="preserve"> or any of its present operations which may be converted into separate legal entities as a result of the restructuring of the Electricity Supply Industry</w:t>
      </w:r>
      <w:r w:rsidR="00964E2A">
        <w:rPr>
          <w:rFonts w:ascii="Arial" w:eastAsia="Times New Roman" w:hAnsi="Arial" w:cs="Arial"/>
          <w:lang w:val="en-GB"/>
        </w:rPr>
        <w:t>.</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5F9D5446"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w:t>
      </w:r>
      <w:r w:rsidR="0071776D">
        <w:rPr>
          <w:rFonts w:ascii="Arial" w:eastAsia="Times New Roman" w:hAnsi="Arial" w:cs="Arial"/>
          <w:lang w:val="en-GB"/>
        </w:rPr>
        <w:t>Limited</w:t>
      </w:r>
      <w:r w:rsidRPr="00870839">
        <w:rPr>
          <w:rFonts w:ascii="Arial" w:eastAsia="Times New Roman" w:hAnsi="Arial" w:cs="Arial"/>
          <w:lang w:val="en-GB"/>
        </w:rPr>
        <w:t xml:space="preserve">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2FA4D812" w:rsidR="00870839" w:rsidRPr="00870839" w:rsidRDefault="002402DC" w:rsidP="00870839">
            <w:pPr>
              <w:keepNext/>
              <w:widowControl w:val="0"/>
              <w:suppressAutoHyphens/>
              <w:spacing w:after="0" w:line="240" w:lineRule="auto"/>
              <w:rPr>
                <w:rFonts w:ascii="Arial" w:eastAsia="Times New Roman" w:hAnsi="Arial" w:cs="Arial"/>
                <w:b/>
              </w:rPr>
            </w:pPr>
            <w:r>
              <w:rPr>
                <w:rFonts w:ascii="Arial" w:eastAsia="Times New Roman" w:hAnsi="Arial" w:cs="Arial"/>
                <w:b/>
              </w:rPr>
              <w:t xml:space="preserve">NTCSA </w:t>
            </w:r>
            <w:r w:rsidR="00870839" w:rsidRPr="00870839">
              <w:rPr>
                <w:rFonts w:ascii="Arial" w:eastAsia="Times New Roman" w:hAnsi="Arial" w:cs="Arial"/>
                <w:b/>
              </w:rPr>
              <w:t>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B72A" w14:textId="77777777" w:rsidR="000A4AA5" w:rsidRDefault="000A4AA5" w:rsidP="00201A98">
      <w:pPr>
        <w:spacing w:after="0" w:line="240" w:lineRule="auto"/>
      </w:pPr>
      <w:r>
        <w:separator/>
      </w:r>
    </w:p>
  </w:endnote>
  <w:endnote w:type="continuationSeparator" w:id="0">
    <w:p w14:paraId="2A217DE4" w14:textId="77777777" w:rsidR="000A4AA5" w:rsidRDefault="000A4AA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F390" w14:textId="77777777" w:rsidR="00E3109B" w:rsidRDefault="00E31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3685C59A">
                    <wp:simplePos x="0" y="0"/>
                    <wp:positionH relativeFrom="column">
                      <wp:posOffset>-36195</wp:posOffset>
                    </wp:positionH>
                    <wp:positionV relativeFrom="paragraph">
                      <wp:posOffset>20956</wp:posOffset>
                    </wp:positionV>
                    <wp:extent cx="6379210" cy="579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85pt;margin-top:1.65pt;width:502.3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VPZwIAAD0FAAAOAAAAZHJzL2Uyb0RvYy54bWysVEtvGjEQvlfqf7B8Lws0hIKyRJSIqhJK&#10;opIqZ+O1w6pej2sP7NJf37F3eSjtJVUv3lnPN+9vfHPbVIbtlQ8l2JwPen3OlJVQlPYl59+flh8+&#10;cRZQ2EIYsCrnBxX47ez9u5vaTdUQtmAK5Rk5sWFau5xvEd00y4LcqkqEHjhlSanBVwLp179khRc1&#10;ea9MNuz3r7MafOE8SBUC3d61Sj5L/rVWEh+0DgqZyTnlhun06dzEM5vdiOmLF25byi4N8Q9ZVKK0&#10;FPTk6k6gYDtf/uGqKqWHABp7EqoMtC6lSjVQNYP+q2rWW+FUqoWaE9ypTeH/uZX3+7V79Aybz9DQ&#10;AGNDahemgS5jPY32VfxSpoz01MLDqW2qQSbp8vrjeDIckEqSbjSeDIapr9nZ2vmAXxRULAo59zSW&#10;1C2xXwWkiAQ9QmIwC8vSmDQaY1kdI4z6yeCkIQtjI1alIXduzpknCQ9GRYyx35RmZZEKiBeJXmph&#10;PNsLIoaQUllMtSe/hI4oTUm8xbDDn7N6i3FbxzEyWDwZV6UFn6p/lXbx45iybvHUyIu6o4jNpukm&#10;uoHiQIP20O5AcHJZ0jRWIuCj8ER6GiAtMj7QoQ1Q16GTONuC//W3+4gnLpKWs5qWKOfh5054xZn5&#10;aomlk8HVVdy69HM1GhMxmL/UbC41dlctgMYxoCfDySRGPJqjqD1Uz7Tv8xiVVMJKip1zPIoLbFeb&#10;3gup5vMEoj1zAld27WR0HacTufbUPAvvOkIiUfkejusmpq942WKjpYX5DkGXibSxwW1Xu8bTjiYu&#10;d+9JfAQu/xPq/OrNfgMAAP//AwBQSwMEFAAGAAgAAAAhAKs9BeDfAAAABwEAAA8AAABkcnMvZG93&#10;bnJldi54bWxMjkFPg0AUhO8m/ofNM/HWLraigCxNQ9KYGHto7cXbg30FIruL7LZFf73Pk95mMpOZ&#10;L19NphdnGn3nrIK7eQSCbO10ZxsFh7fNLAHhA1qNvbOk4Is8rIrrqxwz7S52R+d9aASPWJ+hgjaE&#10;IZPS1y0Z9HM3kOXs6EaDge3YSD3ihcdNLxdR9CANdpYfWhyobKn+2J+Mgpdys8VdtTDJd18+vx7X&#10;w+fhPVbq9mZaP4EINIW/MvziMzoUzFS5k9Ve9Apm8SM3FSyXIDhO0yQFUbG4j0EWufzPX/wAAAD/&#10;/wMAUEsBAi0AFAAGAAgAAAAhALaDOJL+AAAA4QEAABMAAAAAAAAAAAAAAAAAAAAAAFtDb250ZW50&#10;X1R5cGVzXS54bWxQSwECLQAUAAYACAAAACEAOP0h/9YAAACUAQAACwAAAAAAAAAAAAAAAAAvAQAA&#10;X3JlbHMvLnJlbHNQSwECLQAUAAYACAAAACEA0Uq1T2cCAAA9BQAADgAAAAAAAAAAAAAAAAAuAgAA&#10;ZHJzL2Uyb0RvYy54bWxQSwECLQAUAAYACAAAACEAqz0F4N8AAAAHAQAADwAAAAAAAAAAAAAAAADB&#10;BAAAZHJzL2Rvd25yZXYueG1sUEsFBgAAAAAEAAQA8wAAAM0FAAAAAA==&#10;" filled="f" stroked="f" strokeweight=".5pt">
                    <v:textbo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w:t>
                          </w:r>
                          <w:proofErr w:type="gramStart"/>
                          <w:r w:rsidRPr="001F32DE">
                            <w:rPr>
                              <w:rFonts w:ascii="Arial" w:hAnsi="Arial" w:cs="Arial"/>
                              <w:color w:val="BFBFBF" w:themeColor="background1" w:themeShade="BF"/>
                              <w:sz w:val="16"/>
                              <w:szCs w:val="16"/>
                              <w:lang w:val="en-GB"/>
                            </w:rPr>
                            <w:t>30</w:t>
                          </w:r>
                          <w:proofErr w:type="gramEnd"/>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3BECE73" w:rsidR="00870839" w:rsidRPr="001F32DE"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1F32DE">
      <w:rPr>
        <w:rFonts w:ascii="Arial" w:hAnsi="Arial" w:cs="Arial"/>
        <w:sz w:val="17"/>
        <w:szCs w:val="17"/>
      </w:rPr>
      <w:fldChar w:fldCharType="begin"/>
    </w:r>
    <w:r w:rsidRPr="001F32DE">
      <w:rPr>
        <w:rFonts w:ascii="Arial" w:hAnsi="Arial" w:cs="Arial"/>
        <w:sz w:val="17"/>
        <w:szCs w:val="17"/>
      </w:rPr>
      <w:instrText xml:space="preserve"> FILENAME  \* FirstCap  \* MERGEFORMAT </w:instrText>
    </w:r>
    <w:r w:rsidRPr="001F32DE">
      <w:rPr>
        <w:rFonts w:ascii="Arial" w:hAnsi="Arial" w:cs="Arial"/>
        <w:sz w:val="17"/>
        <w:szCs w:val="17"/>
      </w:rPr>
      <w:fldChar w:fldCharType="separate"/>
    </w:r>
    <w:r w:rsidR="005759B1" w:rsidRPr="001F32DE">
      <w:rPr>
        <w:rFonts w:ascii="Arial" w:hAnsi="Arial" w:cs="Arial"/>
        <w:color w:val="000000"/>
        <w:sz w:val="18"/>
        <w:szCs w:val="18"/>
        <w:shd w:val="clear" w:color="auto" w:fill="FFFFFF"/>
      </w:rPr>
      <w:t xml:space="preserve"> 559-1369198539</w:t>
    </w:r>
    <w:r w:rsidRPr="001F32DE">
      <w:rPr>
        <w:rFonts w:ascii="Arial" w:hAnsi="Arial" w:cs="Arial"/>
        <w:noProof/>
        <w:sz w:val="17"/>
        <w:szCs w:val="17"/>
      </w:rPr>
      <w:t xml:space="preserve"> (Rev) </w:t>
    </w:r>
    <w:r w:rsidR="0071776D" w:rsidRPr="001F32DE">
      <w:rPr>
        <w:rFonts w:ascii="Arial" w:hAnsi="Arial" w:cs="Arial"/>
        <w:noProof/>
        <w:sz w:val="17"/>
        <w:szCs w:val="17"/>
      </w:rPr>
      <w:t xml:space="preserve">NTCSA </w:t>
    </w:r>
    <w:r w:rsidR="001F32DE" w:rsidRPr="001F32DE">
      <w:rPr>
        <w:rFonts w:ascii="Arial" w:hAnsi="Arial" w:cs="Arial"/>
        <w:noProof/>
        <w:sz w:val="17"/>
        <w:szCs w:val="17"/>
        <w:lang w:val="en-US"/>
      </w:rPr>
      <w:t>Non-Disclosure Agreement (NDA) Vendors</w:t>
    </w:r>
    <w:r w:rsidR="001F32DE" w:rsidRPr="001F32DE">
      <w:rPr>
        <w:rFonts w:ascii="Arial" w:hAnsi="Arial" w:cs="Arial"/>
        <w:noProof/>
        <w:sz w:val="17"/>
        <w:szCs w:val="17"/>
      </w:rPr>
      <w:t xml:space="preserve"> </w:t>
    </w:r>
    <w:r w:rsidRPr="001F32DE">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42B6" w14:textId="77777777" w:rsidR="00E3109B" w:rsidRDefault="00E31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A4D5" w14:textId="77777777" w:rsidR="000A4AA5" w:rsidRDefault="000A4AA5" w:rsidP="00201A98">
      <w:pPr>
        <w:spacing w:after="0" w:line="240" w:lineRule="auto"/>
      </w:pPr>
      <w:r>
        <w:separator/>
      </w:r>
    </w:p>
  </w:footnote>
  <w:footnote w:type="continuationSeparator" w:id="0">
    <w:p w14:paraId="499E0160" w14:textId="77777777" w:rsidR="000A4AA5" w:rsidRDefault="000A4AA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A809" w14:textId="77777777" w:rsidR="00E3109B" w:rsidRDefault="00E31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397"/>
      <w:gridCol w:w="1559"/>
      <w:gridCol w:w="1848"/>
      <w:gridCol w:w="567"/>
      <w:gridCol w:w="567"/>
    </w:tblGrid>
    <w:tr w:rsidR="00947FF5" w:rsidRPr="00116E60" w14:paraId="4DBE6E99" w14:textId="77777777" w:rsidTr="00B71EFD">
      <w:trPr>
        <w:cantSplit/>
        <w:trHeight w:val="261"/>
        <w:jc w:val="center"/>
      </w:trPr>
      <w:tc>
        <w:tcPr>
          <w:tcW w:w="2410" w:type="dxa"/>
          <w:vMerge w:val="restart"/>
          <w:vAlign w:val="bottom"/>
        </w:tcPr>
        <w:p w14:paraId="773C0DE8" w14:textId="16B330C5" w:rsidR="00947FF5" w:rsidRPr="003914DE" w:rsidRDefault="00395EE9" w:rsidP="00EA1B3D">
          <w:pPr>
            <w:spacing w:before="840"/>
            <w:rPr>
              <w:rFonts w:ascii="Arial" w:hAnsi="Arial"/>
              <w:b/>
              <w:lang w:val="en-GB"/>
            </w:rPr>
          </w:pPr>
          <w:r>
            <w:rPr>
              <w:noProof/>
            </w:rPr>
            <w:drawing>
              <wp:anchor distT="0" distB="0" distL="114300" distR="114300" simplePos="0" relativeHeight="251661312" behindDoc="0" locked="0" layoutInCell="1" allowOverlap="1" wp14:anchorId="7362C237" wp14:editId="5FCFC3A2">
                <wp:simplePos x="556260" y="990600"/>
                <wp:positionH relativeFrom="margin">
                  <wp:posOffset>-8255</wp:posOffset>
                </wp:positionH>
                <wp:positionV relativeFrom="margin">
                  <wp:posOffset>44450</wp:posOffset>
                </wp:positionV>
                <wp:extent cx="1403350" cy="56896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03350" cy="568960"/>
                        </a:xfrm>
                        <a:prstGeom prst="rect">
                          <a:avLst/>
                        </a:prstGeom>
                      </pic:spPr>
                    </pic:pic>
                  </a:graphicData>
                </a:graphic>
                <wp14:sizeRelH relativeFrom="margin">
                  <wp14:pctWidth>0</wp14:pctWidth>
                </wp14:sizeRelH>
                <wp14:sizeRelV relativeFrom="margin">
                  <wp14:pctHeight>0</wp14:pctHeight>
                </wp14:sizeRelV>
              </wp:anchor>
            </w:drawing>
          </w:r>
        </w:p>
      </w:tc>
      <w:tc>
        <w:tcPr>
          <w:tcW w:w="3397" w:type="dxa"/>
          <w:vMerge w:val="restart"/>
          <w:vAlign w:val="center"/>
        </w:tcPr>
        <w:p w14:paraId="55EE6F05" w14:textId="24A5AB95" w:rsidR="00947FF5" w:rsidRPr="003914DE" w:rsidRDefault="00395EE9" w:rsidP="00EA1B3D">
          <w:pPr>
            <w:jc w:val="center"/>
            <w:rPr>
              <w:rFonts w:ascii="Arial" w:hAnsi="Arial" w:cs="Arial"/>
              <w:b/>
              <w:lang w:val="en-GB"/>
            </w:rPr>
          </w:pPr>
          <w:bookmarkStart w:id="0" w:name="_Hlk172545952"/>
          <w:r>
            <w:rPr>
              <w:rFonts w:ascii="Arial" w:eastAsia="Times New Roman" w:hAnsi="Arial" w:cs="Arial"/>
              <w:b/>
              <w:sz w:val="24"/>
              <w:szCs w:val="24"/>
              <w:lang w:val="en-US"/>
            </w:rPr>
            <w:t>Non-Disclosure Agreement (NDA) Vendors</w:t>
          </w:r>
          <w:bookmarkEnd w:id="0"/>
        </w:p>
      </w:tc>
      <w:tc>
        <w:tcPr>
          <w:tcW w:w="1559"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848" w:type="dxa"/>
          <w:vAlign w:val="center"/>
        </w:tcPr>
        <w:p w14:paraId="492D8A14" w14:textId="0D43EACC" w:rsidR="00947FF5" w:rsidRPr="00870839" w:rsidRDefault="00B71EFD" w:rsidP="00C60B23">
          <w:pPr>
            <w:spacing w:after="0"/>
            <w:rPr>
              <w:rFonts w:ascii="Arial" w:hAnsi="Arial"/>
              <w:sz w:val="20"/>
              <w:lang w:val="en-GB"/>
            </w:rPr>
          </w:pPr>
          <w:r w:rsidRPr="00B71EFD">
            <w:rPr>
              <w:rFonts w:ascii="Arial" w:hAnsi="Arial"/>
              <w:sz w:val="20"/>
            </w:rPr>
            <w:t>559-1369198539</w:t>
          </w:r>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vAlign w:val="center"/>
        </w:tcPr>
        <w:p w14:paraId="515BE71F" w14:textId="35E708CB" w:rsidR="00947FF5" w:rsidRPr="00870839" w:rsidRDefault="00B71EFD" w:rsidP="00C60B23">
          <w:pPr>
            <w:spacing w:after="0"/>
            <w:rPr>
              <w:rFonts w:ascii="Arial" w:hAnsi="Arial"/>
              <w:sz w:val="20"/>
              <w:lang w:val="en-GB"/>
            </w:rPr>
          </w:pPr>
          <w:r>
            <w:rPr>
              <w:rFonts w:ascii="Arial" w:hAnsi="Arial"/>
              <w:sz w:val="20"/>
              <w:lang w:val="en-GB"/>
            </w:rPr>
            <w:t>1</w:t>
          </w:r>
        </w:p>
      </w:tc>
    </w:tr>
    <w:tr w:rsidR="00870839" w:rsidRPr="00116E60" w14:paraId="5C32F576" w14:textId="77777777" w:rsidTr="00B71EF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397"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82" w:type="dxa"/>
          <w:gridSpan w:val="3"/>
          <w:vAlign w:val="center"/>
        </w:tcPr>
        <w:p w14:paraId="036BDE11" w14:textId="2E981E22" w:rsidR="00870839" w:rsidRPr="00870839" w:rsidRDefault="00870839" w:rsidP="00BE6D5F">
          <w:pPr>
            <w:spacing w:after="0"/>
            <w:rPr>
              <w:rFonts w:ascii="Arial" w:hAnsi="Arial"/>
              <w:sz w:val="20"/>
              <w:lang w:val="en-GB"/>
            </w:rPr>
          </w:pPr>
          <w:r w:rsidRPr="00870839">
            <w:rPr>
              <w:rFonts w:ascii="Arial" w:hAnsi="Arial"/>
              <w:sz w:val="20"/>
              <w:lang w:val="en-GB"/>
            </w:rPr>
            <w:t>01 J</w:t>
          </w:r>
          <w:r w:rsidR="00820893">
            <w:rPr>
              <w:rFonts w:ascii="Arial" w:hAnsi="Arial"/>
              <w:sz w:val="20"/>
              <w:lang w:val="en-GB"/>
            </w:rPr>
            <w:t>ul</w:t>
          </w:r>
          <w:r w:rsidRPr="00870839">
            <w:rPr>
              <w:rFonts w:ascii="Arial" w:hAnsi="Arial"/>
              <w:sz w:val="20"/>
              <w:lang w:val="en-GB"/>
            </w:rPr>
            <w:t>y 20</w:t>
          </w:r>
          <w:r w:rsidR="00820893">
            <w:rPr>
              <w:rFonts w:ascii="Arial" w:hAnsi="Arial"/>
              <w:sz w:val="20"/>
              <w:lang w:val="en-GB"/>
            </w:rPr>
            <w:t>24</w:t>
          </w:r>
        </w:p>
      </w:tc>
    </w:tr>
    <w:tr w:rsidR="00870839" w:rsidRPr="00DB041F" w14:paraId="43EC59DF" w14:textId="77777777" w:rsidTr="00B71EF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397"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82" w:type="dxa"/>
          <w:gridSpan w:val="3"/>
          <w:vAlign w:val="center"/>
        </w:tcPr>
        <w:p w14:paraId="07397FE6" w14:textId="419A4C00" w:rsidR="00870839" w:rsidRPr="00870839" w:rsidRDefault="00B71EFD" w:rsidP="000F790D">
          <w:pPr>
            <w:spacing w:after="0"/>
            <w:rPr>
              <w:rFonts w:ascii="Arial" w:hAnsi="Arial"/>
              <w:sz w:val="20"/>
              <w:lang w:val="en-GB"/>
            </w:rPr>
          </w:pPr>
          <w:r>
            <w:rPr>
              <w:rFonts w:ascii="Arial" w:hAnsi="Arial"/>
              <w:sz w:val="20"/>
              <w:lang w:val="en-GB"/>
            </w:rPr>
            <w:t>July</w:t>
          </w:r>
          <w:r w:rsidR="00870839" w:rsidRPr="00870839">
            <w:rPr>
              <w:rFonts w:ascii="Arial" w:hAnsi="Arial"/>
              <w:sz w:val="20"/>
              <w:lang w:val="en-GB"/>
            </w:rPr>
            <w:t xml:space="preserve"> 202</w:t>
          </w:r>
          <w:r w:rsidR="00820893">
            <w:rPr>
              <w:rFonts w:ascii="Arial" w:hAnsi="Arial"/>
              <w:sz w:val="20"/>
              <w:lang w:val="en-GB"/>
            </w:rPr>
            <w:t>7</w:t>
          </w:r>
        </w:p>
      </w:tc>
    </w:tr>
    <w:tr w:rsidR="00870839" w:rsidRPr="00DB041F" w14:paraId="007281CC" w14:textId="77777777" w:rsidTr="00E3109B">
      <w:trPr>
        <w:cantSplit/>
        <w:trHeight w:hRule="exact" w:val="921"/>
        <w:jc w:val="center"/>
      </w:trPr>
      <w:tc>
        <w:tcPr>
          <w:tcW w:w="5807"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541" w:type="dxa"/>
          <w:gridSpan w:val="4"/>
          <w:vAlign w:val="center"/>
        </w:tcPr>
        <w:p w14:paraId="0F6713E2" w14:textId="365B1E94" w:rsidR="00870839" w:rsidRPr="00870839" w:rsidRDefault="00E3109B" w:rsidP="00617765">
          <w:pPr>
            <w:spacing w:after="0"/>
            <w:jc w:val="both"/>
            <w:rPr>
              <w:rFonts w:ascii="Arial" w:hAnsi="Arial"/>
              <w:sz w:val="20"/>
              <w:lang w:val="en-GB"/>
            </w:rPr>
          </w:pPr>
          <w:r>
            <w:rPr>
              <w:rFonts w:ascii="Arial" w:hAnsi="Arial"/>
              <w:lang w:val="en-US"/>
            </w:rPr>
            <w:t>S</w:t>
          </w:r>
          <w:r>
            <w:rPr>
              <w:rFonts w:ascii="Arial" w:hAnsi="Arial"/>
              <w:lang w:val="en-US"/>
            </w:rPr>
            <w:t>upply and delivery of RF cables and connectors on an as and when required basis for a period of five (5) years</w:t>
          </w: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385A" w14:textId="77777777" w:rsidR="00E3109B" w:rsidRDefault="00E3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A4AA5"/>
    <w:rsid w:val="000B165C"/>
    <w:rsid w:val="000B656D"/>
    <w:rsid w:val="000B6FF7"/>
    <w:rsid w:val="000F790D"/>
    <w:rsid w:val="001477A3"/>
    <w:rsid w:val="00155248"/>
    <w:rsid w:val="001D042C"/>
    <w:rsid w:val="001E3ABE"/>
    <w:rsid w:val="001F32DE"/>
    <w:rsid w:val="00201A98"/>
    <w:rsid w:val="00202BB5"/>
    <w:rsid w:val="002402DC"/>
    <w:rsid w:val="00243D12"/>
    <w:rsid w:val="002D14BC"/>
    <w:rsid w:val="003113D9"/>
    <w:rsid w:val="00332369"/>
    <w:rsid w:val="003914DE"/>
    <w:rsid w:val="00395EE9"/>
    <w:rsid w:val="003B3ABD"/>
    <w:rsid w:val="003E4D3F"/>
    <w:rsid w:val="003F2387"/>
    <w:rsid w:val="003F7B1E"/>
    <w:rsid w:val="004005A6"/>
    <w:rsid w:val="00400CFF"/>
    <w:rsid w:val="00457274"/>
    <w:rsid w:val="00460577"/>
    <w:rsid w:val="004E19F4"/>
    <w:rsid w:val="00550760"/>
    <w:rsid w:val="005759B1"/>
    <w:rsid w:val="005765A0"/>
    <w:rsid w:val="005E1813"/>
    <w:rsid w:val="005E3BE0"/>
    <w:rsid w:val="005E6044"/>
    <w:rsid w:val="006143B2"/>
    <w:rsid w:val="00617765"/>
    <w:rsid w:val="00627923"/>
    <w:rsid w:val="00657B8A"/>
    <w:rsid w:val="0071776D"/>
    <w:rsid w:val="00732A3F"/>
    <w:rsid w:val="007A6F13"/>
    <w:rsid w:val="007F06CF"/>
    <w:rsid w:val="007F1C20"/>
    <w:rsid w:val="00820893"/>
    <w:rsid w:val="00870839"/>
    <w:rsid w:val="0088295E"/>
    <w:rsid w:val="00901F29"/>
    <w:rsid w:val="00941DF2"/>
    <w:rsid w:val="00947FF5"/>
    <w:rsid w:val="00964E2A"/>
    <w:rsid w:val="009A07BE"/>
    <w:rsid w:val="00A03363"/>
    <w:rsid w:val="00A22EF4"/>
    <w:rsid w:val="00A235A1"/>
    <w:rsid w:val="00A67C16"/>
    <w:rsid w:val="00A72491"/>
    <w:rsid w:val="00A92D53"/>
    <w:rsid w:val="00B71023"/>
    <w:rsid w:val="00B71EFD"/>
    <w:rsid w:val="00BA5C88"/>
    <w:rsid w:val="00BC04F9"/>
    <w:rsid w:val="00BD24BE"/>
    <w:rsid w:val="00BE6D5F"/>
    <w:rsid w:val="00C26F04"/>
    <w:rsid w:val="00C40E58"/>
    <w:rsid w:val="00C72E5D"/>
    <w:rsid w:val="00C8088F"/>
    <w:rsid w:val="00CA666C"/>
    <w:rsid w:val="00CB2D7B"/>
    <w:rsid w:val="00DB22F3"/>
    <w:rsid w:val="00DE0273"/>
    <w:rsid w:val="00E3109B"/>
    <w:rsid w:val="00E3469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0126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003F-3DED-48B7-A577-3AA5A860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6</cp:revision>
  <dcterms:created xsi:type="dcterms:W3CDTF">2025-04-11T08:10:00Z</dcterms:created>
  <dcterms:modified xsi:type="dcterms:W3CDTF">2026-01-23T11:19:00Z</dcterms:modified>
</cp:coreProperties>
</file>