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F00D75">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99F51E0" w:rsidR="00EC662F" w:rsidRPr="00336747" w:rsidRDefault="00F00D75" w:rsidP="00880865">
            <w:pPr>
              <w:spacing w:line="360" w:lineRule="auto"/>
              <w:jc w:val="both"/>
              <w:rPr>
                <w:rFonts w:ascii="Arial" w:hAnsi="Arial" w:cs="Arial"/>
                <w:sz w:val="20"/>
                <w:lang w:val="en-ZA"/>
              </w:rPr>
            </w:pPr>
            <w:r>
              <w:rPr>
                <w:rFonts w:ascii="Arial" w:hAnsi="Arial" w:cs="Arial"/>
              </w:rPr>
              <w:t xml:space="preserve">Construction of administration block 2 classrooms, septic tank, ablution block and electrification at </w:t>
            </w:r>
            <w:proofErr w:type="spellStart"/>
            <w:r>
              <w:rPr>
                <w:rFonts w:ascii="Arial" w:hAnsi="Arial" w:cs="Arial"/>
              </w:rPr>
              <w:t>Mhlwazini</w:t>
            </w:r>
            <w:proofErr w:type="spellEnd"/>
            <w:r>
              <w:rPr>
                <w:rFonts w:ascii="Arial" w:hAnsi="Arial" w:cs="Arial"/>
              </w:rPr>
              <w:t xml:space="preserve"> High School</w:t>
            </w:r>
          </w:p>
        </w:tc>
      </w:tr>
      <w:tr w:rsidR="00EB6A30" w:rsidRPr="00A919B1" w14:paraId="1CDC513A" w14:textId="77777777" w:rsidTr="00F00D75">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607CD7C3" w:rsidR="00EB6A30" w:rsidRPr="00F0521B" w:rsidRDefault="00F00D75" w:rsidP="00EB03A4">
            <w:pPr>
              <w:spacing w:before="60" w:after="60" w:line="276" w:lineRule="auto"/>
              <w:jc w:val="both"/>
              <w:rPr>
                <w:rFonts w:ascii="Arial" w:hAnsi="Arial" w:cs="Arial"/>
                <w:sz w:val="20"/>
              </w:rPr>
            </w:pPr>
            <w:r>
              <w:rPr>
                <w:rFonts w:ascii="Arial" w:hAnsi="Arial" w:cs="Arial"/>
                <w:sz w:val="20"/>
              </w:rPr>
              <w:t>12</w:t>
            </w:r>
            <w:r w:rsidR="00B10BA7">
              <w:rPr>
                <w:rFonts w:ascii="Arial" w:hAnsi="Arial" w:cs="Arial"/>
                <w:sz w:val="20"/>
              </w:rPr>
              <w:t xml:space="preserve"> Months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492EC36" w:rsidR="006F7826" w:rsidRDefault="006F7826" w:rsidP="00EB6A30">
      <w:pPr>
        <w:spacing w:line="276" w:lineRule="auto"/>
        <w:rPr>
          <w:rFonts w:ascii="Arial" w:hAnsi="Arial" w:cs="Arial"/>
        </w:rPr>
      </w:pPr>
    </w:p>
    <w:p w14:paraId="537CB1CD" w14:textId="71BDEBAC" w:rsidR="006E5E06" w:rsidRDefault="006E5E06" w:rsidP="00EB6A30">
      <w:pPr>
        <w:spacing w:line="276" w:lineRule="auto"/>
        <w:rPr>
          <w:rFonts w:ascii="Arial" w:hAnsi="Arial" w:cs="Arial"/>
        </w:rPr>
      </w:pPr>
    </w:p>
    <w:p w14:paraId="1E071C66" w14:textId="272208C9" w:rsidR="006E5E06" w:rsidRDefault="006E5E06" w:rsidP="00EB6A30">
      <w:pPr>
        <w:spacing w:line="276" w:lineRule="auto"/>
        <w:rPr>
          <w:rFonts w:ascii="Arial" w:hAnsi="Arial" w:cs="Arial"/>
        </w:rPr>
      </w:pPr>
    </w:p>
    <w:p w14:paraId="5FB7E1D5" w14:textId="2CA49289" w:rsidR="006E5E06" w:rsidRDefault="006E5E06" w:rsidP="00EB6A30">
      <w:pPr>
        <w:spacing w:line="276" w:lineRule="auto"/>
        <w:rPr>
          <w:rFonts w:ascii="Arial" w:hAnsi="Arial" w:cs="Arial"/>
        </w:rPr>
      </w:pPr>
    </w:p>
    <w:p w14:paraId="4096561B" w14:textId="6C354B73" w:rsidR="006E5E06" w:rsidRDefault="006E5E06" w:rsidP="00EB6A30">
      <w:pPr>
        <w:spacing w:line="276" w:lineRule="auto"/>
        <w:rPr>
          <w:rFonts w:ascii="Arial" w:hAnsi="Arial" w:cs="Arial"/>
        </w:rPr>
      </w:pPr>
    </w:p>
    <w:p w14:paraId="539C7A28" w14:textId="77777777" w:rsidR="006E5E06" w:rsidRDefault="006E5E0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618C2D38"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.1 Designated Sectors</w:t>
      </w:r>
      <w:r w:rsidR="000F4AE3">
        <w:rPr>
          <w:rFonts w:ascii="Arial" w:hAnsi="Arial" w:cs="Arial"/>
          <w:b/>
          <w:sz w:val="22"/>
        </w:rPr>
        <w:t xml:space="preserve">: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43193749" w:rsidR="00546E27" w:rsidRPr="00EB6A30" w:rsidRDefault="00F00D75"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50478A69" w:rsidR="00546E27" w:rsidRPr="00EB6A30" w:rsidRDefault="00F00D75"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F00D75"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A12E00F" w:rsidR="00F00D75" w:rsidRPr="00C67975" w:rsidRDefault="00F00D75" w:rsidP="00F00D75">
                  <w:pPr>
                    <w:jc w:val="center"/>
                    <w:rPr>
                      <w:rFonts w:ascii="Arial" w:hAnsi="Arial" w:cs="Arial"/>
                      <w:sz w:val="20"/>
                    </w:rPr>
                  </w:pPr>
                  <w:r>
                    <w:rPr>
                      <w:rFonts w:ascii="Arial" w:hAnsi="Arial" w:cs="Arial"/>
                      <w:sz w:val="20"/>
                    </w:rPr>
                    <w:t>Steel products and components for construction</w:t>
                  </w:r>
                </w:p>
              </w:tc>
              <w:tc>
                <w:tcPr>
                  <w:tcW w:w="3057" w:type="dxa"/>
                  <w:gridSpan w:val="2"/>
                </w:tcPr>
                <w:p w14:paraId="1C9A4BA4"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Fabricated Structural Steel</w:t>
                  </w:r>
                </w:p>
                <w:p w14:paraId="66548886"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Joining/Connecting Components</w:t>
                  </w:r>
                </w:p>
                <w:p w14:paraId="5406747D"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Frames</w:t>
                  </w:r>
                </w:p>
                <w:p w14:paraId="16AFCA43"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Roof and Cladding</w:t>
                  </w:r>
                </w:p>
                <w:p w14:paraId="70EF2090"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Fasteners</w:t>
                  </w:r>
                </w:p>
                <w:p w14:paraId="20C1254E"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Wire Products</w:t>
                  </w:r>
                </w:p>
                <w:p w14:paraId="2CC0F7E1" w14:textId="77777777" w:rsidR="00F00D75" w:rsidRPr="00E607EE" w:rsidRDefault="00F00D75" w:rsidP="00F00D75">
                  <w:pPr>
                    <w:numPr>
                      <w:ilvl w:val="0"/>
                      <w:numId w:val="46"/>
                    </w:numPr>
                    <w:spacing w:before="100" w:beforeAutospacing="1" w:after="100" w:afterAutospacing="1"/>
                    <w:ind w:left="525"/>
                    <w:rPr>
                      <w:rFonts w:ascii="Arial" w:hAnsi="Arial" w:cs="Arial"/>
                      <w:color w:val="3A3A3A"/>
                      <w:lang w:eastAsia="en-ZA"/>
                    </w:rPr>
                  </w:pPr>
                  <w:r w:rsidRPr="00E607EE">
                    <w:rPr>
                      <w:rFonts w:ascii="Arial" w:hAnsi="Arial" w:cs="Arial"/>
                      <w:color w:val="3A3A3A"/>
                      <w:lang w:eastAsia="en-ZA"/>
                    </w:rPr>
                    <w:t>Ducting and Structural pipework</w:t>
                  </w:r>
                </w:p>
                <w:p w14:paraId="01F244B7" w14:textId="77777777"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Gutters, downpipes &amp; lauders</w:t>
                  </w:r>
                </w:p>
                <w:p w14:paraId="7ED27536" w14:textId="412AA8CB" w:rsidR="00F00D75" w:rsidRPr="00C67975" w:rsidRDefault="00F00D75" w:rsidP="00F00D75">
                  <w:pPr>
                    <w:jc w:val="center"/>
                    <w:rPr>
                      <w:rFonts w:ascii="Arial" w:hAnsi="Arial" w:cs="Arial"/>
                      <w:sz w:val="20"/>
                    </w:rPr>
                  </w:pPr>
                </w:p>
              </w:tc>
              <w:tc>
                <w:tcPr>
                  <w:tcW w:w="3062" w:type="dxa"/>
                  <w:gridSpan w:val="3"/>
                </w:tcPr>
                <w:p w14:paraId="6AE79D03" w14:textId="0B268290" w:rsidR="00F00D75" w:rsidRPr="00C67975" w:rsidRDefault="00F00D75" w:rsidP="00F00D75">
                  <w:pPr>
                    <w:jc w:val="center"/>
                    <w:rPr>
                      <w:rFonts w:ascii="Arial" w:hAnsi="Arial" w:cs="Arial"/>
                      <w:sz w:val="20"/>
                    </w:rPr>
                  </w:pPr>
                  <w:r>
                    <w:rPr>
                      <w:rFonts w:ascii="Arial" w:hAnsi="Arial" w:cs="Arial"/>
                      <w:sz w:val="20"/>
                    </w:rPr>
                    <w:t>100%</w:t>
                  </w:r>
                </w:p>
              </w:tc>
            </w:tr>
            <w:tr w:rsidR="00F00D75" w:rsidRPr="00EB6A30" w14:paraId="0D2CF93C"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2B55D5E0" w14:textId="788E68CA" w:rsidR="00F00D75" w:rsidRDefault="00F00D75" w:rsidP="00F00D75">
                  <w:pPr>
                    <w:jc w:val="center"/>
                    <w:rPr>
                      <w:rFonts w:ascii="Arial" w:hAnsi="Arial" w:cs="Arial"/>
                      <w:sz w:val="20"/>
                    </w:rPr>
                  </w:pPr>
                  <w:r>
                    <w:rPr>
                      <w:rFonts w:ascii="Arial" w:hAnsi="Arial" w:cs="Arial"/>
                      <w:sz w:val="20"/>
                    </w:rPr>
                    <w:t xml:space="preserve">Electrical </w:t>
                  </w:r>
                </w:p>
              </w:tc>
              <w:tc>
                <w:tcPr>
                  <w:tcW w:w="3057" w:type="dxa"/>
                  <w:gridSpan w:val="2"/>
                </w:tcPr>
                <w:p w14:paraId="16FACED7" w14:textId="0A5713A8" w:rsidR="00F00D75" w:rsidRPr="00D402DE" w:rsidRDefault="00F00D75" w:rsidP="00F00D75">
                  <w:pPr>
                    <w:numPr>
                      <w:ilvl w:val="0"/>
                      <w:numId w:val="46"/>
                    </w:numPr>
                    <w:spacing w:before="100" w:beforeAutospacing="1" w:after="100" w:afterAutospacing="1"/>
                    <w:ind w:left="525"/>
                    <w:rPr>
                      <w:rFonts w:ascii="Arial" w:hAnsi="Arial" w:cs="Arial"/>
                      <w:color w:val="3A3A3A"/>
                      <w:lang w:eastAsia="en-ZA"/>
                    </w:rPr>
                  </w:pPr>
                  <w:r>
                    <w:rPr>
                      <w:rFonts w:ascii="Arial" w:hAnsi="Arial" w:cs="Arial"/>
                      <w:sz w:val="20"/>
                    </w:rPr>
                    <w:t>Cables</w:t>
                  </w:r>
                </w:p>
              </w:tc>
              <w:tc>
                <w:tcPr>
                  <w:tcW w:w="3062" w:type="dxa"/>
                  <w:gridSpan w:val="3"/>
                </w:tcPr>
                <w:p w14:paraId="2EDDC721" w14:textId="4999DAB0" w:rsidR="00F00D75" w:rsidRDefault="00F00D75" w:rsidP="00F00D75">
                  <w:pPr>
                    <w:jc w:val="center"/>
                    <w:rPr>
                      <w:rFonts w:ascii="Arial" w:hAnsi="Arial" w:cs="Arial"/>
                      <w:sz w:val="20"/>
                    </w:rPr>
                  </w:pPr>
                  <w:r>
                    <w:rPr>
                      <w:rFonts w:ascii="Arial" w:hAnsi="Arial" w:cs="Arial"/>
                      <w:sz w:val="20"/>
                    </w:rPr>
                    <w:t>90%</w:t>
                  </w:r>
                </w:p>
              </w:tc>
            </w:tr>
            <w:tr w:rsidR="00F00D75" w:rsidRPr="00EB6A30" w14:paraId="7ACB9575"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83CDC4C" w14:textId="133DA446" w:rsidR="00F00D75" w:rsidRDefault="00F00D75" w:rsidP="00F00D75">
                  <w:pPr>
                    <w:jc w:val="center"/>
                    <w:rPr>
                      <w:rFonts w:ascii="Arial" w:hAnsi="Arial" w:cs="Arial"/>
                      <w:sz w:val="20"/>
                    </w:rPr>
                  </w:pPr>
                  <w:r>
                    <w:rPr>
                      <w:rFonts w:ascii="Arial" w:hAnsi="Arial" w:cs="Arial"/>
                      <w:sz w:val="20"/>
                    </w:rPr>
                    <w:t>Steel Value added Products</w:t>
                  </w:r>
                </w:p>
              </w:tc>
              <w:tc>
                <w:tcPr>
                  <w:tcW w:w="3057" w:type="dxa"/>
                  <w:gridSpan w:val="2"/>
                </w:tcPr>
                <w:p w14:paraId="3ED3D145"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Plates</w:t>
                  </w:r>
                </w:p>
                <w:p w14:paraId="5F10149D"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Sheets</w:t>
                  </w:r>
                </w:p>
                <w:p w14:paraId="06F3AEFE"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proofErr w:type="spellStart"/>
                  <w:r w:rsidRPr="00D402DE">
                    <w:rPr>
                      <w:rFonts w:ascii="Arial" w:hAnsi="Arial" w:cs="Arial"/>
                      <w:color w:val="3A3A3A"/>
                      <w:lang w:eastAsia="en-ZA"/>
                    </w:rPr>
                    <w:t>Galvanised</w:t>
                  </w:r>
                  <w:proofErr w:type="spellEnd"/>
                  <w:r w:rsidRPr="00D402DE">
                    <w:rPr>
                      <w:rFonts w:ascii="Arial" w:hAnsi="Arial" w:cs="Arial"/>
                      <w:color w:val="3A3A3A"/>
                      <w:lang w:eastAsia="en-ZA"/>
                    </w:rPr>
                    <w:t xml:space="preserve"> and </w:t>
                  </w:r>
                  <w:proofErr w:type="spellStart"/>
                  <w:r w:rsidRPr="00D402DE">
                    <w:rPr>
                      <w:rFonts w:ascii="Arial" w:hAnsi="Arial" w:cs="Arial"/>
                      <w:color w:val="3A3A3A"/>
                      <w:lang w:eastAsia="en-ZA"/>
                    </w:rPr>
                    <w:t>Colour</w:t>
                  </w:r>
                  <w:proofErr w:type="spellEnd"/>
                  <w:r w:rsidRPr="00D402DE">
                    <w:rPr>
                      <w:rFonts w:ascii="Arial" w:hAnsi="Arial" w:cs="Arial"/>
                      <w:color w:val="3A3A3A"/>
                      <w:lang w:eastAsia="en-ZA"/>
                    </w:rPr>
                    <w:t xml:space="preserve"> Coated Coils</w:t>
                  </w:r>
                </w:p>
                <w:p w14:paraId="4D8D0596"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Wire Rod and Drawn Wire</w:t>
                  </w:r>
                </w:p>
                <w:p w14:paraId="361C37FD"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Sections</w:t>
                  </w:r>
                </w:p>
                <w:p w14:paraId="739CBF59" w14:textId="77777777"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Reinforcing bars</w:t>
                  </w:r>
                </w:p>
                <w:p w14:paraId="71DC0867" w14:textId="77777777" w:rsidR="00F00D75" w:rsidRDefault="00F00D75" w:rsidP="00F00D75">
                  <w:pPr>
                    <w:numPr>
                      <w:ilvl w:val="0"/>
                      <w:numId w:val="46"/>
                    </w:numPr>
                    <w:spacing w:before="100" w:beforeAutospacing="1" w:after="100" w:afterAutospacing="1"/>
                    <w:ind w:left="525"/>
                    <w:rPr>
                      <w:rFonts w:ascii="Arial" w:hAnsi="Arial" w:cs="Arial"/>
                      <w:sz w:val="20"/>
                    </w:rPr>
                  </w:pPr>
                </w:p>
              </w:tc>
              <w:tc>
                <w:tcPr>
                  <w:tcW w:w="3062" w:type="dxa"/>
                  <w:gridSpan w:val="3"/>
                </w:tcPr>
                <w:p w14:paraId="213B4B7C" w14:textId="5F659C63" w:rsidR="00F00D75" w:rsidRDefault="00F00D75" w:rsidP="00F00D75">
                  <w:pPr>
                    <w:jc w:val="center"/>
                    <w:rPr>
                      <w:rFonts w:ascii="Arial" w:hAnsi="Arial" w:cs="Arial"/>
                      <w:sz w:val="20"/>
                    </w:rPr>
                  </w:pPr>
                  <w:r>
                    <w:rPr>
                      <w:rFonts w:ascii="Arial" w:hAnsi="Arial" w:cs="Arial"/>
                      <w:sz w:val="20"/>
                    </w:rPr>
                    <w:t>100%</w:t>
                  </w:r>
                </w:p>
              </w:tc>
            </w:tr>
            <w:tr w:rsidR="00F00D75" w:rsidRPr="00EB6A30" w14:paraId="7407ABA7"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227754E" w14:textId="48761F21" w:rsidR="00F00D75" w:rsidRDefault="00F00D75" w:rsidP="00F00D75">
                  <w:pPr>
                    <w:jc w:val="center"/>
                    <w:rPr>
                      <w:rFonts w:ascii="Arial" w:hAnsi="Arial" w:cs="Arial"/>
                      <w:sz w:val="20"/>
                    </w:rPr>
                  </w:pPr>
                  <w:r>
                    <w:rPr>
                      <w:rFonts w:ascii="Arial" w:hAnsi="Arial" w:cs="Arial"/>
                      <w:sz w:val="20"/>
                    </w:rPr>
                    <w:t>Plastic Pipes</w:t>
                  </w:r>
                </w:p>
              </w:tc>
              <w:tc>
                <w:tcPr>
                  <w:tcW w:w="3057" w:type="dxa"/>
                  <w:gridSpan w:val="2"/>
                </w:tcPr>
                <w:p w14:paraId="76950F6C" w14:textId="77777777" w:rsidR="00F00D75" w:rsidRPr="00D402DE" w:rsidRDefault="00F00D75" w:rsidP="00F00D75">
                  <w:pPr>
                    <w:numPr>
                      <w:ilvl w:val="0"/>
                      <w:numId w:val="48"/>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Polyvinyl chloride (PVC) pipes</w:t>
                  </w:r>
                </w:p>
                <w:p w14:paraId="4F7DABA7" w14:textId="77777777" w:rsidR="00F00D75" w:rsidRPr="00D402DE" w:rsidRDefault="00F00D75" w:rsidP="00F00D75">
                  <w:pPr>
                    <w:numPr>
                      <w:ilvl w:val="0"/>
                      <w:numId w:val="48"/>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High density polyethylene (HDPE) pipes</w:t>
                  </w:r>
                </w:p>
                <w:p w14:paraId="232F049B" w14:textId="77777777" w:rsidR="00F00D75" w:rsidRPr="00D402DE" w:rsidRDefault="00F00D75" w:rsidP="00F00D75">
                  <w:pPr>
                    <w:numPr>
                      <w:ilvl w:val="0"/>
                      <w:numId w:val="48"/>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Polypropylene (PP) pipes</w:t>
                  </w:r>
                </w:p>
                <w:p w14:paraId="2ECC01F6" w14:textId="5DD0671A" w:rsidR="00F00D75" w:rsidRPr="00D402DE" w:rsidRDefault="00F00D75" w:rsidP="00F00D75">
                  <w:pPr>
                    <w:numPr>
                      <w:ilvl w:val="0"/>
                      <w:numId w:val="47"/>
                    </w:numPr>
                    <w:spacing w:before="100" w:beforeAutospacing="1" w:after="100" w:afterAutospacing="1"/>
                    <w:ind w:left="525"/>
                    <w:rPr>
                      <w:rFonts w:ascii="Arial" w:hAnsi="Arial" w:cs="Arial"/>
                      <w:color w:val="3A3A3A"/>
                      <w:lang w:eastAsia="en-ZA"/>
                    </w:rPr>
                  </w:pPr>
                  <w:r w:rsidRPr="00D402DE">
                    <w:rPr>
                      <w:rFonts w:ascii="Arial" w:hAnsi="Arial" w:cs="Arial"/>
                      <w:color w:val="3A3A3A"/>
                      <w:lang w:eastAsia="en-ZA"/>
                    </w:rPr>
                    <w:t>Glass reinforced plastic (GRP) pipes</w:t>
                  </w:r>
                </w:p>
              </w:tc>
              <w:tc>
                <w:tcPr>
                  <w:tcW w:w="3062" w:type="dxa"/>
                  <w:gridSpan w:val="3"/>
                </w:tcPr>
                <w:p w14:paraId="6373FEED" w14:textId="1F104483" w:rsidR="00F00D75" w:rsidRDefault="00F00D75" w:rsidP="00F00D75">
                  <w:pPr>
                    <w:jc w:val="center"/>
                    <w:rPr>
                      <w:rFonts w:ascii="Arial" w:hAnsi="Arial" w:cs="Arial"/>
                      <w:sz w:val="20"/>
                    </w:rPr>
                  </w:pPr>
                  <w:r>
                    <w:rPr>
                      <w:rFonts w:ascii="Arial" w:hAnsi="Arial" w:cs="Arial"/>
                      <w:sz w:val="20"/>
                    </w:rPr>
                    <w:t>100%</w:t>
                  </w:r>
                </w:p>
              </w:tc>
            </w:tr>
            <w:tr w:rsidR="00F00D75" w:rsidRPr="00EB6A30" w14:paraId="5F9A0316"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B07FC4B" w14:textId="161CD718" w:rsidR="00F00D75" w:rsidRDefault="00F00D75" w:rsidP="00F00D75">
                  <w:pPr>
                    <w:jc w:val="center"/>
                    <w:rPr>
                      <w:rFonts w:ascii="Arial" w:hAnsi="Arial" w:cs="Arial"/>
                      <w:sz w:val="20"/>
                    </w:rPr>
                  </w:pPr>
                  <w:r>
                    <w:rPr>
                      <w:rFonts w:ascii="Arial" w:hAnsi="Arial" w:cs="Arial"/>
                      <w:sz w:val="20"/>
                    </w:rPr>
                    <w:t>Cement</w:t>
                  </w:r>
                </w:p>
              </w:tc>
              <w:tc>
                <w:tcPr>
                  <w:tcW w:w="3057" w:type="dxa"/>
                  <w:gridSpan w:val="2"/>
                </w:tcPr>
                <w:p w14:paraId="7C66BFC8" w14:textId="6BC177DC" w:rsidR="00F00D75" w:rsidRPr="00D402DE" w:rsidRDefault="00F00D75" w:rsidP="00F00D75">
                  <w:pPr>
                    <w:numPr>
                      <w:ilvl w:val="0"/>
                      <w:numId w:val="48"/>
                    </w:numPr>
                    <w:spacing w:before="100" w:beforeAutospacing="1" w:after="100" w:afterAutospacing="1"/>
                    <w:ind w:left="525"/>
                    <w:rPr>
                      <w:rFonts w:ascii="Arial" w:hAnsi="Arial" w:cs="Arial"/>
                      <w:color w:val="3A3A3A"/>
                      <w:lang w:eastAsia="en-ZA"/>
                    </w:rPr>
                  </w:pPr>
                  <w:r>
                    <w:rPr>
                      <w:rFonts w:ascii="Arial" w:hAnsi="Arial" w:cs="Arial"/>
                      <w:color w:val="3A3A3A"/>
                      <w:lang w:eastAsia="en-ZA"/>
                    </w:rPr>
                    <w:t>All Types</w:t>
                  </w:r>
                </w:p>
              </w:tc>
              <w:tc>
                <w:tcPr>
                  <w:tcW w:w="3062" w:type="dxa"/>
                  <w:gridSpan w:val="3"/>
                </w:tcPr>
                <w:p w14:paraId="0CD84349" w14:textId="6B746578" w:rsidR="00F00D75" w:rsidRDefault="00F00D75" w:rsidP="00F00D75">
                  <w:pPr>
                    <w:jc w:val="center"/>
                    <w:rPr>
                      <w:rFonts w:ascii="Arial" w:hAnsi="Arial" w:cs="Arial"/>
                      <w:sz w:val="20"/>
                    </w:rPr>
                  </w:pPr>
                  <w:r>
                    <w:rPr>
                      <w:rFonts w:ascii="Arial" w:hAnsi="Arial" w:cs="Arial"/>
                      <w:sz w:val="20"/>
                    </w:rPr>
                    <w:t>100%</w:t>
                  </w:r>
                </w:p>
              </w:tc>
            </w:tr>
          </w:tbl>
          <w:p w14:paraId="7F969D93" w14:textId="77777777" w:rsidR="00546E27" w:rsidRDefault="00546E27" w:rsidP="00065BFD">
            <w:pPr>
              <w:spacing w:before="60" w:after="60" w:line="276" w:lineRule="auto"/>
              <w:rPr>
                <w:rFonts w:ascii="Arial" w:hAnsi="Arial" w:cs="Arial"/>
                <w:b/>
                <w:sz w:val="20"/>
              </w:rPr>
            </w:pPr>
          </w:p>
          <w:p w14:paraId="50281CD1" w14:textId="245B3C1E"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B10BA7" w:rsidRPr="00EB6A30">
              <w:rPr>
                <w:rFonts w:ascii="Arial" w:hAnsi="Arial" w:cs="Arial"/>
                <w:sz w:val="20"/>
              </w:rPr>
              <w:t>returnable</w:t>
            </w:r>
            <w:r>
              <w:rPr>
                <w:rFonts w:ascii="Arial" w:hAnsi="Arial" w:cs="Arial"/>
                <w:sz w:val="20"/>
              </w:rPr>
              <w:t xml:space="preserve">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78A9AEAE"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B10BA7">
        <w:rPr>
          <w:rFonts w:ascii="Arial" w:hAnsi="Arial" w:cs="Arial"/>
          <w:b/>
          <w:bCs/>
          <w:color w:val="000000" w:themeColor="text1"/>
          <w:sz w:val="20"/>
          <w:u w:val="single"/>
          <w:lang w:val="en-GB"/>
        </w:rPr>
        <w:t xml:space="preserve"> N/A</w:t>
      </w:r>
    </w:p>
    <w:p w14:paraId="616E4C33" w14:textId="0EA6884E"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r w:rsidR="00B10BA7">
        <w:rPr>
          <w:rFonts w:ascii="Arial" w:hAnsi="Arial" w:cs="Arial"/>
          <w:color w:val="000000" w:themeColor="text1"/>
          <w:sz w:val="20"/>
          <w:lang w:val="en-GB"/>
        </w:rPr>
        <w:t>DTIC</w:t>
      </w:r>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2E61F351"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r w:rsidR="00B10BA7">
        <w:rPr>
          <w:rFonts w:ascii="Arial" w:hAnsi="Arial" w:cs="Arial"/>
          <w:color w:val="000000" w:themeColor="text1"/>
          <w:sz w:val="20"/>
          <w:lang w:val="en-GB"/>
        </w:rPr>
        <w:t>DTIC</w:t>
      </w:r>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r w:rsidR="00B10BA7">
        <w:rPr>
          <w:rFonts w:ascii="Arial" w:hAnsi="Arial" w:cs="Arial"/>
          <w:color w:val="000000" w:themeColor="text1"/>
          <w:sz w:val="20"/>
          <w:lang w:val="en-GB"/>
        </w:rPr>
        <w:t>DTIC</w:t>
      </w:r>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0372B939"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r w:rsidR="00B10BA7">
        <w:rPr>
          <w:rFonts w:ascii="Arial" w:hAnsi="Arial" w:cs="Arial"/>
          <w:color w:val="000000" w:themeColor="text1"/>
          <w:sz w:val="20"/>
          <w:lang w:val="en-GB"/>
        </w:rPr>
        <w:t>DTIC</w:t>
      </w:r>
      <w:r w:rsidRPr="003953B4">
        <w:rPr>
          <w:rFonts w:ascii="Arial" w:hAnsi="Arial" w:cs="Arial"/>
          <w:color w:val="000000" w:themeColor="text1"/>
          <w:sz w:val="20"/>
          <w:lang w:val="en-GB"/>
        </w:rPr>
        <w:t xml:space="preserve"> before signing the contract with Eskom.”.</w:t>
      </w:r>
    </w:p>
    <w:p w14:paraId="51A6708B" w14:textId="0053E8B7"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sidR="00467380">
        <w:rPr>
          <w:rFonts w:ascii="Arial" w:hAnsi="Arial" w:cs="Arial"/>
          <w:b/>
          <w:sz w:val="20"/>
          <w:u w:val="single"/>
        </w:rPr>
        <w:t xml:space="preserve"> </w:t>
      </w:r>
      <w:r w:rsidR="000F4AE3">
        <w:rPr>
          <w:rFonts w:ascii="Arial" w:hAnsi="Arial" w:cs="Arial"/>
          <w:b/>
          <w:sz w:val="20"/>
          <w:u w:val="single"/>
        </w:rPr>
        <w:t>N/A</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7495CAB8" w14:textId="60397ADB" w:rsidR="005B5A73" w:rsidRPr="005B5A73" w:rsidRDefault="005B5A73" w:rsidP="005B5A73">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BF1FC52" w14:textId="77777777" w:rsidR="00D73F08" w:rsidRDefault="00D73F08" w:rsidP="00546E27">
      <w:pPr>
        <w:spacing w:after="200" w:line="276" w:lineRule="auto"/>
        <w:rPr>
          <w:rFonts w:ascii="Arial" w:hAnsi="Arial" w:cs="Arial"/>
          <w:b/>
        </w:rPr>
      </w:pPr>
    </w:p>
    <w:p w14:paraId="0484581A" w14:textId="45AFAB23"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r w:rsidR="00B10BA7" w:rsidRPr="008F177A">
        <w:rPr>
          <w:rFonts w:ascii="Arial" w:hAnsi="Arial" w:cs="Arial"/>
          <w:b/>
        </w:rPr>
        <w:t>Program</w:t>
      </w:r>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41EC6CA2"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B10BA7"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39487B13"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r w:rsidR="00B10BA7">
              <w:rPr>
                <w:rFonts w:ascii="Arial" w:hAnsi="Arial" w:cs="Arial"/>
                <w:b/>
                <w:sz w:val="20"/>
                <w:lang w:val="en-ZA"/>
              </w:rPr>
              <w:t>spends</w:t>
            </w:r>
            <w:r>
              <w:rPr>
                <w:rFonts w:ascii="Arial" w:hAnsi="Arial" w:cs="Arial"/>
                <w:b/>
                <w:sz w:val="20"/>
                <w:lang w:val="en-ZA"/>
              </w:rPr>
              <w:t xml:space="preserve">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3DFB672D"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B10B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shd w:val="clear" w:color="auto" w:fill="auto"/>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0E0BD5E" w14:textId="437AD003" w:rsidR="00546E27" w:rsidRPr="000C5130" w:rsidRDefault="00546E27" w:rsidP="000F4AE3">
                  <w:pPr>
                    <w:tabs>
                      <w:tab w:val="left" w:pos="720"/>
                    </w:tabs>
                    <w:rPr>
                      <w:rFonts w:ascii="Arial" w:hAnsi="Arial" w:cs="Arial"/>
                      <w:sz w:val="20"/>
                    </w:rPr>
                  </w:pPr>
                </w:p>
              </w:tc>
              <w:tc>
                <w:tcPr>
                  <w:tcW w:w="2120" w:type="dxa"/>
                  <w:shd w:val="clear" w:color="auto" w:fill="auto"/>
                </w:tcPr>
                <w:p w14:paraId="58CD9B02" w14:textId="77777777" w:rsidR="00546E27" w:rsidRPr="000C5130" w:rsidRDefault="00546E27" w:rsidP="00065BFD">
                  <w:pPr>
                    <w:tabs>
                      <w:tab w:val="left" w:pos="720"/>
                    </w:tabs>
                    <w:jc w:val="both"/>
                    <w:rPr>
                      <w:rFonts w:ascii="Arial" w:hAnsi="Arial" w:cs="Arial"/>
                      <w:sz w:val="20"/>
                    </w:rPr>
                  </w:pP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0ED131A2"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64E77009"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2C10C660" w:rsidR="00546E27" w:rsidRPr="000C5130" w:rsidRDefault="00546E27" w:rsidP="00065BFD">
                  <w:pPr>
                    <w:tabs>
                      <w:tab w:val="left" w:pos="720"/>
                    </w:tabs>
                    <w:jc w:val="center"/>
                    <w:rPr>
                      <w:rFonts w:ascii="Arial" w:hAnsi="Arial" w:cs="Arial"/>
                      <w:sz w:val="20"/>
                    </w:rPr>
                  </w:pP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C55E0">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0C55E0" w:rsidRPr="000C5130" w14:paraId="4ED2613C" w14:textId="77777777" w:rsidTr="000C55E0">
              <w:trPr>
                <w:trHeight w:val="359"/>
              </w:trPr>
              <w:tc>
                <w:tcPr>
                  <w:tcW w:w="3668" w:type="dxa"/>
                  <w:shd w:val="clear" w:color="auto" w:fill="auto"/>
                  <w:vAlign w:val="bottom"/>
                </w:tcPr>
                <w:p w14:paraId="6918843F" w14:textId="6DEFD471" w:rsidR="000C55E0" w:rsidRPr="008A3FC8" w:rsidRDefault="000C55E0" w:rsidP="000C55E0">
                  <w:pPr>
                    <w:spacing w:line="276" w:lineRule="auto"/>
                    <w:rPr>
                      <w:rFonts w:ascii="Arial" w:hAnsi="Arial" w:cs="Arial"/>
                      <w:sz w:val="20"/>
                    </w:rPr>
                  </w:pPr>
                  <w:r>
                    <w:rPr>
                      <w:rFonts w:ascii="Arial" w:hAnsi="Arial" w:cs="Arial"/>
                      <w:sz w:val="20"/>
                    </w:rPr>
                    <w:t>S</w:t>
                  </w:r>
                  <w:r w:rsidR="00F00D75">
                    <w:rPr>
                      <w:rFonts w:ascii="Arial" w:hAnsi="Arial" w:cs="Arial"/>
                      <w:sz w:val="20"/>
                    </w:rPr>
                    <w:t>emi-Skilled</w:t>
                  </w:r>
                </w:p>
              </w:tc>
              <w:tc>
                <w:tcPr>
                  <w:tcW w:w="1674" w:type="dxa"/>
                </w:tcPr>
                <w:p w14:paraId="6C96573A" w14:textId="7367349A" w:rsidR="000C55E0" w:rsidRDefault="00F00D75" w:rsidP="000C55E0">
                  <w:pPr>
                    <w:jc w:val="center"/>
                    <w:rPr>
                      <w:rFonts w:ascii="Arial" w:hAnsi="Arial" w:cs="Arial"/>
                      <w:sz w:val="20"/>
                    </w:rPr>
                  </w:pPr>
                  <w:r>
                    <w:rPr>
                      <w:rFonts w:ascii="Arial" w:hAnsi="Arial" w:cs="Arial"/>
                      <w:sz w:val="20"/>
                    </w:rPr>
                    <w:t>4</w:t>
                  </w:r>
                </w:p>
              </w:tc>
              <w:tc>
                <w:tcPr>
                  <w:tcW w:w="1984" w:type="dxa"/>
                </w:tcPr>
                <w:p w14:paraId="5E9D2CF3" w14:textId="77777777" w:rsidR="000C55E0" w:rsidRPr="008A3FC8" w:rsidRDefault="000C55E0" w:rsidP="000C55E0">
                  <w:pPr>
                    <w:tabs>
                      <w:tab w:val="left" w:pos="720"/>
                    </w:tabs>
                    <w:jc w:val="center"/>
                    <w:rPr>
                      <w:rFonts w:ascii="Arial" w:hAnsi="Arial" w:cs="Arial"/>
                      <w:b/>
                      <w:sz w:val="20"/>
                    </w:rPr>
                  </w:pPr>
                </w:p>
              </w:tc>
            </w:tr>
            <w:tr w:rsidR="000C55E0" w:rsidRPr="000C5130" w14:paraId="663D7228" w14:textId="77777777" w:rsidTr="000C55E0">
              <w:trPr>
                <w:trHeight w:val="359"/>
              </w:trPr>
              <w:tc>
                <w:tcPr>
                  <w:tcW w:w="3668" w:type="dxa"/>
                  <w:shd w:val="clear" w:color="auto" w:fill="auto"/>
                  <w:vAlign w:val="bottom"/>
                </w:tcPr>
                <w:p w14:paraId="77E91768" w14:textId="5959E87D" w:rsidR="000C55E0" w:rsidRDefault="000C55E0" w:rsidP="000C55E0">
                  <w:pPr>
                    <w:spacing w:line="276" w:lineRule="auto"/>
                    <w:rPr>
                      <w:rFonts w:ascii="Arial" w:hAnsi="Arial" w:cs="Arial"/>
                      <w:sz w:val="20"/>
                    </w:rPr>
                  </w:pPr>
                </w:p>
              </w:tc>
              <w:tc>
                <w:tcPr>
                  <w:tcW w:w="1674" w:type="dxa"/>
                </w:tcPr>
                <w:p w14:paraId="4433DE1A" w14:textId="6938D6A7" w:rsidR="000C55E0" w:rsidRDefault="000C55E0" w:rsidP="000C55E0">
                  <w:pPr>
                    <w:jc w:val="center"/>
                    <w:rPr>
                      <w:rFonts w:ascii="Arial" w:hAnsi="Arial" w:cs="Arial"/>
                      <w:sz w:val="20"/>
                    </w:rPr>
                  </w:pPr>
                </w:p>
              </w:tc>
              <w:tc>
                <w:tcPr>
                  <w:tcW w:w="1984" w:type="dxa"/>
                </w:tcPr>
                <w:p w14:paraId="14DC65E3" w14:textId="77777777" w:rsidR="000C55E0" w:rsidRPr="008A3FC8" w:rsidRDefault="000C55E0" w:rsidP="000C55E0">
                  <w:pPr>
                    <w:tabs>
                      <w:tab w:val="left" w:pos="720"/>
                    </w:tabs>
                    <w:jc w:val="center"/>
                    <w:rPr>
                      <w:rFonts w:ascii="Arial" w:hAnsi="Arial" w:cs="Arial"/>
                      <w:b/>
                      <w:sz w:val="20"/>
                    </w:rPr>
                  </w:pPr>
                </w:p>
              </w:tc>
            </w:tr>
            <w:tr w:rsidR="000C55E0" w:rsidRPr="000C5130" w14:paraId="0469A708" w14:textId="77777777" w:rsidTr="000C55E0">
              <w:trPr>
                <w:trHeight w:val="359"/>
              </w:trPr>
              <w:tc>
                <w:tcPr>
                  <w:tcW w:w="3668" w:type="dxa"/>
                  <w:shd w:val="clear" w:color="auto" w:fill="auto"/>
                  <w:vAlign w:val="bottom"/>
                </w:tcPr>
                <w:p w14:paraId="14689C5D" w14:textId="448FBD4D" w:rsidR="000C55E0" w:rsidRDefault="000C55E0" w:rsidP="000C55E0">
                  <w:pPr>
                    <w:spacing w:line="276" w:lineRule="auto"/>
                    <w:rPr>
                      <w:rFonts w:ascii="Arial" w:hAnsi="Arial" w:cs="Arial"/>
                      <w:sz w:val="20"/>
                    </w:rPr>
                  </w:pPr>
                </w:p>
              </w:tc>
              <w:tc>
                <w:tcPr>
                  <w:tcW w:w="1674" w:type="dxa"/>
                </w:tcPr>
                <w:p w14:paraId="0C4353AF" w14:textId="595E1DBF" w:rsidR="000C55E0" w:rsidRDefault="000C55E0" w:rsidP="000C55E0">
                  <w:pPr>
                    <w:jc w:val="center"/>
                    <w:rPr>
                      <w:rFonts w:ascii="Arial" w:hAnsi="Arial" w:cs="Arial"/>
                      <w:sz w:val="20"/>
                    </w:rPr>
                  </w:pPr>
                </w:p>
              </w:tc>
              <w:tc>
                <w:tcPr>
                  <w:tcW w:w="1984" w:type="dxa"/>
                </w:tcPr>
                <w:p w14:paraId="0DEE2763" w14:textId="77777777" w:rsidR="000C55E0" w:rsidRPr="008A3FC8" w:rsidRDefault="000C55E0" w:rsidP="000C55E0">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71443C5C" w14:textId="38E30464" w:rsidR="00546E27" w:rsidRPr="000C5130" w:rsidRDefault="00546E27" w:rsidP="006E5E06">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69E2ACAE" w14:textId="380779FC" w:rsidR="00005A8B" w:rsidRDefault="00005A8B" w:rsidP="00EB6A30">
      <w:pPr>
        <w:spacing w:after="120" w:line="276" w:lineRule="auto"/>
        <w:rPr>
          <w:rFonts w:ascii="Arial" w:hAnsi="Arial" w:cs="Arial"/>
          <w:b/>
          <w:sz w:val="22"/>
        </w:rPr>
      </w:pPr>
    </w:p>
    <w:p w14:paraId="11DF8C2C" w14:textId="48111C5F" w:rsidR="00005A8B" w:rsidRDefault="00005A8B" w:rsidP="00EB6A30">
      <w:pPr>
        <w:spacing w:after="120" w:line="276" w:lineRule="auto"/>
        <w:rPr>
          <w:rFonts w:ascii="Arial" w:hAnsi="Arial" w:cs="Arial"/>
          <w:b/>
          <w:sz w:val="22"/>
        </w:rPr>
      </w:pPr>
    </w:p>
    <w:p w14:paraId="537A3EAE" w14:textId="13C36EB5" w:rsidR="00005A8B" w:rsidRDefault="00005A8B" w:rsidP="00EB6A30">
      <w:pPr>
        <w:spacing w:after="120" w:line="276" w:lineRule="auto"/>
        <w:rPr>
          <w:rFonts w:ascii="Arial" w:hAnsi="Arial" w:cs="Arial"/>
          <w:b/>
          <w:sz w:val="22"/>
        </w:rPr>
      </w:pPr>
    </w:p>
    <w:p w14:paraId="4B7AD2E5" w14:textId="77777777" w:rsidR="00005A8B" w:rsidRDefault="00005A8B" w:rsidP="00EB6A30">
      <w:pPr>
        <w:spacing w:after="120" w:line="276" w:lineRule="auto"/>
        <w:rPr>
          <w:rFonts w:ascii="Arial" w:hAnsi="Arial" w:cs="Arial"/>
          <w:b/>
          <w:sz w:val="22"/>
        </w:rPr>
      </w:pPr>
    </w:p>
    <w:p w14:paraId="748671A1" w14:textId="77777777" w:rsidR="006E5E06" w:rsidRDefault="006E5E06"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680B483A"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r w:rsidR="00B10BA7" w:rsidRPr="00EB6A30">
              <w:rPr>
                <w:rFonts w:ascii="Arial" w:hAnsi="Arial" w:cs="Arial"/>
                <w:b/>
                <w:sz w:val="16"/>
                <w:u w:val="single"/>
                <w:lang w:val="en-ZA"/>
              </w:rPr>
              <w:t>Furthermore,</w:t>
            </w:r>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4B16" w14:textId="77777777" w:rsidR="00046360" w:rsidRDefault="00046360" w:rsidP="00201A98">
      <w:r>
        <w:separator/>
      </w:r>
    </w:p>
  </w:endnote>
  <w:endnote w:type="continuationSeparator" w:id="0">
    <w:p w14:paraId="3A668850" w14:textId="77777777" w:rsidR="00046360" w:rsidRDefault="0004636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30E5" w14:textId="77777777" w:rsidR="00046360" w:rsidRDefault="00046360" w:rsidP="00201A98">
      <w:r>
        <w:separator/>
      </w:r>
    </w:p>
  </w:footnote>
  <w:footnote w:type="continuationSeparator" w:id="0">
    <w:p w14:paraId="73E975A9" w14:textId="77777777" w:rsidR="00046360" w:rsidRDefault="0004636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1093620"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065E46"/>
    <w:multiLevelType w:val="multilevel"/>
    <w:tmpl w:val="C76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ACA181C"/>
    <w:multiLevelType w:val="multilevel"/>
    <w:tmpl w:val="538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EE59A8"/>
    <w:multiLevelType w:val="multilevel"/>
    <w:tmpl w:val="926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3"/>
  </w:num>
  <w:num w:numId="3" w16cid:durableId="1636983690">
    <w:abstractNumId w:val="34"/>
  </w:num>
  <w:num w:numId="4" w16cid:durableId="1049838470">
    <w:abstractNumId w:val="4"/>
  </w:num>
  <w:num w:numId="5" w16cid:durableId="747270413">
    <w:abstractNumId w:val="16"/>
  </w:num>
  <w:num w:numId="6" w16cid:durableId="298614127">
    <w:abstractNumId w:val="20"/>
  </w:num>
  <w:num w:numId="7" w16cid:durableId="886451534">
    <w:abstractNumId w:val="40"/>
  </w:num>
  <w:num w:numId="8" w16cid:durableId="1364016205">
    <w:abstractNumId w:val="7"/>
  </w:num>
  <w:num w:numId="9" w16cid:durableId="501093778">
    <w:abstractNumId w:val="24"/>
  </w:num>
  <w:num w:numId="10" w16cid:durableId="296688292">
    <w:abstractNumId w:val="30"/>
  </w:num>
  <w:num w:numId="11" w16cid:durableId="1367868149">
    <w:abstractNumId w:val="37"/>
  </w:num>
  <w:num w:numId="12" w16cid:durableId="1739786048">
    <w:abstractNumId w:val="13"/>
  </w:num>
  <w:num w:numId="13" w16cid:durableId="621349608">
    <w:abstractNumId w:val="25"/>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8"/>
  </w:num>
  <w:num w:numId="19" w16cid:durableId="1185709056">
    <w:abstractNumId w:val="32"/>
  </w:num>
  <w:num w:numId="20" w16cid:durableId="160703720">
    <w:abstractNumId w:val="15"/>
  </w:num>
  <w:num w:numId="21" w16cid:durableId="1083262651">
    <w:abstractNumId w:val="28"/>
  </w:num>
  <w:num w:numId="22" w16cid:durableId="594288937">
    <w:abstractNumId w:val="17"/>
  </w:num>
  <w:num w:numId="23" w16cid:durableId="137694747">
    <w:abstractNumId w:val="38"/>
  </w:num>
  <w:num w:numId="24" w16cid:durableId="1635332457">
    <w:abstractNumId w:val="23"/>
  </w:num>
  <w:num w:numId="25" w16cid:durableId="356195997">
    <w:abstractNumId w:val="12"/>
  </w:num>
  <w:num w:numId="26" w16cid:durableId="1068723575">
    <w:abstractNumId w:val="15"/>
  </w:num>
  <w:num w:numId="27" w16cid:durableId="1280183404">
    <w:abstractNumId w:val="44"/>
  </w:num>
  <w:num w:numId="28" w16cid:durableId="391970900">
    <w:abstractNumId w:val="29"/>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1"/>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1634172372">
    <w:abstractNumId w:val="26"/>
  </w:num>
  <w:num w:numId="47" w16cid:durableId="1395853443">
    <w:abstractNumId w:val="27"/>
  </w:num>
  <w:num w:numId="48" w16cid:durableId="2126657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6360"/>
    <w:rsid w:val="00067DC9"/>
    <w:rsid w:val="00074C17"/>
    <w:rsid w:val="00077A57"/>
    <w:rsid w:val="0009108C"/>
    <w:rsid w:val="00097047"/>
    <w:rsid w:val="000A01FA"/>
    <w:rsid w:val="000A386C"/>
    <w:rsid w:val="000A648D"/>
    <w:rsid w:val="000B165C"/>
    <w:rsid w:val="000B28F1"/>
    <w:rsid w:val="000B6B22"/>
    <w:rsid w:val="000B7D6D"/>
    <w:rsid w:val="000C33EB"/>
    <w:rsid w:val="000C55E0"/>
    <w:rsid w:val="000C6C73"/>
    <w:rsid w:val="000D401F"/>
    <w:rsid w:val="000D4357"/>
    <w:rsid w:val="000E1AB5"/>
    <w:rsid w:val="000F4AE3"/>
    <w:rsid w:val="000F528A"/>
    <w:rsid w:val="001022DD"/>
    <w:rsid w:val="00105474"/>
    <w:rsid w:val="00107CE6"/>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67380"/>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16E6"/>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62CF"/>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65B2"/>
    <w:rsid w:val="00B10BA7"/>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02EA"/>
    <w:rsid w:val="00DA1B06"/>
    <w:rsid w:val="00DA3954"/>
    <w:rsid w:val="00DB22F3"/>
    <w:rsid w:val="00DB6A92"/>
    <w:rsid w:val="00DC3353"/>
    <w:rsid w:val="00DC6795"/>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0D75"/>
    <w:rsid w:val="00F04C7B"/>
    <w:rsid w:val="00F0521B"/>
    <w:rsid w:val="00F16AC6"/>
    <w:rsid w:val="00F22D6B"/>
    <w:rsid w:val="00F300A7"/>
    <w:rsid w:val="00F316E0"/>
    <w:rsid w:val="00F3247D"/>
    <w:rsid w:val="00F337F6"/>
    <w:rsid w:val="00F42F80"/>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Willem Burger</cp:lastModifiedBy>
  <cp:revision>2</cp:revision>
  <cp:lastPrinted>2023-01-25T15:41:00Z</cp:lastPrinted>
  <dcterms:created xsi:type="dcterms:W3CDTF">2023-07-17T08:07:00Z</dcterms:created>
  <dcterms:modified xsi:type="dcterms:W3CDTF">2023-07-17T08:07:00Z</dcterms:modified>
</cp:coreProperties>
</file>