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EED0B64" w:rsidR="00F0521B" w:rsidRPr="00F0521B" w:rsidRDefault="00FC6413" w:rsidP="006B3FA2">
            <w:pPr>
              <w:spacing w:before="60" w:after="60" w:line="276" w:lineRule="auto"/>
              <w:jc w:val="both"/>
              <w:rPr>
                <w:rFonts w:ascii="Arial" w:hAnsi="Arial" w:cs="Arial"/>
                <w:sz w:val="20"/>
              </w:rPr>
            </w:pPr>
            <w:r>
              <w:rPr>
                <w:rFonts w:ascii="Arial" w:hAnsi="Arial" w:cs="Arial"/>
                <w:sz w:val="20"/>
              </w:rPr>
              <w:t>Medupi Power Station- GX</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1D6094E2" w:rsidR="00EC662F" w:rsidRPr="00336747" w:rsidRDefault="00FC6413" w:rsidP="00880865">
            <w:pPr>
              <w:spacing w:line="360" w:lineRule="auto"/>
              <w:jc w:val="both"/>
              <w:rPr>
                <w:rFonts w:ascii="Arial" w:hAnsi="Arial" w:cs="Arial"/>
                <w:sz w:val="20"/>
                <w:lang w:val="en-ZA"/>
              </w:rPr>
            </w:pPr>
            <w:r>
              <w:rPr>
                <w:rFonts w:ascii="Arial" w:hAnsi="Arial" w:cs="Arial"/>
              </w:rPr>
              <w:t>The supply and refurbishment of Burner fuel oil pneumatic cylinders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C119E21" w:rsidR="00EB6A30" w:rsidRPr="00F0521B" w:rsidRDefault="00FC6413" w:rsidP="00EB03A4">
            <w:pPr>
              <w:spacing w:before="60" w:after="60" w:line="276" w:lineRule="auto"/>
              <w:jc w:val="both"/>
              <w:rPr>
                <w:rFonts w:ascii="Arial" w:hAnsi="Arial" w:cs="Arial"/>
                <w:sz w:val="20"/>
              </w:rPr>
            </w:pPr>
            <w:r>
              <w:rPr>
                <w:rFonts w:ascii="Arial" w:hAnsi="Arial" w:cs="Arial"/>
                <w:sz w:val="20"/>
              </w:rPr>
              <w:t>60 months</w:t>
            </w:r>
          </w:p>
        </w:tc>
      </w:tr>
      <w:tr w:rsidR="00EB6A30" w:rsidRPr="003D78F9" w14:paraId="46A2D74A" w14:textId="77777777" w:rsidTr="00EC662F">
        <w:tc>
          <w:tcPr>
            <w:tcW w:w="3227" w:type="dxa"/>
          </w:tcPr>
          <w:p w14:paraId="4B24E673"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Budget</w:t>
            </w:r>
          </w:p>
        </w:tc>
        <w:tc>
          <w:tcPr>
            <w:tcW w:w="5953" w:type="dxa"/>
          </w:tcPr>
          <w:p w14:paraId="61A9B573" w14:textId="33F7202E" w:rsidR="00EB6A30" w:rsidRPr="00CF781D" w:rsidRDefault="006F7826" w:rsidP="00914474">
            <w:pPr>
              <w:jc w:val="both"/>
              <w:rPr>
                <w:rFonts w:ascii="Arial" w:hAnsi="Arial" w:cs="Arial"/>
                <w:sz w:val="20"/>
              </w:rPr>
            </w:pPr>
            <w:r>
              <w:rPr>
                <w:rFonts w:ascii="Arial" w:hAnsi="Arial" w:cs="Arial"/>
                <w:sz w:val="20"/>
              </w:rPr>
              <w:t>XXXXXX</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05BCF52E" w:rsidR="00304117" w:rsidRPr="00CF781D" w:rsidRDefault="00FC6413" w:rsidP="00F0521B">
            <w:pPr>
              <w:spacing w:before="60" w:after="60" w:line="276" w:lineRule="auto"/>
              <w:jc w:val="both"/>
              <w:rPr>
                <w:rFonts w:ascii="Arial" w:hAnsi="Arial" w:cs="Arial"/>
                <w:sz w:val="20"/>
              </w:rPr>
            </w:pPr>
            <w:r>
              <w:rPr>
                <w:rFonts w:ascii="Arial" w:hAnsi="Arial" w:cs="Arial"/>
              </w:rPr>
              <w:t>Constance Sekhuto</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466D30D7" w:rsidR="006F7826" w:rsidRDefault="006F7826" w:rsidP="00EB6A30">
      <w:pPr>
        <w:spacing w:line="276" w:lineRule="auto"/>
        <w:rPr>
          <w:rFonts w:ascii="Arial" w:hAnsi="Arial" w:cs="Arial"/>
        </w:rPr>
      </w:pPr>
    </w:p>
    <w:p w14:paraId="0484581A" w14:textId="7F2F0B30"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FC6413">
        <w:rPr>
          <w:rFonts w:ascii="Arial" w:hAnsi="Arial" w:cs="Arial"/>
          <w:b/>
          <w:sz w:val="22"/>
        </w:rPr>
        <w:t>2</w:t>
      </w:r>
      <w:r w:rsidRPr="00EB6A30">
        <w:rPr>
          <w:rFonts w:ascii="Arial" w:hAnsi="Arial" w:cs="Arial"/>
          <w:b/>
          <w:sz w:val="22"/>
        </w:rPr>
        <w:t xml:space="preserve">: </w:t>
      </w:r>
      <w:bookmarkStart w:id="0"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0"/>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00C711D9" w14:textId="77777777" w:rsidR="00E855AE" w:rsidRPr="00DD747B" w:rsidRDefault="00E855AE" w:rsidP="00E855AE">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17C717EB" w14:textId="238BC155" w:rsidR="00546E27" w:rsidRDefault="00546E27" w:rsidP="00065BFD">
            <w:pPr>
              <w:tabs>
                <w:tab w:val="left" w:pos="720"/>
              </w:tabs>
              <w:spacing w:line="276" w:lineRule="auto"/>
              <w:ind w:left="360"/>
              <w:jc w:val="both"/>
              <w:rPr>
                <w:rFonts w:ascii="Arial" w:hAnsi="Arial" w:cs="Arial"/>
                <w:b/>
                <w:sz w:val="20"/>
              </w:rPr>
            </w:pPr>
          </w:p>
          <w:p w14:paraId="43849AEB" w14:textId="513801D3" w:rsidR="00E855AE" w:rsidRDefault="00E855AE" w:rsidP="00065BFD">
            <w:pPr>
              <w:tabs>
                <w:tab w:val="left" w:pos="720"/>
              </w:tabs>
              <w:spacing w:line="276" w:lineRule="auto"/>
              <w:ind w:left="360"/>
              <w:jc w:val="both"/>
              <w:rPr>
                <w:rFonts w:ascii="Arial" w:hAnsi="Arial" w:cs="Arial"/>
                <w:b/>
                <w:sz w:val="20"/>
              </w:rPr>
            </w:pPr>
          </w:p>
          <w:p w14:paraId="6CAAD2B7" w14:textId="239BCA7C" w:rsidR="00E855AE" w:rsidRDefault="00E855AE" w:rsidP="00065BFD">
            <w:pPr>
              <w:tabs>
                <w:tab w:val="left" w:pos="720"/>
              </w:tabs>
              <w:spacing w:line="276" w:lineRule="auto"/>
              <w:ind w:left="360"/>
              <w:jc w:val="both"/>
              <w:rPr>
                <w:rFonts w:ascii="Arial" w:hAnsi="Arial" w:cs="Arial"/>
                <w:b/>
                <w:sz w:val="20"/>
              </w:rPr>
            </w:pPr>
          </w:p>
          <w:p w14:paraId="2AB3B8E9" w14:textId="77777777" w:rsidR="00E855AE" w:rsidRPr="00CF781D" w:rsidRDefault="00E855AE" w:rsidP="00065BFD">
            <w:pPr>
              <w:tabs>
                <w:tab w:val="left" w:pos="720"/>
              </w:tabs>
              <w:spacing w:line="276" w:lineRule="auto"/>
              <w:ind w:left="360"/>
              <w:jc w:val="both"/>
              <w:rPr>
                <w:rFonts w:ascii="Arial" w:hAnsi="Arial" w:cs="Arial"/>
                <w:b/>
                <w:sz w:val="20"/>
              </w:rPr>
            </w:pPr>
          </w:p>
          <w:p w14:paraId="4BED403A" w14:textId="429F5C87"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lastRenderedPageBreak/>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6478D814" w:rsidR="00546E27" w:rsidRPr="00E855AE" w:rsidRDefault="00522B04"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 xml:space="preserve">Procurement </w:t>
            </w:r>
            <w:r w:rsidR="00FC6413" w:rsidRPr="00E855AE">
              <w:rPr>
                <w:rFonts w:ascii="Arial" w:hAnsi="Arial" w:cs="Arial"/>
                <w:b/>
                <w:sz w:val="20"/>
                <w:lang w:val="en-ZA"/>
              </w:rPr>
              <w:t>spends</w:t>
            </w:r>
            <w:r w:rsidRPr="00E855AE">
              <w:rPr>
                <w:rFonts w:ascii="Arial" w:hAnsi="Arial" w:cs="Arial"/>
                <w:b/>
                <w:sz w:val="20"/>
                <w:lang w:val="en-ZA"/>
              </w:rPr>
              <w:t xml:space="preserve"> on</w:t>
            </w:r>
            <w:r w:rsidR="00546E27" w:rsidRPr="00E855AE">
              <w:rPr>
                <w:rFonts w:ascii="Arial" w:hAnsi="Arial" w:cs="Arial"/>
                <w:b/>
                <w:sz w:val="20"/>
              </w:rPr>
              <w:t xml:space="preserve"> entities with a minimum 51% black </w:t>
            </w:r>
            <w:proofErr w:type="gramStart"/>
            <w:r w:rsidR="00546E27" w:rsidRPr="00E855AE">
              <w:rPr>
                <w:rFonts w:ascii="Arial" w:hAnsi="Arial" w:cs="Arial"/>
                <w:b/>
                <w:sz w:val="20"/>
              </w:rPr>
              <w:t>ownership</w:t>
            </w:r>
            <w:proofErr w:type="gramEnd"/>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1F920FFA"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r w:rsidR="00FC6413" w:rsidRPr="00A500C7">
              <w:rPr>
                <w:rFonts w:ascii="Arial" w:hAnsi="Arial" w:cs="Arial"/>
                <w:sz w:val="20"/>
                <w:lang w:val="en-ZA"/>
              </w:rPr>
              <w:t>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5AD43F6C" w14:textId="50AF7DC6" w:rsidR="00546E27" w:rsidRDefault="00546E27" w:rsidP="00065BFD">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B9206FA"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065BFD">
              <w:trPr>
                <w:trHeight w:val="427"/>
              </w:trPr>
              <w:tc>
                <w:tcPr>
                  <w:tcW w:w="3291" w:type="dxa"/>
                  <w:shd w:val="clear" w:color="auto" w:fill="auto"/>
                </w:tcPr>
                <w:p w14:paraId="5C234A28" w14:textId="77777777" w:rsidR="00546E27" w:rsidRPr="000C5130" w:rsidRDefault="00546E27" w:rsidP="00065BFD">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0E0BD5E" w14:textId="78AE6D9E" w:rsidR="00546E27" w:rsidRPr="000C5130" w:rsidRDefault="00FC6413" w:rsidP="00065BFD">
                  <w:pPr>
                    <w:tabs>
                      <w:tab w:val="left" w:pos="720"/>
                    </w:tabs>
                    <w:jc w:val="center"/>
                    <w:rPr>
                      <w:rFonts w:ascii="Arial" w:hAnsi="Arial" w:cs="Arial"/>
                      <w:sz w:val="20"/>
                    </w:rPr>
                  </w:pPr>
                  <w:r>
                    <w:rPr>
                      <w:rFonts w:ascii="Arial" w:hAnsi="Arial" w:cs="Arial"/>
                      <w:sz w:val="20"/>
                    </w:rPr>
                    <w:t>10</w:t>
                  </w:r>
                  <w:r w:rsidR="00546E27">
                    <w:rPr>
                      <w:rFonts w:ascii="Arial" w:hAnsi="Arial" w:cs="Arial"/>
                      <w:sz w:val="20"/>
                    </w:rPr>
                    <w:t>%</w:t>
                  </w:r>
                </w:p>
              </w:tc>
              <w:tc>
                <w:tcPr>
                  <w:tcW w:w="2120" w:type="dxa"/>
                  <w:shd w:val="clear" w:color="auto" w:fill="auto"/>
                </w:tcPr>
                <w:p w14:paraId="58CD9B02" w14:textId="77777777" w:rsidR="00546E27" w:rsidRPr="000C5130" w:rsidRDefault="00546E27" w:rsidP="00065BFD">
                  <w:pPr>
                    <w:tabs>
                      <w:tab w:val="left" w:pos="720"/>
                    </w:tabs>
                    <w:jc w:val="both"/>
                    <w:rPr>
                      <w:rFonts w:ascii="Arial" w:hAnsi="Arial" w:cs="Arial"/>
                      <w:sz w:val="20"/>
                    </w:rPr>
                  </w:pPr>
                </w:p>
              </w:tc>
            </w:tr>
          </w:tbl>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602ED63F"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shd w:val="clear" w:color="auto" w:fill="auto"/>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0B06583A" w:rsidR="00546E27" w:rsidRDefault="00546E27" w:rsidP="00065BFD">
            <w:pPr>
              <w:tabs>
                <w:tab w:val="left" w:pos="720"/>
              </w:tabs>
              <w:spacing w:line="276" w:lineRule="auto"/>
              <w:ind w:left="360"/>
              <w:jc w:val="both"/>
              <w:rPr>
                <w:rFonts w:ascii="Arial" w:hAnsi="Arial" w:cs="Arial"/>
                <w:b/>
                <w:sz w:val="20"/>
                <w:lang w:val="en-ZA"/>
              </w:rPr>
            </w:pPr>
          </w:p>
          <w:p w14:paraId="0D735E33" w14:textId="1DF175B0" w:rsidR="00FC6413" w:rsidRDefault="00FC6413" w:rsidP="00065BFD">
            <w:pPr>
              <w:tabs>
                <w:tab w:val="left" w:pos="720"/>
              </w:tabs>
              <w:spacing w:line="276" w:lineRule="auto"/>
              <w:ind w:left="360"/>
              <w:jc w:val="both"/>
              <w:rPr>
                <w:rFonts w:ascii="Arial" w:hAnsi="Arial" w:cs="Arial"/>
                <w:b/>
                <w:sz w:val="20"/>
                <w:lang w:val="en-ZA"/>
              </w:rPr>
            </w:pPr>
          </w:p>
          <w:p w14:paraId="533CAC64" w14:textId="59AE4ECB" w:rsidR="00FC6413" w:rsidRDefault="00FC6413" w:rsidP="00065BFD">
            <w:pPr>
              <w:tabs>
                <w:tab w:val="left" w:pos="720"/>
              </w:tabs>
              <w:spacing w:line="276" w:lineRule="auto"/>
              <w:ind w:left="360"/>
              <w:jc w:val="both"/>
              <w:rPr>
                <w:rFonts w:ascii="Arial" w:hAnsi="Arial" w:cs="Arial"/>
                <w:b/>
                <w:sz w:val="20"/>
                <w:lang w:val="en-ZA"/>
              </w:rPr>
            </w:pPr>
          </w:p>
          <w:p w14:paraId="0F11B31E" w14:textId="3511328F" w:rsidR="00FC6413" w:rsidRDefault="00FC6413" w:rsidP="00065BFD">
            <w:pPr>
              <w:tabs>
                <w:tab w:val="left" w:pos="720"/>
              </w:tabs>
              <w:spacing w:line="276" w:lineRule="auto"/>
              <w:ind w:left="360"/>
              <w:jc w:val="both"/>
              <w:rPr>
                <w:rFonts w:ascii="Arial" w:hAnsi="Arial" w:cs="Arial"/>
                <w:b/>
                <w:sz w:val="20"/>
                <w:lang w:val="en-ZA"/>
              </w:rPr>
            </w:pPr>
          </w:p>
          <w:p w14:paraId="6FCD5550" w14:textId="334ED533" w:rsidR="00FC6413" w:rsidRDefault="00FC6413" w:rsidP="00065BFD">
            <w:pPr>
              <w:tabs>
                <w:tab w:val="left" w:pos="720"/>
              </w:tabs>
              <w:spacing w:line="276" w:lineRule="auto"/>
              <w:ind w:left="360"/>
              <w:jc w:val="both"/>
              <w:rPr>
                <w:rFonts w:ascii="Arial" w:hAnsi="Arial" w:cs="Arial"/>
                <w:b/>
                <w:sz w:val="20"/>
                <w:lang w:val="en-ZA"/>
              </w:rPr>
            </w:pPr>
          </w:p>
          <w:p w14:paraId="7255D82C" w14:textId="77777777" w:rsidR="00FC6413" w:rsidRDefault="00FC6413" w:rsidP="00065BFD">
            <w:pPr>
              <w:tabs>
                <w:tab w:val="left" w:pos="720"/>
              </w:tabs>
              <w:spacing w:line="276" w:lineRule="auto"/>
              <w:ind w:left="360"/>
              <w:jc w:val="both"/>
              <w:rPr>
                <w:rFonts w:ascii="Arial" w:hAnsi="Arial" w:cs="Arial"/>
                <w:b/>
                <w:sz w:val="20"/>
                <w:lang w:val="en-ZA"/>
              </w:rPr>
            </w:pPr>
          </w:p>
          <w:p w14:paraId="083715FB" w14:textId="77777777" w:rsidR="00E855AE" w:rsidRDefault="00E855AE" w:rsidP="00065BFD">
            <w:pPr>
              <w:tabs>
                <w:tab w:val="left" w:pos="720"/>
              </w:tabs>
              <w:spacing w:line="276" w:lineRule="auto"/>
              <w:ind w:left="360"/>
              <w:jc w:val="both"/>
              <w:rPr>
                <w:rFonts w:ascii="Arial" w:hAnsi="Arial" w:cs="Arial"/>
                <w:b/>
                <w:sz w:val="20"/>
                <w:lang w:val="en-ZA"/>
              </w:rPr>
            </w:pPr>
          </w:p>
          <w:p w14:paraId="7EB1A0AD" w14:textId="630BB109" w:rsidR="00546E27" w:rsidRPr="00E855AE" w:rsidRDefault="00546E27" w:rsidP="00E855AE">
            <w:pPr>
              <w:pStyle w:val="ListParagraph"/>
              <w:numPr>
                <w:ilvl w:val="0"/>
                <w:numId w:val="46"/>
              </w:numPr>
              <w:tabs>
                <w:tab w:val="left" w:pos="720"/>
              </w:tabs>
              <w:spacing w:line="276" w:lineRule="auto"/>
              <w:jc w:val="both"/>
              <w:rPr>
                <w:rFonts w:ascii="Arial" w:hAnsi="Arial" w:cs="Arial"/>
                <w:b/>
                <w:sz w:val="20"/>
                <w:lang w:val="en-ZA"/>
              </w:rPr>
            </w:pPr>
            <w:r w:rsidRPr="00E855AE">
              <w:rPr>
                <w:rFonts w:ascii="Arial" w:hAnsi="Arial" w:cs="Arial"/>
                <w:b/>
                <w:sz w:val="20"/>
                <w:lang w:val="en-ZA"/>
              </w:rPr>
              <w:lastRenderedPageBreak/>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546E27" w:rsidRPr="000C5130" w14:paraId="241C348B" w14:textId="77777777" w:rsidTr="00065BFD">
              <w:trPr>
                <w:trHeight w:val="359"/>
              </w:trPr>
              <w:tc>
                <w:tcPr>
                  <w:tcW w:w="3668" w:type="dxa"/>
                  <w:shd w:val="clear" w:color="auto" w:fill="D9D9D9" w:themeFill="background1" w:themeFillShade="D9"/>
                </w:tcPr>
                <w:p w14:paraId="3026DCFD"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5DF8A795" w14:textId="77777777" w:rsidR="00546E27" w:rsidRDefault="00546E27" w:rsidP="00065BFD">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741D885"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Proposed Number of Candidates</w:t>
                  </w:r>
                </w:p>
              </w:tc>
            </w:tr>
            <w:tr w:rsidR="00FC6413" w:rsidRPr="000C5130" w14:paraId="663D7228" w14:textId="77777777" w:rsidTr="007A003C">
              <w:trPr>
                <w:trHeight w:val="359"/>
              </w:trPr>
              <w:tc>
                <w:tcPr>
                  <w:tcW w:w="3668" w:type="dxa"/>
                  <w:shd w:val="clear" w:color="auto" w:fill="auto"/>
                </w:tcPr>
                <w:p w14:paraId="77E91768" w14:textId="3DC1E614" w:rsidR="00FC6413" w:rsidRPr="00FC6413" w:rsidRDefault="00FC6413" w:rsidP="00FC6413">
                  <w:pPr>
                    <w:spacing w:line="276" w:lineRule="auto"/>
                    <w:rPr>
                      <w:rFonts w:ascii="Arial" w:hAnsi="Arial" w:cs="Arial"/>
                      <w:color w:val="000000" w:themeColor="text1"/>
                      <w:sz w:val="20"/>
                    </w:rPr>
                  </w:pPr>
                  <w:r w:rsidRPr="00FC6413">
                    <w:rPr>
                      <w:rFonts w:ascii="Arial" w:hAnsi="Arial" w:cs="Arial"/>
                      <w:color w:val="000000" w:themeColor="text1"/>
                      <w:sz w:val="20"/>
                    </w:rPr>
                    <w:t>Mechanical Fitters</w:t>
                  </w:r>
                </w:p>
              </w:tc>
              <w:tc>
                <w:tcPr>
                  <w:tcW w:w="1674" w:type="dxa"/>
                </w:tcPr>
                <w:p w14:paraId="4433DE1A" w14:textId="52A45BA4" w:rsidR="00FC6413" w:rsidRPr="00FC6413" w:rsidRDefault="00FC6413" w:rsidP="00FC6413">
                  <w:pPr>
                    <w:jc w:val="center"/>
                    <w:rPr>
                      <w:rFonts w:ascii="Arial" w:hAnsi="Arial" w:cs="Arial"/>
                      <w:color w:val="000000" w:themeColor="text1"/>
                      <w:sz w:val="20"/>
                    </w:rPr>
                  </w:pPr>
                  <w:r w:rsidRPr="00FC6413">
                    <w:rPr>
                      <w:rFonts w:ascii="Arial" w:hAnsi="Arial" w:cs="Arial"/>
                      <w:color w:val="000000" w:themeColor="text1"/>
                      <w:sz w:val="20"/>
                    </w:rPr>
                    <w:t>3</w:t>
                  </w:r>
                </w:p>
              </w:tc>
              <w:tc>
                <w:tcPr>
                  <w:tcW w:w="1984" w:type="dxa"/>
                </w:tcPr>
                <w:p w14:paraId="14DC65E3" w14:textId="77777777" w:rsidR="00FC6413" w:rsidRPr="008A3FC8" w:rsidRDefault="00FC6413" w:rsidP="00FC6413">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436FEA90" w:rsidR="00F76156" w:rsidRDefault="00F76156" w:rsidP="00C7656D">
      <w:pPr>
        <w:spacing w:after="200" w:line="276" w:lineRule="auto"/>
        <w:rPr>
          <w:rFonts w:ascii="Arial" w:hAnsi="Arial" w:cs="Arial"/>
          <w:b/>
          <w:sz w:val="22"/>
        </w:rPr>
      </w:pPr>
    </w:p>
    <w:p w14:paraId="37867E3D" w14:textId="5F139528" w:rsidR="00E855AE" w:rsidRDefault="00E855AE" w:rsidP="00C7656D">
      <w:pPr>
        <w:spacing w:after="200" w:line="276" w:lineRule="auto"/>
        <w:rPr>
          <w:rFonts w:ascii="Arial" w:hAnsi="Arial" w:cs="Arial"/>
          <w:b/>
          <w:sz w:val="22"/>
        </w:rPr>
      </w:pPr>
    </w:p>
    <w:p w14:paraId="0D4E0F8D" w14:textId="77777777" w:rsidR="00FC6413" w:rsidRDefault="00FC6413" w:rsidP="00C7656D">
      <w:pPr>
        <w:spacing w:after="200" w:line="276" w:lineRule="auto"/>
        <w:rPr>
          <w:rFonts w:ascii="Arial" w:hAnsi="Arial" w:cs="Arial"/>
          <w:b/>
          <w:sz w:val="22"/>
        </w:rPr>
      </w:pPr>
    </w:p>
    <w:p w14:paraId="35DAD45A" w14:textId="2BC18DC6"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1"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1"/>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175644">
        <w:trPr>
          <w:trHeight w:val="780"/>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214C63BB"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r w:rsidR="00FC6413">
              <w:rPr>
                <w:rFonts w:ascii="Arial" w:hAnsi="Arial" w:cs="Arial"/>
                <w:sz w:val="20"/>
              </w:rPr>
              <w:t>Levious Mocheko</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FC6413">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gramStart"/>
            <w:r>
              <w:rPr>
                <w:rFonts w:ascii="Arial" w:hAnsi="Arial" w:cs="Arial"/>
                <w:sz w:val="20"/>
              </w:rPr>
              <w:t>Localis</w:t>
            </w:r>
            <w:r w:rsidRPr="00AC3774">
              <w:rPr>
                <w:rFonts w:ascii="Arial" w:hAnsi="Arial" w:cs="Arial"/>
                <w:sz w:val="20"/>
              </w:rPr>
              <w:t>ation</w:t>
            </w:r>
            <w:proofErr w:type="gramEnd"/>
            <w:r>
              <w:rPr>
                <w:rFonts w:ascii="Arial" w:hAnsi="Arial" w:cs="Arial"/>
                <w:sz w:val="20"/>
              </w:rPr>
              <w:t xml:space="preserve"> and Industrialisation</w:t>
            </w: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668E2859"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FC6413">
              <w:rPr>
                <w:rFonts w:ascii="Arial" w:hAnsi="Arial" w:cs="Arial"/>
                <w:sz w:val="20"/>
              </w:rPr>
              <w:t>22 February 2024</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7AA8" w14:textId="77777777" w:rsidR="00874F7A" w:rsidRDefault="00874F7A" w:rsidP="00201A98">
      <w:r>
        <w:separator/>
      </w:r>
    </w:p>
  </w:endnote>
  <w:endnote w:type="continuationSeparator" w:id="0">
    <w:p w14:paraId="4411960D" w14:textId="77777777" w:rsidR="00874F7A" w:rsidRDefault="00874F7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1F5D1" w14:textId="77777777" w:rsidR="00874F7A" w:rsidRDefault="00874F7A" w:rsidP="00201A98">
      <w:r>
        <w:separator/>
      </w:r>
    </w:p>
  </w:footnote>
  <w:footnote w:type="continuationSeparator" w:id="0">
    <w:p w14:paraId="676CD8F5" w14:textId="77777777" w:rsidR="00874F7A" w:rsidRDefault="00874F7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70460704"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8"/>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2"/>
  </w:num>
  <w:num w:numId="28" w16cid:durableId="391970900">
    <w:abstractNumId w:val="27"/>
  </w:num>
  <w:num w:numId="29" w16cid:durableId="2142724945">
    <w:abstractNumId w:val="6"/>
  </w:num>
  <w:num w:numId="30" w16cid:durableId="1111973304">
    <w:abstractNumId w:val="33"/>
  </w:num>
  <w:num w:numId="31" w16cid:durableId="1998069011">
    <w:abstractNumId w:val="44"/>
  </w:num>
  <w:num w:numId="32" w16cid:durableId="1712143695">
    <w:abstractNumId w:val="40"/>
  </w:num>
  <w:num w:numId="33" w16cid:durableId="778767238">
    <w:abstractNumId w:val="34"/>
  </w:num>
  <w:num w:numId="34" w16cid:durableId="1249457635">
    <w:abstractNumId w:val="43"/>
  </w:num>
  <w:num w:numId="35" w16cid:durableId="1195466582">
    <w:abstractNumId w:val="20"/>
  </w:num>
  <w:num w:numId="36" w16cid:durableId="937130701">
    <w:abstractNumId w:val="41"/>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9"/>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7"/>
  </w:num>
  <w:num w:numId="46" w16cid:durableId="7920227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30262"/>
    <w:rsid w:val="00732A3F"/>
    <w:rsid w:val="00732BC4"/>
    <w:rsid w:val="00733FE1"/>
    <w:rsid w:val="00761BE3"/>
    <w:rsid w:val="00766611"/>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74F7A"/>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927D9"/>
    <w:rsid w:val="00DA1B06"/>
    <w:rsid w:val="00DA3954"/>
    <w:rsid w:val="00DB22F3"/>
    <w:rsid w:val="00DB6A92"/>
    <w:rsid w:val="00DC3353"/>
    <w:rsid w:val="00DC6795"/>
    <w:rsid w:val="00DD4AD8"/>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C641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Sekhuto</cp:lastModifiedBy>
  <cp:revision>2</cp:revision>
  <cp:lastPrinted>2023-01-25T15:41:00Z</cp:lastPrinted>
  <dcterms:created xsi:type="dcterms:W3CDTF">2024-02-26T11:52:00Z</dcterms:created>
  <dcterms:modified xsi:type="dcterms:W3CDTF">2024-02-26T11:52:00Z</dcterms:modified>
</cp:coreProperties>
</file>