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A78" w:rsidRDefault="00E21A78"/>
    <w:p w:rsidR="00594031" w:rsidRDefault="00594031"/>
    <w:p w:rsidR="00594031" w:rsidRDefault="00594031"/>
    <w:p w:rsidR="00594031" w:rsidRPr="00DF4965" w:rsidRDefault="00594031" w:rsidP="00594031">
      <w:pPr>
        <w:jc w:val="center"/>
        <w:rPr>
          <w:rFonts w:ascii="Arial" w:hAnsi="Arial" w:cs="Arial"/>
          <w:b/>
          <w:iCs/>
          <w:sz w:val="22"/>
          <w:szCs w:val="22"/>
        </w:rPr>
      </w:pPr>
    </w:p>
    <w:p w:rsidR="00594031" w:rsidRPr="00DF4965" w:rsidRDefault="00594031" w:rsidP="00594031">
      <w:pPr>
        <w:jc w:val="center"/>
        <w:rPr>
          <w:rFonts w:ascii="Arial" w:hAnsi="Arial" w:cs="Arial"/>
          <w:b/>
          <w:iCs/>
          <w:sz w:val="22"/>
          <w:szCs w:val="22"/>
        </w:rPr>
      </w:pPr>
    </w:p>
    <w:p w:rsidR="00594031" w:rsidRPr="00DF4965" w:rsidRDefault="00594031" w:rsidP="00594031">
      <w:pPr>
        <w:jc w:val="center"/>
        <w:rPr>
          <w:rFonts w:ascii="Arial" w:hAnsi="Arial" w:cs="Arial"/>
          <w:b/>
          <w:iCs/>
          <w:sz w:val="22"/>
          <w:szCs w:val="22"/>
        </w:rPr>
      </w:pPr>
    </w:p>
    <w:p w:rsidR="00594031" w:rsidRPr="00DF4965" w:rsidRDefault="00594031" w:rsidP="00594031">
      <w:pPr>
        <w:jc w:val="center"/>
        <w:rPr>
          <w:rFonts w:ascii="Arial" w:hAnsi="Arial" w:cs="Arial"/>
          <w:b/>
          <w:iCs/>
          <w:sz w:val="22"/>
          <w:szCs w:val="22"/>
        </w:rPr>
      </w:pPr>
    </w:p>
    <w:p w:rsidR="00594031" w:rsidRPr="00DF4965" w:rsidRDefault="00594031" w:rsidP="00594031">
      <w:pPr>
        <w:jc w:val="center"/>
        <w:rPr>
          <w:rFonts w:ascii="Arial" w:hAnsi="Arial" w:cs="Arial"/>
          <w:b/>
          <w:iCs/>
          <w:sz w:val="22"/>
          <w:szCs w:val="22"/>
        </w:rPr>
      </w:pPr>
      <w:r>
        <w:rPr>
          <w:noProof/>
          <w:lang w:val="en-US"/>
        </w:rPr>
        <w:drawing>
          <wp:anchor distT="0" distB="0" distL="114300" distR="114300" simplePos="0" relativeHeight="251659264" behindDoc="1" locked="0" layoutInCell="1" allowOverlap="1" wp14:anchorId="0C3F793E" wp14:editId="7A1AF804">
            <wp:simplePos x="0" y="0"/>
            <wp:positionH relativeFrom="column">
              <wp:posOffset>0</wp:posOffset>
            </wp:positionH>
            <wp:positionV relativeFrom="paragraph">
              <wp:posOffset>-635</wp:posOffset>
            </wp:positionV>
            <wp:extent cx="1725295" cy="1383665"/>
            <wp:effectExtent l="0" t="0" r="0" b="0"/>
            <wp:wrapNone/>
            <wp:docPr id="4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pic:spPr>
                </pic:pic>
              </a:graphicData>
            </a:graphic>
            <wp14:sizeRelH relativeFrom="page">
              <wp14:pctWidth>0</wp14:pctWidth>
            </wp14:sizeRelH>
            <wp14:sizeRelV relativeFrom="page">
              <wp14:pctHeight>0</wp14:pctHeight>
            </wp14:sizeRelV>
          </wp:anchor>
        </w:drawing>
      </w:r>
    </w:p>
    <w:p w:rsidR="00594031" w:rsidRPr="00DF4965" w:rsidRDefault="00594031" w:rsidP="00594031">
      <w:pPr>
        <w:jc w:val="center"/>
        <w:rPr>
          <w:rFonts w:ascii="Arial" w:hAnsi="Arial" w:cs="Arial"/>
          <w:b/>
          <w:iCs/>
          <w:sz w:val="22"/>
          <w:szCs w:val="22"/>
        </w:rPr>
      </w:pPr>
    </w:p>
    <w:p w:rsidR="00594031" w:rsidRPr="00DF4965" w:rsidRDefault="00594031" w:rsidP="00594031">
      <w:pPr>
        <w:jc w:val="center"/>
        <w:rPr>
          <w:rFonts w:ascii="Arial" w:hAnsi="Arial" w:cs="Arial"/>
          <w:b/>
          <w:iCs/>
          <w:sz w:val="22"/>
          <w:szCs w:val="22"/>
        </w:rPr>
      </w:pPr>
    </w:p>
    <w:p w:rsidR="00594031" w:rsidRDefault="00594031" w:rsidP="00594031">
      <w:pPr>
        <w:jc w:val="center"/>
        <w:rPr>
          <w:rFonts w:ascii="Arial" w:hAnsi="Arial" w:cs="Arial"/>
          <w:b/>
          <w:iCs/>
          <w:sz w:val="22"/>
          <w:szCs w:val="22"/>
        </w:rPr>
      </w:pPr>
    </w:p>
    <w:p w:rsidR="00E86882" w:rsidRDefault="00E86882" w:rsidP="00594031">
      <w:pPr>
        <w:jc w:val="center"/>
        <w:rPr>
          <w:rFonts w:ascii="Arial" w:hAnsi="Arial" w:cs="Arial"/>
          <w:b/>
          <w:iCs/>
          <w:sz w:val="22"/>
          <w:szCs w:val="22"/>
        </w:rPr>
      </w:pPr>
    </w:p>
    <w:p w:rsidR="00E86882" w:rsidRDefault="00E86882" w:rsidP="00594031">
      <w:pPr>
        <w:jc w:val="center"/>
        <w:rPr>
          <w:rFonts w:ascii="Arial" w:hAnsi="Arial" w:cs="Arial"/>
          <w:b/>
          <w:iCs/>
          <w:sz w:val="22"/>
          <w:szCs w:val="22"/>
        </w:rPr>
      </w:pPr>
      <w:r>
        <w:rPr>
          <w:rFonts w:ascii="Arial" w:hAnsi="Arial" w:cs="Arial"/>
          <w:b/>
          <w:iCs/>
          <w:sz w:val="22"/>
          <w:szCs w:val="22"/>
        </w:rPr>
        <w:tab/>
      </w:r>
    </w:p>
    <w:p w:rsidR="00E86882" w:rsidRDefault="00E86882" w:rsidP="00594031">
      <w:pPr>
        <w:jc w:val="center"/>
        <w:rPr>
          <w:rFonts w:ascii="Arial" w:hAnsi="Arial" w:cs="Arial"/>
          <w:b/>
          <w:iCs/>
          <w:sz w:val="22"/>
          <w:szCs w:val="22"/>
        </w:rPr>
      </w:pPr>
    </w:p>
    <w:p w:rsidR="00E86882" w:rsidRDefault="00E86882" w:rsidP="00594031">
      <w:pPr>
        <w:jc w:val="center"/>
        <w:rPr>
          <w:rFonts w:ascii="Arial" w:hAnsi="Arial" w:cs="Arial"/>
          <w:b/>
          <w:iCs/>
          <w:sz w:val="22"/>
          <w:szCs w:val="22"/>
        </w:rPr>
      </w:pPr>
    </w:p>
    <w:p w:rsidR="00E86882" w:rsidRDefault="00E86882" w:rsidP="00594031">
      <w:pPr>
        <w:jc w:val="center"/>
        <w:rPr>
          <w:rFonts w:ascii="Arial" w:hAnsi="Arial" w:cs="Arial"/>
          <w:b/>
          <w:iCs/>
          <w:sz w:val="22"/>
          <w:szCs w:val="22"/>
        </w:rPr>
      </w:pPr>
    </w:p>
    <w:p w:rsidR="00E86882" w:rsidRPr="00DF4965" w:rsidRDefault="00E86882" w:rsidP="00594031">
      <w:pPr>
        <w:jc w:val="center"/>
        <w:rPr>
          <w:rFonts w:ascii="Arial" w:hAnsi="Arial" w:cs="Arial"/>
          <w:b/>
          <w:iCs/>
          <w:sz w:val="22"/>
          <w:szCs w:val="22"/>
        </w:rPr>
      </w:pPr>
    </w:p>
    <w:p w:rsidR="00594031" w:rsidRPr="00A85D10" w:rsidRDefault="00594031" w:rsidP="00594031">
      <w:pPr>
        <w:widowControl w:val="0"/>
        <w:autoSpaceDE w:val="0"/>
        <w:autoSpaceDN w:val="0"/>
        <w:adjustRightInd w:val="0"/>
        <w:jc w:val="center"/>
        <w:rPr>
          <w:rFonts w:ascii="Arial" w:hAnsi="Arial" w:cs="Arial"/>
          <w:b/>
          <w:bCs/>
          <w:sz w:val="22"/>
          <w:szCs w:val="22"/>
          <w:u w:val="single"/>
          <w:lang w:val="en-US" w:eastAsia="en-ZA"/>
        </w:rPr>
      </w:pPr>
      <w:r>
        <w:rPr>
          <w:rFonts w:ascii="Arial" w:hAnsi="Arial" w:cs="Arial"/>
          <w:b/>
          <w:bCs/>
          <w:sz w:val="22"/>
          <w:szCs w:val="22"/>
          <w:u w:val="single"/>
          <w:lang w:val="en-US" w:eastAsia="en-ZA"/>
        </w:rPr>
        <w:t>TENDER NO. MN 5</w:t>
      </w:r>
      <w:r w:rsidRPr="00A85D10">
        <w:rPr>
          <w:rFonts w:ascii="Arial" w:hAnsi="Arial" w:cs="Arial"/>
          <w:b/>
          <w:bCs/>
          <w:sz w:val="22"/>
          <w:szCs w:val="22"/>
          <w:u w:val="single"/>
          <w:lang w:val="en-US" w:eastAsia="en-ZA"/>
        </w:rPr>
        <w:t>9/202</w:t>
      </w:r>
      <w:r>
        <w:rPr>
          <w:rFonts w:ascii="Arial" w:hAnsi="Arial" w:cs="Arial"/>
          <w:b/>
          <w:bCs/>
          <w:sz w:val="22"/>
          <w:szCs w:val="22"/>
          <w:u w:val="single"/>
          <w:lang w:val="en-US" w:eastAsia="en-ZA"/>
        </w:rPr>
        <w:t>3</w:t>
      </w:r>
    </w:p>
    <w:p w:rsidR="00594031" w:rsidRDefault="00594031" w:rsidP="00594031">
      <w:pPr>
        <w:widowControl w:val="0"/>
        <w:autoSpaceDE w:val="0"/>
        <w:autoSpaceDN w:val="0"/>
        <w:adjustRightInd w:val="0"/>
        <w:jc w:val="center"/>
        <w:rPr>
          <w:rFonts w:ascii="Arial" w:hAnsi="Arial" w:cs="Arial"/>
          <w:b/>
          <w:bCs/>
          <w:szCs w:val="20"/>
          <w:u w:val="single"/>
          <w:lang w:val="en-US" w:eastAsia="en-ZA"/>
        </w:rPr>
      </w:pPr>
    </w:p>
    <w:p w:rsidR="00594031" w:rsidRPr="000E5E08" w:rsidRDefault="00594031" w:rsidP="00594031">
      <w:pPr>
        <w:widowControl w:val="0"/>
        <w:pBdr>
          <w:bottom w:val="single" w:sz="4" w:space="1" w:color="auto"/>
        </w:pBdr>
        <w:autoSpaceDE w:val="0"/>
        <w:autoSpaceDN w:val="0"/>
        <w:adjustRightInd w:val="0"/>
        <w:jc w:val="center"/>
        <w:rPr>
          <w:rFonts w:ascii="Arial" w:hAnsi="Arial" w:cs="Arial"/>
          <w:b/>
          <w:bCs/>
          <w:iCs/>
          <w:sz w:val="22"/>
          <w:szCs w:val="22"/>
          <w:lang w:val="en-ZA" w:bidi="en-US"/>
        </w:rPr>
      </w:pPr>
      <w:r w:rsidRPr="000E5E08">
        <w:rPr>
          <w:rFonts w:ascii="Arial" w:hAnsi="Arial" w:cs="Arial"/>
          <w:b/>
          <w:bCs/>
          <w:iCs/>
          <w:sz w:val="22"/>
          <w:szCs w:val="22"/>
          <w:lang w:val="en-ZA"/>
        </w:rPr>
        <w:t>ENGINEERING, SUPPLY, DELIVERY AND INSTALLATION OF SOLAR PV SYSTEM AT KWADUKUZA MUNICIPALITY LIBRARY.</w:t>
      </w:r>
    </w:p>
    <w:p w:rsidR="00594031" w:rsidRPr="000E5E08" w:rsidRDefault="00594031" w:rsidP="00594031">
      <w:pPr>
        <w:widowControl w:val="0"/>
        <w:pBdr>
          <w:bottom w:val="single" w:sz="4" w:space="1" w:color="auto"/>
        </w:pBdr>
        <w:autoSpaceDE w:val="0"/>
        <w:autoSpaceDN w:val="0"/>
        <w:adjustRightInd w:val="0"/>
        <w:jc w:val="center"/>
        <w:rPr>
          <w:rFonts w:ascii="Arial" w:hAnsi="Arial" w:cs="Arial"/>
          <w:b/>
          <w:lang w:val="en-ZA" w:eastAsia="en-ZA"/>
        </w:rPr>
      </w:pPr>
    </w:p>
    <w:p w:rsidR="00594031" w:rsidRPr="005E5C6A" w:rsidRDefault="00594031" w:rsidP="00594031">
      <w:pPr>
        <w:jc w:val="center"/>
        <w:rPr>
          <w:rFonts w:ascii="Arial" w:hAnsi="Arial" w:cs="Arial"/>
          <w:b/>
          <w:sz w:val="22"/>
          <w:szCs w:val="22"/>
          <w:lang w:val="en-US"/>
        </w:rPr>
      </w:pPr>
    </w:p>
    <w:p w:rsidR="00594031" w:rsidRPr="00DF4965" w:rsidRDefault="00594031" w:rsidP="00594031">
      <w:pPr>
        <w:jc w:val="both"/>
        <w:rPr>
          <w:rFonts w:ascii="Arial" w:hAnsi="Arial" w:cs="Arial"/>
          <w:b/>
          <w:sz w:val="22"/>
          <w:szCs w:val="22"/>
          <w:lang w:val="en-US"/>
        </w:rPr>
      </w:pPr>
      <w:r w:rsidRPr="00DF4965">
        <w:rPr>
          <w:rFonts w:ascii="Arial" w:hAnsi="Arial" w:cs="Arial"/>
          <w:b/>
          <w:sz w:val="22"/>
          <w:szCs w:val="22"/>
          <w:lang w:val="en-US"/>
        </w:rPr>
        <w:t>T1.1</w:t>
      </w:r>
      <w:r w:rsidRPr="00DF4965">
        <w:rPr>
          <w:rFonts w:ascii="Arial" w:hAnsi="Arial" w:cs="Arial"/>
          <w:b/>
          <w:sz w:val="22"/>
          <w:szCs w:val="22"/>
          <w:lang w:val="en-US"/>
        </w:rPr>
        <w:tab/>
        <w:t>TENDER NOTICE AND INVITATION TO TENDER</w:t>
      </w:r>
    </w:p>
    <w:p w:rsidR="00594031" w:rsidRPr="00DF4965" w:rsidRDefault="00594031" w:rsidP="00594031">
      <w:pPr>
        <w:jc w:val="both"/>
        <w:rPr>
          <w:rFonts w:ascii="Arial" w:hAnsi="Arial" w:cs="Arial"/>
          <w:bCs/>
          <w:iCs/>
          <w:sz w:val="22"/>
          <w:szCs w:val="22"/>
          <w:lang w:val="en-US"/>
        </w:rPr>
      </w:pPr>
    </w:p>
    <w:p w:rsidR="00594031" w:rsidRPr="001A24D4" w:rsidRDefault="00594031" w:rsidP="00594031">
      <w:pPr>
        <w:suppressAutoHyphens/>
        <w:jc w:val="both"/>
        <w:rPr>
          <w:rFonts w:ascii="Arial" w:hAnsi="Arial" w:cs="Arial"/>
          <w:bCs/>
          <w:iCs/>
          <w:sz w:val="22"/>
          <w:szCs w:val="22"/>
          <w:lang w:val="en-US"/>
        </w:rPr>
      </w:pPr>
      <w:r w:rsidRPr="001A24D4">
        <w:rPr>
          <w:rFonts w:ascii="Arial" w:hAnsi="Arial" w:cs="Arial"/>
          <w:bCs/>
          <w:iCs/>
          <w:sz w:val="22"/>
          <w:szCs w:val="22"/>
          <w:lang w:val="en-US"/>
        </w:rPr>
        <w:t xml:space="preserve">The KwaDukuza Municipality invites tenders for the above. Only Tenderers who are registered with CIDB in a contractor grading of </w:t>
      </w:r>
      <w:r>
        <w:rPr>
          <w:rFonts w:ascii="Arial" w:hAnsi="Arial" w:cs="Arial"/>
          <w:b/>
          <w:bCs/>
          <w:iCs/>
          <w:sz w:val="22"/>
          <w:szCs w:val="22"/>
          <w:lang w:val="en-US"/>
        </w:rPr>
        <w:t xml:space="preserve">2 EB or higher and emerging contractors of 1 EB PE </w:t>
      </w:r>
      <w:r>
        <w:rPr>
          <w:rFonts w:ascii="Arial" w:hAnsi="Arial" w:cs="Arial"/>
          <w:bCs/>
          <w:iCs/>
          <w:sz w:val="22"/>
          <w:szCs w:val="22"/>
          <w:lang w:val="en-US"/>
        </w:rPr>
        <w:t>or higher</w:t>
      </w:r>
      <w:r w:rsidRPr="001A24D4">
        <w:rPr>
          <w:rFonts w:ascii="Arial" w:hAnsi="Arial" w:cs="Arial"/>
          <w:bCs/>
          <w:iCs/>
          <w:sz w:val="22"/>
          <w:szCs w:val="22"/>
          <w:lang w:val="en-US"/>
        </w:rPr>
        <w:t>. Tenderers will have proof of CIDB Registration by closing date failing which the tender will be disqualified. Tenderers shall be registered on National Treasury’s Central Supplier Database.</w:t>
      </w:r>
    </w:p>
    <w:p w:rsidR="00594031" w:rsidRPr="001A24D4" w:rsidRDefault="00594031" w:rsidP="00594031">
      <w:pPr>
        <w:suppressAutoHyphens/>
        <w:jc w:val="both"/>
        <w:rPr>
          <w:rFonts w:ascii="Arial" w:hAnsi="Arial" w:cs="Arial"/>
          <w:bCs/>
          <w:iCs/>
          <w:sz w:val="22"/>
          <w:szCs w:val="22"/>
          <w:lang w:val="en-US"/>
        </w:rPr>
      </w:pPr>
    </w:p>
    <w:p w:rsidR="00594031" w:rsidRDefault="00594031" w:rsidP="00594031">
      <w:pPr>
        <w:suppressAutoHyphens/>
        <w:jc w:val="both"/>
        <w:rPr>
          <w:rFonts w:ascii="Arial" w:hAnsi="Arial" w:cs="Arial"/>
          <w:bCs/>
          <w:iCs/>
          <w:sz w:val="22"/>
          <w:szCs w:val="22"/>
          <w:lang w:val="en-US"/>
        </w:rPr>
      </w:pPr>
      <w:r w:rsidRPr="004010F5">
        <w:rPr>
          <w:rFonts w:ascii="Arial" w:hAnsi="Arial" w:cs="Arial"/>
          <w:bCs/>
          <w:iCs/>
          <w:sz w:val="22"/>
          <w:szCs w:val="22"/>
          <w:lang w:val="en-US"/>
        </w:rPr>
        <w:t xml:space="preserve">The physical address for collection of tender documents is: The KwaDukuza Municipality, Electrical Services Business Unit, Electrical Office No. 21, </w:t>
      </w:r>
      <w:proofErr w:type="spellStart"/>
      <w:r w:rsidRPr="004010F5">
        <w:rPr>
          <w:rFonts w:ascii="Arial" w:hAnsi="Arial" w:cs="Arial"/>
          <w:bCs/>
          <w:iCs/>
          <w:sz w:val="22"/>
          <w:szCs w:val="22"/>
          <w:lang w:val="en-US"/>
        </w:rPr>
        <w:t>Lavoipierre</w:t>
      </w:r>
      <w:proofErr w:type="spellEnd"/>
      <w:r w:rsidRPr="004010F5">
        <w:rPr>
          <w:rFonts w:ascii="Arial" w:hAnsi="Arial" w:cs="Arial"/>
          <w:bCs/>
          <w:iCs/>
          <w:sz w:val="22"/>
          <w:szCs w:val="22"/>
          <w:lang w:val="en-US"/>
        </w:rPr>
        <w:t xml:space="preserve"> Building, KwaDukuza, upon presentation of a receipt proving prior payment of a non-refundable fee of </w:t>
      </w:r>
      <w:r w:rsidR="00DB0638">
        <w:rPr>
          <w:rFonts w:ascii="Arial" w:hAnsi="Arial" w:cs="Arial"/>
          <w:bCs/>
          <w:iCs/>
          <w:sz w:val="22"/>
          <w:szCs w:val="22"/>
          <w:highlight w:val="yellow"/>
          <w:lang w:val="en-US"/>
        </w:rPr>
        <w:t>R385</w:t>
      </w:r>
      <w:bookmarkStart w:id="0" w:name="_GoBack"/>
      <w:bookmarkEnd w:id="0"/>
      <w:r w:rsidRPr="002B3FEF">
        <w:rPr>
          <w:rFonts w:ascii="Arial" w:hAnsi="Arial" w:cs="Arial"/>
          <w:bCs/>
          <w:iCs/>
          <w:sz w:val="22"/>
          <w:szCs w:val="22"/>
          <w:highlight w:val="yellow"/>
          <w:lang w:val="en-US"/>
        </w:rPr>
        <w:t>.00</w:t>
      </w:r>
      <w:r w:rsidRPr="004010F5">
        <w:rPr>
          <w:rFonts w:ascii="Arial" w:hAnsi="Arial" w:cs="Arial"/>
          <w:bCs/>
          <w:iCs/>
          <w:sz w:val="22"/>
          <w:szCs w:val="22"/>
          <w:lang w:val="en-US"/>
        </w:rPr>
        <w:t xml:space="preserve"> (inclusive of VAT), having been made at the Municipal Finance Business Unit, General Justice </w:t>
      </w:r>
      <w:proofErr w:type="spellStart"/>
      <w:r w:rsidRPr="004010F5">
        <w:rPr>
          <w:rFonts w:ascii="Arial" w:hAnsi="Arial" w:cs="Arial"/>
          <w:bCs/>
          <w:iCs/>
          <w:sz w:val="22"/>
          <w:szCs w:val="22"/>
          <w:lang w:val="en-US"/>
        </w:rPr>
        <w:t>Mpanza</w:t>
      </w:r>
      <w:proofErr w:type="spellEnd"/>
      <w:r w:rsidRPr="004010F5">
        <w:rPr>
          <w:rFonts w:ascii="Arial" w:hAnsi="Arial" w:cs="Arial"/>
          <w:bCs/>
          <w:iCs/>
          <w:sz w:val="22"/>
          <w:szCs w:val="22"/>
          <w:lang w:val="en-US"/>
        </w:rPr>
        <w:t xml:space="preserve"> Building, 104 Mahatma Gandhi Street, KwaDukuza (cash or </w:t>
      </w:r>
      <w:r>
        <w:rPr>
          <w:rFonts w:ascii="Arial" w:hAnsi="Arial" w:cs="Arial"/>
          <w:bCs/>
          <w:iCs/>
          <w:sz w:val="22"/>
          <w:szCs w:val="22"/>
          <w:lang w:val="en-US"/>
        </w:rPr>
        <w:t xml:space="preserve">EFT only). </w:t>
      </w:r>
      <w:r w:rsidRPr="004010F5">
        <w:rPr>
          <w:rFonts w:ascii="Arial" w:hAnsi="Arial" w:cs="Arial"/>
          <w:bCs/>
          <w:iCs/>
          <w:sz w:val="22"/>
          <w:szCs w:val="22"/>
          <w:lang w:val="en-US"/>
        </w:rPr>
        <w:t>EFT shall be made directly to the Municipality Bank Account which is as follows:</w:t>
      </w:r>
    </w:p>
    <w:p w:rsidR="00594031" w:rsidRPr="004010F5" w:rsidRDefault="00594031" w:rsidP="00594031">
      <w:pPr>
        <w:suppressAutoHyphens/>
        <w:jc w:val="both"/>
        <w:rPr>
          <w:rFonts w:ascii="Arial" w:hAnsi="Arial" w:cs="Arial"/>
          <w:bCs/>
          <w:iCs/>
          <w:sz w:val="22"/>
          <w:szCs w:val="22"/>
          <w:lang w:val="en-US"/>
        </w:rPr>
      </w:pPr>
      <w:r w:rsidRPr="004010F5">
        <w:rPr>
          <w:rFonts w:ascii="Arial" w:hAnsi="Arial" w:cs="Arial"/>
          <w:bCs/>
          <w:iCs/>
          <w:sz w:val="22"/>
          <w:szCs w:val="22"/>
          <w:lang w:val="en-US"/>
        </w:rPr>
        <w:t xml:space="preserve"> </w:t>
      </w:r>
    </w:p>
    <w:tbl>
      <w:tblPr>
        <w:tblW w:w="9858" w:type="dxa"/>
        <w:tblInd w:w="-115" w:type="dxa"/>
        <w:tblCellMar>
          <w:top w:w="29" w:type="dxa"/>
          <w:left w:w="115" w:type="dxa"/>
          <w:bottom w:w="29" w:type="dxa"/>
          <w:right w:w="115" w:type="dxa"/>
        </w:tblCellMar>
        <w:tblLook w:val="04A0" w:firstRow="1" w:lastRow="0" w:firstColumn="1" w:lastColumn="0" w:noHBand="0" w:noVBand="1"/>
      </w:tblPr>
      <w:tblGrid>
        <w:gridCol w:w="2005"/>
        <w:gridCol w:w="2925"/>
        <w:gridCol w:w="2055"/>
        <w:gridCol w:w="2873"/>
      </w:tblGrid>
      <w:tr w:rsidR="00594031" w:rsidRPr="00612383" w:rsidTr="00D65A5F">
        <w:tc>
          <w:tcPr>
            <w:tcW w:w="2005" w:type="dxa"/>
            <w:shd w:val="clear" w:color="auto" w:fill="auto"/>
          </w:tcPr>
          <w:p w:rsidR="00594031" w:rsidRPr="00612383" w:rsidRDefault="00594031" w:rsidP="00D65A5F">
            <w:pPr>
              <w:rPr>
                <w:rFonts w:ascii="Arial" w:hAnsi="Arial" w:cs="Arial"/>
                <w:sz w:val="22"/>
              </w:rPr>
            </w:pPr>
            <w:r w:rsidRPr="00612383">
              <w:rPr>
                <w:rFonts w:ascii="Arial" w:hAnsi="Arial" w:cs="Arial"/>
                <w:sz w:val="22"/>
              </w:rPr>
              <w:t xml:space="preserve">Account </w:t>
            </w:r>
            <w:r>
              <w:rPr>
                <w:rFonts w:ascii="Arial" w:hAnsi="Arial" w:cs="Arial"/>
                <w:sz w:val="22"/>
              </w:rPr>
              <w:t>n</w:t>
            </w:r>
            <w:r w:rsidRPr="00612383">
              <w:rPr>
                <w:rFonts w:ascii="Arial" w:hAnsi="Arial" w:cs="Arial"/>
                <w:sz w:val="22"/>
              </w:rPr>
              <w:t>ame:</w:t>
            </w:r>
          </w:p>
        </w:tc>
        <w:tc>
          <w:tcPr>
            <w:tcW w:w="2925" w:type="dxa"/>
            <w:shd w:val="clear" w:color="auto" w:fill="auto"/>
          </w:tcPr>
          <w:p w:rsidR="00594031" w:rsidRPr="00612383" w:rsidRDefault="00594031" w:rsidP="00D65A5F">
            <w:pPr>
              <w:rPr>
                <w:rFonts w:ascii="Arial" w:hAnsi="Arial" w:cs="Arial"/>
                <w:sz w:val="22"/>
              </w:rPr>
            </w:pPr>
            <w:r w:rsidRPr="00612383">
              <w:rPr>
                <w:rFonts w:ascii="Arial" w:hAnsi="Arial" w:cs="Arial"/>
                <w:sz w:val="22"/>
              </w:rPr>
              <w:t>KDM Primary Account</w:t>
            </w:r>
          </w:p>
        </w:tc>
        <w:tc>
          <w:tcPr>
            <w:tcW w:w="2055" w:type="dxa"/>
            <w:shd w:val="clear" w:color="auto" w:fill="auto"/>
          </w:tcPr>
          <w:p w:rsidR="00594031" w:rsidRPr="00612383" w:rsidRDefault="00594031" w:rsidP="00D65A5F">
            <w:pPr>
              <w:jc w:val="both"/>
              <w:rPr>
                <w:rFonts w:ascii="Arial" w:hAnsi="Arial" w:cs="Arial"/>
                <w:sz w:val="22"/>
              </w:rPr>
            </w:pPr>
            <w:r w:rsidRPr="00612383">
              <w:rPr>
                <w:rFonts w:ascii="Arial" w:hAnsi="Arial" w:cs="Arial"/>
                <w:sz w:val="22"/>
              </w:rPr>
              <w:t>Account Type:</w:t>
            </w:r>
          </w:p>
        </w:tc>
        <w:tc>
          <w:tcPr>
            <w:tcW w:w="2873" w:type="dxa"/>
            <w:shd w:val="clear" w:color="auto" w:fill="auto"/>
          </w:tcPr>
          <w:p w:rsidR="00594031" w:rsidRPr="00612383" w:rsidRDefault="00594031" w:rsidP="00D65A5F">
            <w:pPr>
              <w:jc w:val="both"/>
              <w:rPr>
                <w:rFonts w:ascii="Arial" w:hAnsi="Arial" w:cs="Arial"/>
                <w:sz w:val="22"/>
              </w:rPr>
            </w:pPr>
            <w:r w:rsidRPr="00612383">
              <w:rPr>
                <w:rFonts w:ascii="Arial" w:hAnsi="Arial" w:cs="Arial"/>
                <w:sz w:val="22"/>
              </w:rPr>
              <w:t>Cheque</w:t>
            </w:r>
          </w:p>
        </w:tc>
      </w:tr>
      <w:tr w:rsidR="00594031" w:rsidRPr="00612383" w:rsidTr="00D65A5F">
        <w:tc>
          <w:tcPr>
            <w:tcW w:w="2005" w:type="dxa"/>
            <w:shd w:val="clear" w:color="auto" w:fill="auto"/>
          </w:tcPr>
          <w:p w:rsidR="00594031" w:rsidRPr="00612383" w:rsidRDefault="00594031" w:rsidP="00D65A5F">
            <w:pPr>
              <w:rPr>
                <w:rFonts w:ascii="Arial" w:hAnsi="Arial" w:cs="Arial"/>
                <w:sz w:val="22"/>
              </w:rPr>
            </w:pPr>
            <w:r w:rsidRPr="00612383">
              <w:rPr>
                <w:rFonts w:ascii="Arial" w:hAnsi="Arial" w:cs="Arial"/>
                <w:sz w:val="22"/>
              </w:rPr>
              <w:t>Name of bank:</w:t>
            </w:r>
          </w:p>
        </w:tc>
        <w:tc>
          <w:tcPr>
            <w:tcW w:w="2925" w:type="dxa"/>
            <w:shd w:val="clear" w:color="auto" w:fill="auto"/>
          </w:tcPr>
          <w:p w:rsidR="00594031" w:rsidRPr="00612383" w:rsidRDefault="00594031" w:rsidP="00D65A5F">
            <w:pPr>
              <w:rPr>
                <w:rFonts w:ascii="Arial" w:hAnsi="Arial" w:cs="Arial"/>
                <w:sz w:val="22"/>
              </w:rPr>
            </w:pPr>
            <w:r w:rsidRPr="00612383">
              <w:rPr>
                <w:rFonts w:ascii="Arial" w:hAnsi="Arial" w:cs="Arial"/>
                <w:sz w:val="22"/>
              </w:rPr>
              <w:t>ABSA</w:t>
            </w:r>
          </w:p>
        </w:tc>
        <w:tc>
          <w:tcPr>
            <w:tcW w:w="2055" w:type="dxa"/>
            <w:shd w:val="clear" w:color="auto" w:fill="auto"/>
          </w:tcPr>
          <w:p w:rsidR="00594031" w:rsidRPr="00612383" w:rsidRDefault="00594031" w:rsidP="00D65A5F">
            <w:pPr>
              <w:jc w:val="both"/>
              <w:rPr>
                <w:rFonts w:ascii="Arial" w:hAnsi="Arial" w:cs="Arial"/>
                <w:sz w:val="22"/>
              </w:rPr>
            </w:pPr>
            <w:r>
              <w:rPr>
                <w:rFonts w:ascii="Arial" w:hAnsi="Arial" w:cs="Arial"/>
                <w:sz w:val="22"/>
              </w:rPr>
              <w:t>Account n</w:t>
            </w:r>
            <w:r w:rsidRPr="00612383">
              <w:rPr>
                <w:rFonts w:ascii="Arial" w:hAnsi="Arial" w:cs="Arial"/>
                <w:sz w:val="22"/>
              </w:rPr>
              <w:t>umber:</w:t>
            </w:r>
          </w:p>
        </w:tc>
        <w:tc>
          <w:tcPr>
            <w:tcW w:w="2873" w:type="dxa"/>
            <w:shd w:val="clear" w:color="auto" w:fill="auto"/>
          </w:tcPr>
          <w:p w:rsidR="00594031" w:rsidRPr="00612383" w:rsidRDefault="00594031" w:rsidP="00D65A5F">
            <w:pPr>
              <w:jc w:val="both"/>
              <w:rPr>
                <w:rFonts w:ascii="Arial" w:hAnsi="Arial" w:cs="Arial"/>
                <w:sz w:val="22"/>
              </w:rPr>
            </w:pPr>
            <w:r w:rsidRPr="00612383">
              <w:rPr>
                <w:rFonts w:ascii="Arial" w:hAnsi="Arial" w:cs="Arial"/>
                <w:sz w:val="22"/>
              </w:rPr>
              <w:t>4087627126</w:t>
            </w:r>
          </w:p>
        </w:tc>
      </w:tr>
      <w:tr w:rsidR="00594031" w:rsidRPr="00612383" w:rsidTr="00D65A5F">
        <w:tc>
          <w:tcPr>
            <w:tcW w:w="2005" w:type="dxa"/>
            <w:shd w:val="clear" w:color="auto" w:fill="auto"/>
          </w:tcPr>
          <w:p w:rsidR="00594031" w:rsidRPr="00612383" w:rsidRDefault="00594031" w:rsidP="00D65A5F">
            <w:pPr>
              <w:rPr>
                <w:rFonts w:ascii="Arial" w:hAnsi="Arial" w:cs="Arial"/>
                <w:sz w:val="22"/>
              </w:rPr>
            </w:pPr>
            <w:r w:rsidRPr="00612383">
              <w:rPr>
                <w:rFonts w:ascii="Arial" w:hAnsi="Arial" w:cs="Arial"/>
                <w:sz w:val="22"/>
              </w:rPr>
              <w:t>Name of branch:</w:t>
            </w:r>
          </w:p>
        </w:tc>
        <w:tc>
          <w:tcPr>
            <w:tcW w:w="2925" w:type="dxa"/>
            <w:shd w:val="clear" w:color="auto" w:fill="auto"/>
          </w:tcPr>
          <w:p w:rsidR="00594031" w:rsidRPr="00612383" w:rsidRDefault="00594031" w:rsidP="00D65A5F">
            <w:pPr>
              <w:rPr>
                <w:rFonts w:ascii="Arial" w:hAnsi="Arial" w:cs="Arial"/>
                <w:sz w:val="22"/>
              </w:rPr>
            </w:pPr>
            <w:r w:rsidRPr="00612383">
              <w:rPr>
                <w:rFonts w:ascii="Arial" w:hAnsi="Arial" w:cs="Arial"/>
                <w:sz w:val="22"/>
              </w:rPr>
              <w:t>Public Sector – KZN</w:t>
            </w:r>
          </w:p>
        </w:tc>
        <w:tc>
          <w:tcPr>
            <w:tcW w:w="2055" w:type="dxa"/>
            <w:shd w:val="clear" w:color="auto" w:fill="auto"/>
          </w:tcPr>
          <w:p w:rsidR="00594031" w:rsidRPr="00612383" w:rsidRDefault="00594031" w:rsidP="00D65A5F">
            <w:pPr>
              <w:jc w:val="both"/>
              <w:rPr>
                <w:rFonts w:ascii="Arial" w:hAnsi="Arial" w:cs="Arial"/>
                <w:sz w:val="22"/>
              </w:rPr>
            </w:pPr>
            <w:r w:rsidRPr="00612383">
              <w:rPr>
                <w:rFonts w:ascii="Arial" w:hAnsi="Arial" w:cs="Arial"/>
                <w:sz w:val="22"/>
              </w:rPr>
              <w:t>Branch Code:</w:t>
            </w:r>
          </w:p>
        </w:tc>
        <w:tc>
          <w:tcPr>
            <w:tcW w:w="2873" w:type="dxa"/>
            <w:shd w:val="clear" w:color="auto" w:fill="auto"/>
          </w:tcPr>
          <w:p w:rsidR="00594031" w:rsidRPr="00612383" w:rsidRDefault="00594031" w:rsidP="00D65A5F">
            <w:pPr>
              <w:jc w:val="both"/>
              <w:rPr>
                <w:rFonts w:ascii="Arial" w:hAnsi="Arial" w:cs="Arial"/>
                <w:sz w:val="22"/>
              </w:rPr>
            </w:pPr>
            <w:r w:rsidRPr="00612383">
              <w:rPr>
                <w:rFonts w:ascii="Arial" w:hAnsi="Arial" w:cs="Arial"/>
                <w:sz w:val="22"/>
              </w:rPr>
              <w:t>632005</w:t>
            </w:r>
          </w:p>
        </w:tc>
      </w:tr>
      <w:tr w:rsidR="00594031" w:rsidRPr="00612383" w:rsidTr="00D65A5F">
        <w:trPr>
          <w:trHeight w:val="51"/>
        </w:trPr>
        <w:tc>
          <w:tcPr>
            <w:tcW w:w="2005" w:type="dxa"/>
            <w:shd w:val="clear" w:color="auto" w:fill="auto"/>
          </w:tcPr>
          <w:p w:rsidR="00594031" w:rsidRPr="00612383" w:rsidRDefault="00594031" w:rsidP="00D65A5F">
            <w:pPr>
              <w:rPr>
                <w:rFonts w:ascii="Arial" w:hAnsi="Arial" w:cs="Arial"/>
                <w:sz w:val="22"/>
              </w:rPr>
            </w:pPr>
            <w:r w:rsidRPr="00612383">
              <w:rPr>
                <w:rFonts w:ascii="Arial" w:hAnsi="Arial" w:cs="Arial"/>
                <w:sz w:val="22"/>
              </w:rPr>
              <w:t>Reference:</w:t>
            </w:r>
          </w:p>
        </w:tc>
        <w:tc>
          <w:tcPr>
            <w:tcW w:w="2925" w:type="dxa"/>
            <w:shd w:val="clear" w:color="auto" w:fill="auto"/>
          </w:tcPr>
          <w:p w:rsidR="00594031" w:rsidRPr="00612383" w:rsidRDefault="00594031" w:rsidP="00D65A5F">
            <w:pPr>
              <w:rPr>
                <w:rFonts w:ascii="Arial" w:hAnsi="Arial" w:cs="Arial"/>
                <w:sz w:val="22"/>
              </w:rPr>
            </w:pPr>
            <w:r>
              <w:rPr>
                <w:rFonts w:ascii="Arial" w:hAnsi="Arial" w:cs="Arial"/>
                <w:sz w:val="22"/>
              </w:rPr>
              <w:t>MN 59-2023</w:t>
            </w:r>
          </w:p>
        </w:tc>
        <w:tc>
          <w:tcPr>
            <w:tcW w:w="2055" w:type="dxa"/>
            <w:shd w:val="clear" w:color="auto" w:fill="auto"/>
          </w:tcPr>
          <w:p w:rsidR="00594031" w:rsidRPr="00612383" w:rsidRDefault="00594031" w:rsidP="00D65A5F">
            <w:pPr>
              <w:jc w:val="both"/>
              <w:rPr>
                <w:rFonts w:ascii="Arial" w:hAnsi="Arial" w:cs="Arial"/>
                <w:sz w:val="22"/>
              </w:rPr>
            </w:pPr>
          </w:p>
        </w:tc>
        <w:tc>
          <w:tcPr>
            <w:tcW w:w="2873" w:type="dxa"/>
            <w:shd w:val="clear" w:color="auto" w:fill="auto"/>
          </w:tcPr>
          <w:p w:rsidR="00594031" w:rsidRPr="00612383" w:rsidRDefault="00594031" w:rsidP="00D65A5F">
            <w:pPr>
              <w:jc w:val="both"/>
              <w:rPr>
                <w:rFonts w:ascii="Arial" w:hAnsi="Arial" w:cs="Arial"/>
                <w:sz w:val="22"/>
              </w:rPr>
            </w:pPr>
          </w:p>
        </w:tc>
      </w:tr>
    </w:tbl>
    <w:p w:rsidR="00594031" w:rsidRDefault="00594031" w:rsidP="00594031">
      <w:pPr>
        <w:suppressAutoHyphens/>
        <w:jc w:val="both"/>
        <w:rPr>
          <w:rFonts w:ascii="Arial" w:hAnsi="Arial" w:cs="Arial"/>
          <w:bCs/>
          <w:iCs/>
          <w:sz w:val="22"/>
          <w:szCs w:val="22"/>
          <w:lang w:val="en-US"/>
        </w:rPr>
      </w:pPr>
    </w:p>
    <w:p w:rsidR="00594031" w:rsidRPr="004010F5" w:rsidRDefault="00594031" w:rsidP="00594031">
      <w:pPr>
        <w:jc w:val="both"/>
        <w:rPr>
          <w:lang w:val="en-US"/>
        </w:rPr>
      </w:pPr>
      <w:r w:rsidRPr="004010F5">
        <w:rPr>
          <w:rFonts w:ascii="Arial" w:hAnsi="Arial" w:cs="Arial"/>
          <w:bCs/>
          <w:iCs/>
          <w:sz w:val="22"/>
          <w:szCs w:val="22"/>
          <w:lang w:val="en-US"/>
        </w:rPr>
        <w:t xml:space="preserve">Tender documents will be available from </w:t>
      </w:r>
      <w:r>
        <w:rPr>
          <w:rFonts w:ascii="Arial" w:hAnsi="Arial" w:cs="Arial"/>
          <w:bCs/>
          <w:iCs/>
          <w:sz w:val="22"/>
          <w:szCs w:val="22"/>
          <w:lang w:val="en-US"/>
        </w:rPr>
        <w:t xml:space="preserve">09h00 on the </w:t>
      </w:r>
      <w:r w:rsidR="00E10EF1">
        <w:rPr>
          <w:rFonts w:ascii="Arial" w:hAnsi="Arial" w:cs="Arial"/>
          <w:b/>
          <w:bCs/>
          <w:highlight w:val="yellow"/>
          <w:u w:val="single"/>
        </w:rPr>
        <w:t>06</w:t>
      </w:r>
      <w:r w:rsidRPr="008149F5">
        <w:rPr>
          <w:rFonts w:ascii="Arial" w:hAnsi="Arial" w:cs="Arial"/>
          <w:b/>
          <w:bCs/>
          <w:highlight w:val="yellow"/>
          <w:u w:val="single"/>
          <w:vertAlign w:val="superscript"/>
        </w:rPr>
        <w:t>th</w:t>
      </w:r>
      <w:r w:rsidRPr="008149F5">
        <w:rPr>
          <w:rFonts w:ascii="Arial" w:hAnsi="Arial" w:cs="Arial"/>
          <w:b/>
          <w:bCs/>
          <w:highlight w:val="yellow"/>
          <w:u w:val="single"/>
        </w:rPr>
        <w:t xml:space="preserve"> </w:t>
      </w:r>
      <w:r w:rsidR="00E10EF1">
        <w:rPr>
          <w:rFonts w:ascii="Arial" w:hAnsi="Arial" w:cs="Arial"/>
          <w:b/>
          <w:highlight w:val="yellow"/>
          <w:u w:val="single"/>
        </w:rPr>
        <w:t>October</w:t>
      </w:r>
      <w:r w:rsidRPr="008149F5">
        <w:rPr>
          <w:rFonts w:ascii="Arial" w:hAnsi="Arial" w:cs="Arial"/>
          <w:b/>
          <w:bCs/>
          <w:highlight w:val="yellow"/>
          <w:u w:val="single"/>
        </w:rPr>
        <w:t xml:space="preserve"> 2023</w:t>
      </w:r>
      <w:r w:rsidRPr="000E5E08">
        <w:rPr>
          <w:rFonts w:ascii="Arial" w:hAnsi="Arial" w:cs="Arial"/>
          <w:bCs/>
          <w:iCs/>
          <w:sz w:val="22"/>
          <w:szCs w:val="22"/>
          <w:highlight w:val="yellow"/>
          <w:lang w:val="en-US"/>
        </w:rPr>
        <w:t>.</w:t>
      </w:r>
      <w:r w:rsidRPr="004010F5">
        <w:rPr>
          <w:rFonts w:ascii="Arial" w:hAnsi="Arial" w:cs="Arial"/>
          <w:bCs/>
          <w:iCs/>
          <w:sz w:val="22"/>
          <w:szCs w:val="22"/>
          <w:lang w:val="en-US"/>
        </w:rPr>
        <w:t xml:space="preserve"> The cut-off time for selling of tender doc</w:t>
      </w:r>
      <w:r>
        <w:rPr>
          <w:rFonts w:ascii="Arial" w:hAnsi="Arial" w:cs="Arial"/>
          <w:bCs/>
          <w:iCs/>
          <w:sz w:val="22"/>
          <w:szCs w:val="22"/>
          <w:lang w:val="en-US"/>
        </w:rPr>
        <w:t xml:space="preserve">uments is at </w:t>
      </w:r>
      <w:r w:rsidRPr="00F437F3">
        <w:rPr>
          <w:rFonts w:ascii="Arial" w:hAnsi="Arial" w:cs="Arial"/>
          <w:b/>
          <w:iCs/>
          <w:sz w:val="22"/>
          <w:szCs w:val="22"/>
          <w:lang w:val="en-US"/>
        </w:rPr>
        <w:t xml:space="preserve">15h00 </w:t>
      </w:r>
      <w:proofErr w:type="gramStart"/>
      <w:r w:rsidRPr="00F437F3">
        <w:rPr>
          <w:rFonts w:ascii="Arial" w:hAnsi="Arial" w:cs="Arial"/>
          <w:b/>
          <w:iCs/>
          <w:sz w:val="22"/>
          <w:szCs w:val="22"/>
          <w:lang w:val="en-US"/>
        </w:rPr>
        <w:t xml:space="preserve">on  </w:t>
      </w:r>
      <w:r w:rsidR="00E10EF1">
        <w:rPr>
          <w:rFonts w:ascii="Arial" w:hAnsi="Arial" w:cs="Arial"/>
          <w:b/>
          <w:bCs/>
          <w:highlight w:val="yellow"/>
          <w:u w:val="single"/>
        </w:rPr>
        <w:t>18</w:t>
      </w:r>
      <w:proofErr w:type="gramEnd"/>
      <w:r w:rsidRPr="008149F5">
        <w:rPr>
          <w:rFonts w:ascii="Arial" w:hAnsi="Arial" w:cs="Arial"/>
          <w:b/>
          <w:bCs/>
          <w:highlight w:val="yellow"/>
          <w:u w:val="single"/>
          <w:vertAlign w:val="superscript"/>
        </w:rPr>
        <w:t>th</w:t>
      </w:r>
      <w:r w:rsidRPr="008149F5">
        <w:rPr>
          <w:rFonts w:ascii="Arial" w:hAnsi="Arial" w:cs="Arial"/>
          <w:b/>
          <w:bCs/>
          <w:highlight w:val="yellow"/>
          <w:u w:val="single"/>
        </w:rPr>
        <w:t xml:space="preserve"> </w:t>
      </w:r>
      <w:r w:rsidR="00E10EF1">
        <w:rPr>
          <w:rFonts w:ascii="Arial" w:hAnsi="Arial" w:cs="Arial"/>
          <w:b/>
          <w:highlight w:val="yellow"/>
          <w:u w:val="single"/>
        </w:rPr>
        <w:t>October</w:t>
      </w:r>
      <w:r w:rsidRPr="008149F5">
        <w:rPr>
          <w:rFonts w:ascii="Arial" w:hAnsi="Arial" w:cs="Arial"/>
          <w:b/>
          <w:bCs/>
          <w:highlight w:val="yellow"/>
          <w:u w:val="single"/>
        </w:rPr>
        <w:t xml:space="preserve"> 2023</w:t>
      </w:r>
      <w:r w:rsidRPr="004010F5">
        <w:rPr>
          <w:rFonts w:ascii="Arial" w:hAnsi="Arial" w:cs="Arial"/>
          <w:bCs/>
          <w:iCs/>
          <w:sz w:val="22"/>
          <w:szCs w:val="22"/>
          <w:lang w:val="en-US"/>
        </w:rPr>
        <w:t xml:space="preserve">.   Queries relating to issue of these documents may be addressed to </w:t>
      </w:r>
      <w:proofErr w:type="spellStart"/>
      <w:r>
        <w:rPr>
          <w:rFonts w:ascii="Arial" w:hAnsi="Arial" w:cs="Arial"/>
          <w:bCs/>
          <w:iCs/>
          <w:sz w:val="22"/>
          <w:szCs w:val="22"/>
          <w:lang w:val="en-US"/>
        </w:rPr>
        <w:t>Ms</w:t>
      </w:r>
      <w:proofErr w:type="spellEnd"/>
      <w:r>
        <w:rPr>
          <w:rFonts w:ascii="Arial" w:hAnsi="Arial" w:cs="Arial"/>
          <w:bCs/>
          <w:iCs/>
          <w:sz w:val="22"/>
          <w:szCs w:val="22"/>
          <w:lang w:val="en-US"/>
        </w:rPr>
        <w:t xml:space="preserve"> </w:t>
      </w:r>
      <w:r w:rsidRPr="004010F5">
        <w:rPr>
          <w:rFonts w:ascii="Arial" w:hAnsi="Arial" w:cs="Arial"/>
          <w:bCs/>
          <w:iCs/>
          <w:sz w:val="22"/>
          <w:szCs w:val="22"/>
          <w:lang w:val="en-US"/>
        </w:rPr>
        <w:t xml:space="preserve">Mbali Dlamini Tel No.: (032) 437-5087 email: </w:t>
      </w:r>
      <w:hyperlink r:id="rId6" w:history="1">
        <w:r w:rsidRPr="007D638A">
          <w:rPr>
            <w:rStyle w:val="Hyperlink"/>
            <w:rFonts w:ascii="Arial" w:hAnsi="Arial" w:cs="Arial"/>
            <w:bCs/>
            <w:iCs/>
            <w:sz w:val="22"/>
            <w:szCs w:val="22"/>
            <w:lang w:val="en-US"/>
          </w:rPr>
          <w:t>mbalid@kwadukuza.gov.za</w:t>
        </w:r>
      </w:hyperlink>
      <w:r>
        <w:rPr>
          <w:rFonts w:ascii="Arial" w:hAnsi="Arial" w:cs="Arial"/>
          <w:bCs/>
          <w:iCs/>
          <w:sz w:val="22"/>
          <w:szCs w:val="22"/>
          <w:lang w:val="en-US"/>
        </w:rPr>
        <w:t xml:space="preserve"> </w:t>
      </w:r>
      <w:r w:rsidRPr="004010F5">
        <w:rPr>
          <w:rFonts w:ascii="Arial" w:hAnsi="Arial" w:cs="Arial"/>
          <w:bCs/>
          <w:iCs/>
          <w:sz w:val="22"/>
          <w:szCs w:val="22"/>
          <w:lang w:val="en-US"/>
        </w:rPr>
        <w:t xml:space="preserve"> Technical queries may be addressed to </w:t>
      </w:r>
      <w:proofErr w:type="spellStart"/>
      <w:r>
        <w:rPr>
          <w:rFonts w:ascii="Arial" w:hAnsi="Arial" w:cs="Arial"/>
          <w:bCs/>
          <w:iCs/>
          <w:sz w:val="22"/>
          <w:szCs w:val="22"/>
          <w:lang w:val="en-US"/>
        </w:rPr>
        <w:t>Mr</w:t>
      </w:r>
      <w:proofErr w:type="spellEnd"/>
      <w:r>
        <w:rPr>
          <w:rFonts w:ascii="Arial" w:hAnsi="Arial" w:cs="Arial"/>
          <w:bCs/>
          <w:iCs/>
          <w:sz w:val="22"/>
          <w:szCs w:val="22"/>
          <w:lang w:val="en-US"/>
        </w:rPr>
        <w:t xml:space="preserve"> </w:t>
      </w:r>
      <w:r w:rsidRPr="004010F5">
        <w:rPr>
          <w:rFonts w:ascii="Arial" w:hAnsi="Arial" w:cs="Arial"/>
          <w:bCs/>
          <w:iCs/>
          <w:sz w:val="22"/>
          <w:szCs w:val="22"/>
          <w:lang w:val="en-US"/>
        </w:rPr>
        <w:t>D</w:t>
      </w:r>
      <w:r>
        <w:rPr>
          <w:rFonts w:ascii="Arial" w:hAnsi="Arial" w:cs="Arial"/>
          <w:bCs/>
          <w:iCs/>
          <w:sz w:val="22"/>
          <w:szCs w:val="22"/>
          <w:lang w:val="en-US"/>
        </w:rPr>
        <w:t>uma Mhaule</w:t>
      </w:r>
      <w:r w:rsidRPr="004010F5">
        <w:rPr>
          <w:rFonts w:ascii="Arial" w:hAnsi="Arial" w:cs="Arial"/>
          <w:bCs/>
          <w:iCs/>
          <w:sz w:val="22"/>
          <w:szCs w:val="22"/>
          <w:lang w:val="en-US"/>
        </w:rPr>
        <w:t>, Tel No.: 032 437 5115, Email</w:t>
      </w:r>
      <w:r w:rsidRPr="004010F5">
        <w:rPr>
          <w:lang w:val="en-US"/>
        </w:rPr>
        <w:t xml:space="preserve">: </w:t>
      </w:r>
      <w:hyperlink r:id="rId7" w:history="1">
        <w:r w:rsidRPr="00A45FA9">
          <w:rPr>
            <w:rStyle w:val="Hyperlink"/>
            <w:rFonts w:ascii="Arial" w:hAnsi="Arial" w:cs="Arial"/>
            <w:bCs/>
            <w:iCs/>
            <w:sz w:val="22"/>
            <w:szCs w:val="22"/>
            <w:lang w:val="en-US"/>
          </w:rPr>
          <w:t>DumaM@kwadukuza.gov.za</w:t>
        </w:r>
      </w:hyperlink>
    </w:p>
    <w:p w:rsidR="00594031" w:rsidRPr="001A24D4" w:rsidRDefault="00594031" w:rsidP="00594031">
      <w:pPr>
        <w:suppressAutoHyphens/>
        <w:jc w:val="both"/>
        <w:rPr>
          <w:rFonts w:ascii="Arial" w:hAnsi="Arial" w:cs="Arial"/>
          <w:bCs/>
          <w:iCs/>
          <w:sz w:val="22"/>
          <w:szCs w:val="22"/>
          <w:lang w:val="en-US"/>
        </w:rPr>
      </w:pPr>
    </w:p>
    <w:p w:rsidR="00594031" w:rsidRDefault="00594031" w:rsidP="00594031">
      <w:pPr>
        <w:suppressAutoHyphens/>
        <w:jc w:val="both"/>
        <w:rPr>
          <w:rFonts w:ascii="Arial" w:hAnsi="Arial" w:cs="Arial"/>
          <w:bCs/>
          <w:iCs/>
          <w:sz w:val="22"/>
          <w:szCs w:val="22"/>
          <w:lang w:val="en-US"/>
        </w:rPr>
      </w:pPr>
    </w:p>
    <w:p w:rsidR="00594031" w:rsidRDefault="00594031" w:rsidP="00594031">
      <w:pPr>
        <w:jc w:val="both"/>
        <w:rPr>
          <w:rFonts w:ascii="Arial" w:hAnsi="Arial" w:cs="Arial"/>
          <w:sz w:val="22"/>
          <w:szCs w:val="22"/>
          <w:lang w:val="en-US"/>
        </w:rPr>
      </w:pPr>
      <w:r w:rsidRPr="004010F5">
        <w:rPr>
          <w:rFonts w:ascii="Arial" w:hAnsi="Arial" w:cs="Arial"/>
          <w:sz w:val="22"/>
          <w:szCs w:val="22"/>
          <w:lang w:val="en-US"/>
        </w:rPr>
        <w:lastRenderedPageBreak/>
        <w:t xml:space="preserve">A compulsory clarification meeting with representatives of the Employer will take place at the KwaDukuza Municipality, </w:t>
      </w:r>
      <w:r w:rsidRPr="004010F5">
        <w:rPr>
          <w:rFonts w:ascii="Arial" w:hAnsi="Arial" w:cs="Arial"/>
          <w:b/>
          <w:sz w:val="22"/>
          <w:szCs w:val="22"/>
          <w:lang w:val="en-US"/>
        </w:rPr>
        <w:t xml:space="preserve">PMU Boardroom, </w:t>
      </w:r>
      <w:proofErr w:type="spellStart"/>
      <w:r w:rsidRPr="004010F5">
        <w:rPr>
          <w:rFonts w:ascii="Arial" w:hAnsi="Arial" w:cs="Arial"/>
          <w:b/>
          <w:sz w:val="22"/>
          <w:szCs w:val="22"/>
          <w:lang w:val="en-US"/>
        </w:rPr>
        <w:t>Lavoipierre</w:t>
      </w:r>
      <w:proofErr w:type="spellEnd"/>
      <w:r w:rsidRPr="004010F5">
        <w:rPr>
          <w:rFonts w:ascii="Arial" w:hAnsi="Arial" w:cs="Arial"/>
          <w:b/>
          <w:sz w:val="22"/>
          <w:szCs w:val="22"/>
          <w:lang w:val="en-US"/>
        </w:rPr>
        <w:t xml:space="preserve"> Building, 2 </w:t>
      </w:r>
      <w:proofErr w:type="spellStart"/>
      <w:r w:rsidRPr="004010F5">
        <w:rPr>
          <w:rFonts w:ascii="Arial" w:hAnsi="Arial" w:cs="Arial"/>
          <w:b/>
          <w:sz w:val="22"/>
          <w:szCs w:val="22"/>
          <w:lang w:val="en-US"/>
        </w:rPr>
        <w:t>Industria</w:t>
      </w:r>
      <w:proofErr w:type="spellEnd"/>
      <w:r w:rsidRPr="004010F5">
        <w:rPr>
          <w:rFonts w:ascii="Arial" w:hAnsi="Arial" w:cs="Arial"/>
          <w:b/>
          <w:sz w:val="22"/>
          <w:szCs w:val="22"/>
          <w:lang w:val="en-US"/>
        </w:rPr>
        <w:t xml:space="preserve"> Crescent, KwaDukuza</w:t>
      </w:r>
      <w:r w:rsidRPr="004010F5">
        <w:rPr>
          <w:rFonts w:ascii="Arial" w:hAnsi="Arial" w:cs="Arial"/>
          <w:sz w:val="22"/>
          <w:szCs w:val="22"/>
          <w:lang w:val="en-US"/>
        </w:rPr>
        <w:t xml:space="preserve"> </w:t>
      </w:r>
      <w:proofErr w:type="gramStart"/>
      <w:r w:rsidRPr="004010F5">
        <w:rPr>
          <w:rFonts w:ascii="Arial" w:hAnsi="Arial" w:cs="Arial"/>
          <w:b/>
          <w:sz w:val="22"/>
          <w:szCs w:val="22"/>
          <w:lang w:val="en-US"/>
        </w:rPr>
        <w:t>on</w:t>
      </w:r>
      <w:r>
        <w:rPr>
          <w:rFonts w:ascii="Arial" w:hAnsi="Arial" w:cs="Arial"/>
          <w:b/>
          <w:sz w:val="22"/>
          <w:szCs w:val="22"/>
          <w:lang w:val="en-US"/>
        </w:rPr>
        <w:t xml:space="preserve">  </w:t>
      </w:r>
      <w:r w:rsidR="00E10EF1">
        <w:rPr>
          <w:rFonts w:ascii="Arial" w:hAnsi="Arial" w:cs="Arial"/>
          <w:b/>
          <w:bCs/>
          <w:highlight w:val="yellow"/>
          <w:u w:val="single"/>
        </w:rPr>
        <w:t>19</w:t>
      </w:r>
      <w:proofErr w:type="gramEnd"/>
      <w:r w:rsidRPr="008149F5">
        <w:rPr>
          <w:rFonts w:ascii="Arial" w:hAnsi="Arial" w:cs="Arial"/>
          <w:b/>
          <w:bCs/>
          <w:highlight w:val="yellow"/>
          <w:u w:val="single"/>
          <w:vertAlign w:val="superscript"/>
        </w:rPr>
        <w:t>th</w:t>
      </w:r>
      <w:r w:rsidRPr="008149F5">
        <w:rPr>
          <w:rFonts w:ascii="Arial" w:hAnsi="Arial" w:cs="Arial"/>
          <w:b/>
          <w:bCs/>
          <w:highlight w:val="yellow"/>
          <w:u w:val="single"/>
        </w:rPr>
        <w:t xml:space="preserve"> </w:t>
      </w:r>
      <w:r w:rsidR="00E10EF1">
        <w:rPr>
          <w:rFonts w:ascii="Arial" w:hAnsi="Arial" w:cs="Arial"/>
          <w:b/>
          <w:highlight w:val="yellow"/>
          <w:u w:val="single"/>
        </w:rPr>
        <w:t>October</w:t>
      </w:r>
      <w:r w:rsidRPr="008149F5">
        <w:rPr>
          <w:rFonts w:ascii="Arial" w:hAnsi="Arial" w:cs="Arial"/>
          <w:b/>
          <w:bCs/>
          <w:highlight w:val="yellow"/>
          <w:u w:val="single"/>
        </w:rPr>
        <w:t xml:space="preserve"> 2023</w:t>
      </w:r>
      <w:r w:rsidRPr="00F437F3">
        <w:rPr>
          <w:rFonts w:ascii="Arial" w:hAnsi="Arial" w:cs="Arial"/>
          <w:b/>
          <w:sz w:val="22"/>
          <w:szCs w:val="22"/>
          <w:lang w:val="en-US"/>
        </w:rPr>
        <w:t>, starting</w:t>
      </w:r>
      <w:r w:rsidRPr="00F437F3">
        <w:rPr>
          <w:rFonts w:ascii="Arial" w:hAnsi="Arial" w:cs="Arial"/>
          <w:sz w:val="22"/>
          <w:szCs w:val="22"/>
          <w:lang w:val="en-US"/>
        </w:rPr>
        <w:t xml:space="preserve"> at </w:t>
      </w:r>
      <w:r w:rsidRPr="00F437F3">
        <w:rPr>
          <w:rFonts w:ascii="Arial" w:hAnsi="Arial" w:cs="Arial"/>
          <w:b/>
          <w:sz w:val="22"/>
          <w:szCs w:val="22"/>
          <w:lang w:val="en-US"/>
        </w:rPr>
        <w:t>10h00</w:t>
      </w:r>
      <w:r w:rsidRPr="00F437F3">
        <w:rPr>
          <w:rFonts w:ascii="Arial" w:hAnsi="Arial" w:cs="Arial"/>
          <w:sz w:val="22"/>
          <w:szCs w:val="22"/>
          <w:lang w:val="en-US"/>
        </w:rPr>
        <w:t>.</w:t>
      </w:r>
      <w:r w:rsidRPr="004010F5">
        <w:rPr>
          <w:rFonts w:ascii="Arial" w:hAnsi="Arial" w:cs="Arial"/>
          <w:sz w:val="22"/>
          <w:szCs w:val="22"/>
          <w:lang w:val="en-US"/>
        </w:rPr>
        <w:t xml:space="preserve">   Failure to attend the compulsory clarification meeting will disqualify the tender.  Doors to the venue will be closed at</w:t>
      </w:r>
      <w:r w:rsidRPr="004010F5">
        <w:rPr>
          <w:rFonts w:ascii="Arial" w:hAnsi="Arial" w:cs="Arial"/>
          <w:b/>
          <w:sz w:val="22"/>
          <w:szCs w:val="22"/>
          <w:lang w:val="en-US"/>
        </w:rPr>
        <w:t xml:space="preserve"> 10h00</w:t>
      </w:r>
      <w:r w:rsidRPr="004010F5">
        <w:rPr>
          <w:rFonts w:ascii="Arial" w:hAnsi="Arial" w:cs="Arial"/>
          <w:sz w:val="22"/>
          <w:szCs w:val="22"/>
          <w:lang w:val="en-US"/>
        </w:rPr>
        <w:t xml:space="preserve"> and the briefing will commence immediately.  Late attendance will not be accepted and contractors will not be admitted into the venue. </w:t>
      </w:r>
    </w:p>
    <w:p w:rsidR="00594031" w:rsidRDefault="00594031" w:rsidP="00594031">
      <w:pPr>
        <w:jc w:val="both"/>
        <w:rPr>
          <w:rFonts w:ascii="Arial" w:hAnsi="Arial" w:cs="Arial"/>
          <w:b/>
          <w:bCs/>
          <w:sz w:val="22"/>
          <w:szCs w:val="22"/>
          <w:u w:val="single"/>
          <w:lang w:val="en-US"/>
        </w:rPr>
      </w:pPr>
      <w:r w:rsidRPr="00C019AC">
        <w:rPr>
          <w:rFonts w:ascii="Arial" w:hAnsi="Arial" w:cs="Arial"/>
          <w:b/>
          <w:bCs/>
          <w:sz w:val="22"/>
          <w:szCs w:val="22"/>
          <w:u w:val="single"/>
          <w:lang w:val="en-US"/>
        </w:rPr>
        <w:t xml:space="preserve">Only those tenderers who are in physical possession of the original tender document shall be permitted to participate in discussion at the compulsory clarification meeting and site inspection. </w:t>
      </w:r>
    </w:p>
    <w:p w:rsidR="00594031" w:rsidRDefault="00594031" w:rsidP="00594031">
      <w:pPr>
        <w:jc w:val="both"/>
        <w:rPr>
          <w:rFonts w:ascii="Arial" w:hAnsi="Arial" w:cs="Arial"/>
          <w:b/>
          <w:bCs/>
          <w:sz w:val="22"/>
          <w:szCs w:val="22"/>
          <w:u w:val="single"/>
          <w:lang w:val="en-US"/>
        </w:rPr>
      </w:pPr>
    </w:p>
    <w:p w:rsidR="00594031" w:rsidRPr="00C019AC" w:rsidRDefault="00594031" w:rsidP="00594031">
      <w:pPr>
        <w:jc w:val="both"/>
        <w:rPr>
          <w:rFonts w:ascii="Arial" w:hAnsi="Arial" w:cs="Arial"/>
          <w:b/>
          <w:bCs/>
          <w:sz w:val="22"/>
          <w:szCs w:val="22"/>
          <w:u w:val="single"/>
          <w:lang w:val="en-US"/>
        </w:rPr>
      </w:pPr>
      <w:r w:rsidRPr="00C019AC">
        <w:rPr>
          <w:rFonts w:ascii="Arial" w:hAnsi="Arial" w:cs="Arial"/>
          <w:b/>
          <w:bCs/>
          <w:sz w:val="22"/>
          <w:szCs w:val="22"/>
          <w:u w:val="single"/>
          <w:lang w:val="en-US"/>
        </w:rPr>
        <w:t>The original tender document must be brought to the site meeting.</w:t>
      </w:r>
    </w:p>
    <w:p w:rsidR="00594031" w:rsidRPr="004010F5" w:rsidRDefault="00594031" w:rsidP="00594031">
      <w:pPr>
        <w:jc w:val="both"/>
        <w:rPr>
          <w:rFonts w:ascii="Arial" w:hAnsi="Arial" w:cs="Arial"/>
          <w:sz w:val="22"/>
          <w:szCs w:val="22"/>
          <w:lang w:val="en-US"/>
        </w:rPr>
      </w:pPr>
    </w:p>
    <w:p w:rsidR="00594031" w:rsidRPr="001A24D4" w:rsidRDefault="00594031" w:rsidP="00594031">
      <w:pPr>
        <w:suppressAutoHyphens/>
        <w:jc w:val="both"/>
        <w:rPr>
          <w:rFonts w:ascii="Arial" w:hAnsi="Arial" w:cs="Arial"/>
          <w:bCs/>
          <w:iCs/>
          <w:sz w:val="22"/>
          <w:szCs w:val="22"/>
          <w:lang w:val="en-US"/>
        </w:rPr>
      </w:pPr>
    </w:p>
    <w:p w:rsidR="00594031" w:rsidRDefault="00594031" w:rsidP="00594031">
      <w:pPr>
        <w:widowControl w:val="0"/>
        <w:autoSpaceDE w:val="0"/>
        <w:autoSpaceDN w:val="0"/>
        <w:adjustRightInd w:val="0"/>
        <w:jc w:val="both"/>
        <w:rPr>
          <w:rFonts w:ascii="Arial" w:hAnsi="Arial" w:cs="Arial"/>
          <w:b/>
          <w:bCs/>
          <w:szCs w:val="20"/>
          <w:u w:val="single"/>
          <w:lang w:val="en-US" w:eastAsia="en-ZA"/>
        </w:rPr>
      </w:pPr>
      <w:r w:rsidRPr="007455F9">
        <w:rPr>
          <w:rFonts w:ascii="Arial" w:hAnsi="Arial" w:cs="Arial"/>
          <w:sz w:val="22"/>
          <w:szCs w:val="22"/>
          <w:lang w:val="en-US"/>
        </w:rPr>
        <w:t>Tenders shall be completed in according with the conditions stated in the specifications document and shall be sealed in an envelope clearly marked “</w:t>
      </w:r>
      <w:r w:rsidRPr="007B1339">
        <w:rPr>
          <w:rFonts w:ascii="Arial" w:hAnsi="Arial" w:cs="Arial"/>
          <w:b/>
          <w:bCs/>
          <w:szCs w:val="20"/>
          <w:u w:val="single"/>
          <w:lang w:val="en-US" w:eastAsia="en-ZA"/>
        </w:rPr>
        <w:t>TENDER</w:t>
      </w:r>
      <w:r>
        <w:rPr>
          <w:rFonts w:ascii="Arial" w:hAnsi="Arial" w:cs="Arial"/>
          <w:b/>
          <w:bCs/>
          <w:szCs w:val="20"/>
          <w:u w:val="single"/>
          <w:lang w:val="en-US" w:eastAsia="en-ZA"/>
        </w:rPr>
        <w:t xml:space="preserve"> NO.</w:t>
      </w:r>
      <w:r w:rsidRPr="007B1339">
        <w:rPr>
          <w:rFonts w:ascii="Arial" w:hAnsi="Arial" w:cs="Arial"/>
          <w:b/>
          <w:bCs/>
          <w:szCs w:val="20"/>
          <w:u w:val="single"/>
          <w:lang w:val="en-US" w:eastAsia="en-ZA"/>
        </w:rPr>
        <w:t xml:space="preserve"> </w:t>
      </w:r>
      <w:r>
        <w:rPr>
          <w:rFonts w:ascii="Arial" w:hAnsi="Arial" w:cs="Arial"/>
          <w:b/>
          <w:bCs/>
          <w:szCs w:val="20"/>
          <w:u w:val="single"/>
          <w:lang w:val="en-US" w:eastAsia="en-ZA"/>
        </w:rPr>
        <w:t>MN 59/2023</w:t>
      </w:r>
    </w:p>
    <w:p w:rsidR="00594031" w:rsidRDefault="00594031" w:rsidP="00594031">
      <w:pPr>
        <w:jc w:val="both"/>
        <w:rPr>
          <w:rFonts w:ascii="Arial" w:hAnsi="Arial" w:cs="Arial"/>
          <w:b/>
          <w:bCs/>
          <w:iCs/>
          <w:sz w:val="22"/>
          <w:szCs w:val="22"/>
          <w:lang w:val="en-ZA"/>
        </w:rPr>
      </w:pPr>
    </w:p>
    <w:p w:rsidR="00594031" w:rsidRPr="007455F9" w:rsidRDefault="00594031" w:rsidP="00594031">
      <w:pPr>
        <w:jc w:val="both"/>
        <w:rPr>
          <w:rFonts w:ascii="Arial" w:hAnsi="Arial" w:cs="Arial"/>
          <w:sz w:val="22"/>
          <w:szCs w:val="22"/>
          <w:lang w:val="en-US"/>
        </w:rPr>
      </w:pPr>
      <w:r w:rsidRPr="000E5E08">
        <w:rPr>
          <w:rFonts w:ascii="Arial" w:hAnsi="Arial" w:cs="Arial"/>
          <w:b/>
          <w:bCs/>
          <w:iCs/>
          <w:sz w:val="22"/>
          <w:szCs w:val="22"/>
          <w:lang w:val="en-ZA"/>
        </w:rPr>
        <w:t xml:space="preserve">ENGINEERING, SUPPLY, DELIVERY AND INSTALLATION OF SOLAR PV SYSTEM AT KWADUKUZA MUNICIPALITY LIBRARY </w:t>
      </w:r>
      <w:r w:rsidRPr="007455F9">
        <w:rPr>
          <w:rFonts w:ascii="Arial" w:hAnsi="Arial" w:cs="Arial"/>
          <w:bCs/>
          <w:kern w:val="32"/>
          <w:sz w:val="22"/>
          <w:szCs w:val="22"/>
          <w:lang w:val="en-US"/>
        </w:rPr>
        <w:t>as indicated in the tender specifications</w:t>
      </w:r>
      <w:r w:rsidRPr="007455F9">
        <w:rPr>
          <w:rFonts w:ascii="Arial" w:hAnsi="Arial" w:cs="Arial"/>
          <w:b/>
          <w:bCs/>
          <w:kern w:val="32"/>
          <w:sz w:val="22"/>
          <w:szCs w:val="22"/>
          <w:lang w:val="en-US"/>
        </w:rPr>
        <w:t xml:space="preserve"> </w:t>
      </w:r>
      <w:r w:rsidRPr="007455F9">
        <w:rPr>
          <w:rFonts w:ascii="Arial" w:hAnsi="Arial" w:cs="Arial"/>
          <w:bCs/>
          <w:kern w:val="32"/>
          <w:sz w:val="22"/>
          <w:szCs w:val="22"/>
          <w:lang w:val="en-US"/>
        </w:rPr>
        <w:t>a</w:t>
      </w:r>
      <w:proofErr w:type="spellStart"/>
      <w:r w:rsidRPr="007455F9">
        <w:rPr>
          <w:rFonts w:ascii="Arial" w:hAnsi="Arial" w:cs="Arial"/>
          <w:sz w:val="22"/>
          <w:szCs w:val="22"/>
          <w:lang w:eastAsia="ar-SA"/>
        </w:rPr>
        <w:t>nd</w:t>
      </w:r>
      <w:proofErr w:type="spellEnd"/>
      <w:r w:rsidRPr="007455F9">
        <w:rPr>
          <w:rFonts w:ascii="Arial" w:hAnsi="Arial" w:cs="Arial"/>
          <w:b/>
          <w:sz w:val="22"/>
          <w:szCs w:val="22"/>
          <w:lang w:eastAsia="ar-SA"/>
        </w:rPr>
        <w:t xml:space="preserve"> </w:t>
      </w:r>
      <w:r w:rsidRPr="007455F9">
        <w:rPr>
          <w:rFonts w:ascii="Arial" w:hAnsi="Arial" w:cs="Arial"/>
          <w:iCs/>
          <w:sz w:val="22"/>
          <w:szCs w:val="22"/>
          <w:lang w:val="en-US"/>
        </w:rPr>
        <w:t xml:space="preserve">be placed in the </w:t>
      </w:r>
      <w:r w:rsidRPr="007455F9">
        <w:rPr>
          <w:rFonts w:ascii="Arial" w:hAnsi="Arial" w:cs="Arial"/>
          <w:bCs/>
          <w:iCs/>
          <w:sz w:val="22"/>
          <w:szCs w:val="22"/>
          <w:lang w:val="en-US"/>
        </w:rPr>
        <w:t>Tender Box</w:t>
      </w:r>
      <w:r w:rsidRPr="007455F9">
        <w:rPr>
          <w:rFonts w:ascii="Arial" w:hAnsi="Arial" w:cs="Arial"/>
          <w:iCs/>
          <w:sz w:val="22"/>
          <w:szCs w:val="22"/>
          <w:lang w:val="en-US"/>
        </w:rPr>
        <w:t xml:space="preserve"> at the Municipal Offices, No. 2 Industrial Crescent Street, KwaDukuza, </w:t>
      </w:r>
      <w:proofErr w:type="spellStart"/>
      <w:r w:rsidRPr="007455F9">
        <w:rPr>
          <w:rFonts w:ascii="Arial" w:hAnsi="Arial" w:cs="Arial"/>
          <w:iCs/>
          <w:sz w:val="22"/>
          <w:szCs w:val="22"/>
          <w:lang w:val="en-US"/>
        </w:rPr>
        <w:t>Lavoipierre</w:t>
      </w:r>
      <w:proofErr w:type="spellEnd"/>
      <w:r w:rsidRPr="007455F9">
        <w:rPr>
          <w:rFonts w:ascii="Arial" w:hAnsi="Arial" w:cs="Arial"/>
          <w:iCs/>
          <w:sz w:val="22"/>
          <w:szCs w:val="22"/>
          <w:lang w:val="en-US"/>
        </w:rPr>
        <w:t xml:space="preserve"> Building not later </w:t>
      </w:r>
      <w:r w:rsidRPr="00F437F3">
        <w:rPr>
          <w:rFonts w:ascii="Arial" w:hAnsi="Arial" w:cs="Arial"/>
          <w:iCs/>
          <w:sz w:val="22"/>
          <w:szCs w:val="22"/>
          <w:lang w:val="en-US"/>
        </w:rPr>
        <w:t xml:space="preserve">than </w:t>
      </w:r>
      <w:r w:rsidRPr="00F437F3">
        <w:rPr>
          <w:rFonts w:ascii="Arial" w:hAnsi="Arial" w:cs="Arial"/>
          <w:b/>
          <w:iCs/>
          <w:sz w:val="22"/>
          <w:szCs w:val="22"/>
          <w:lang w:val="en-US"/>
        </w:rPr>
        <w:t xml:space="preserve">12h00 </w:t>
      </w:r>
      <w:r w:rsidRPr="00F437F3">
        <w:rPr>
          <w:rFonts w:ascii="Arial" w:hAnsi="Arial" w:cs="Arial"/>
          <w:b/>
          <w:sz w:val="22"/>
          <w:szCs w:val="22"/>
          <w:lang w:val="en-US"/>
        </w:rPr>
        <w:t xml:space="preserve">on </w:t>
      </w:r>
      <w:r w:rsidR="00E10EF1">
        <w:rPr>
          <w:rFonts w:ascii="Arial" w:hAnsi="Arial" w:cs="Arial"/>
          <w:b/>
          <w:bCs/>
          <w:highlight w:val="yellow"/>
          <w:u w:val="single"/>
        </w:rPr>
        <w:t>27</w:t>
      </w:r>
      <w:r w:rsidRPr="008149F5">
        <w:rPr>
          <w:rFonts w:ascii="Arial" w:hAnsi="Arial" w:cs="Arial"/>
          <w:b/>
          <w:bCs/>
          <w:highlight w:val="yellow"/>
          <w:u w:val="single"/>
          <w:vertAlign w:val="superscript"/>
        </w:rPr>
        <w:t>th</w:t>
      </w:r>
      <w:r w:rsidRPr="008149F5">
        <w:rPr>
          <w:rFonts w:ascii="Arial" w:hAnsi="Arial" w:cs="Arial"/>
          <w:b/>
          <w:bCs/>
          <w:highlight w:val="yellow"/>
          <w:u w:val="single"/>
        </w:rPr>
        <w:t xml:space="preserve"> </w:t>
      </w:r>
      <w:r w:rsidR="00E10EF1">
        <w:rPr>
          <w:rFonts w:ascii="Arial" w:hAnsi="Arial" w:cs="Arial"/>
          <w:b/>
          <w:highlight w:val="yellow"/>
          <w:u w:val="single"/>
        </w:rPr>
        <w:t>October</w:t>
      </w:r>
      <w:r w:rsidRPr="008149F5">
        <w:rPr>
          <w:rFonts w:ascii="Arial" w:hAnsi="Arial" w:cs="Arial"/>
          <w:b/>
          <w:bCs/>
          <w:highlight w:val="yellow"/>
          <w:u w:val="single"/>
        </w:rPr>
        <w:t xml:space="preserve"> 2023</w:t>
      </w:r>
      <w:r w:rsidRPr="007455F9">
        <w:rPr>
          <w:rFonts w:ascii="Arial" w:hAnsi="Arial" w:cs="Arial"/>
          <w:iCs/>
          <w:sz w:val="22"/>
          <w:szCs w:val="22"/>
          <w:lang w:val="en-US"/>
        </w:rPr>
        <w:t>which time the</w:t>
      </w:r>
      <w:r w:rsidRPr="007455F9">
        <w:rPr>
          <w:rFonts w:ascii="Arial" w:hAnsi="Arial" w:cs="Arial"/>
          <w:b/>
          <w:bCs/>
          <w:kern w:val="32"/>
          <w:sz w:val="22"/>
          <w:szCs w:val="22"/>
          <w:lang w:val="en-US"/>
        </w:rPr>
        <w:t xml:space="preserve"> </w:t>
      </w:r>
      <w:r w:rsidRPr="007455F9">
        <w:rPr>
          <w:rFonts w:ascii="Arial" w:hAnsi="Arial" w:cs="Arial"/>
          <w:iCs/>
          <w:sz w:val="22"/>
          <w:szCs w:val="22"/>
          <w:lang w:val="en-US"/>
        </w:rPr>
        <w:t>tenders will be opened in public.  Tenders are to be submitted on the tender documentation provided by the Municipality.  Late, electronic or faxed tenders will not be accepted.</w:t>
      </w:r>
    </w:p>
    <w:p w:rsidR="00594031" w:rsidRDefault="00594031" w:rsidP="00594031">
      <w:pPr>
        <w:suppressAutoHyphens/>
        <w:jc w:val="both"/>
        <w:rPr>
          <w:rFonts w:ascii="Arial" w:hAnsi="Arial" w:cs="Arial"/>
          <w:b/>
          <w:sz w:val="22"/>
          <w:szCs w:val="22"/>
          <w:lang w:eastAsia="ar-SA"/>
        </w:rPr>
      </w:pPr>
    </w:p>
    <w:p w:rsidR="00594031" w:rsidRDefault="00594031" w:rsidP="00594031">
      <w:pPr>
        <w:suppressAutoHyphens/>
        <w:jc w:val="both"/>
        <w:rPr>
          <w:rFonts w:ascii="Arial" w:hAnsi="Arial" w:cs="Arial"/>
          <w:b/>
          <w:sz w:val="22"/>
          <w:szCs w:val="22"/>
          <w:lang w:eastAsia="ar-SA"/>
        </w:rPr>
      </w:pPr>
      <w:r w:rsidRPr="00DF4965">
        <w:rPr>
          <w:rFonts w:ascii="Arial" w:hAnsi="Arial" w:cs="Arial"/>
          <w:b/>
          <w:sz w:val="22"/>
          <w:szCs w:val="22"/>
          <w:lang w:eastAsia="ar-SA"/>
        </w:rPr>
        <w:t>Bids will be evaluated and adjudicated according to the following criteria:</w:t>
      </w:r>
    </w:p>
    <w:p w:rsidR="00594031" w:rsidRPr="00DF4965" w:rsidRDefault="00594031" w:rsidP="00594031">
      <w:pPr>
        <w:suppressAutoHyphens/>
        <w:jc w:val="both"/>
        <w:rPr>
          <w:rFonts w:ascii="Arial" w:hAnsi="Arial" w:cs="Arial"/>
          <w:b/>
          <w:sz w:val="22"/>
          <w:szCs w:val="22"/>
          <w:lang w:eastAsia="ar-SA"/>
        </w:rPr>
      </w:pPr>
    </w:p>
    <w:p w:rsidR="00594031" w:rsidRPr="00424DB9" w:rsidRDefault="00594031" w:rsidP="00594031">
      <w:pPr>
        <w:pStyle w:val="ListParagraph"/>
        <w:numPr>
          <w:ilvl w:val="0"/>
          <w:numId w:val="1"/>
        </w:numPr>
        <w:rPr>
          <w:rFonts w:ascii="Arial" w:hAnsi="Arial" w:cs="Arial"/>
          <w:sz w:val="22"/>
          <w:szCs w:val="22"/>
          <w:lang w:eastAsia="ar-SA"/>
        </w:rPr>
      </w:pPr>
      <w:r w:rsidRPr="00424DB9">
        <w:rPr>
          <w:rFonts w:ascii="Arial" w:hAnsi="Arial" w:cs="Arial"/>
          <w:sz w:val="22"/>
          <w:szCs w:val="22"/>
          <w:lang w:eastAsia="ar-S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rsidR="00594031" w:rsidRPr="00910420" w:rsidRDefault="00594031" w:rsidP="00594031">
      <w:pPr>
        <w:numPr>
          <w:ilvl w:val="0"/>
          <w:numId w:val="1"/>
        </w:numPr>
        <w:tabs>
          <w:tab w:val="left" w:pos="426"/>
          <w:tab w:val="left" w:pos="1843"/>
        </w:tabs>
        <w:suppressAutoHyphens/>
        <w:jc w:val="both"/>
        <w:rPr>
          <w:rFonts w:ascii="Arial" w:hAnsi="Arial" w:cs="Arial"/>
          <w:sz w:val="22"/>
          <w:szCs w:val="22"/>
          <w:lang w:eastAsia="ar-SA"/>
        </w:rPr>
      </w:pPr>
      <w:r w:rsidRPr="00910420">
        <w:rPr>
          <w:rFonts w:ascii="Arial" w:hAnsi="Arial" w:cs="Arial"/>
          <w:sz w:val="22"/>
          <w:szCs w:val="22"/>
          <w:lang w:eastAsia="ar-SA"/>
        </w:rPr>
        <w:t>Council’s Supply Chain Management Policy.</w:t>
      </w:r>
    </w:p>
    <w:p w:rsidR="00594031" w:rsidRPr="00CE4F6E" w:rsidRDefault="00594031" w:rsidP="00594031">
      <w:pPr>
        <w:numPr>
          <w:ilvl w:val="0"/>
          <w:numId w:val="1"/>
        </w:numPr>
        <w:jc w:val="both"/>
        <w:rPr>
          <w:rFonts w:ascii="Arial" w:hAnsi="Arial" w:cs="Arial"/>
          <w:sz w:val="22"/>
          <w:szCs w:val="22"/>
          <w:lang w:eastAsia="ar-SA"/>
        </w:rPr>
      </w:pPr>
      <w:r w:rsidRPr="00CE4F6E">
        <w:rPr>
          <w:rFonts w:ascii="Arial" w:hAnsi="Arial" w:cs="Arial"/>
          <w:sz w:val="22"/>
          <w:szCs w:val="22"/>
          <w:lang w:eastAsia="ar-SA"/>
        </w:rPr>
        <w:t>Contractor shall be registered on the National Treasury’s Central Supplier Database.</w:t>
      </w:r>
    </w:p>
    <w:p w:rsidR="00594031" w:rsidRPr="00CE4F6E" w:rsidRDefault="00594031" w:rsidP="00594031">
      <w:pPr>
        <w:numPr>
          <w:ilvl w:val="0"/>
          <w:numId w:val="1"/>
        </w:numPr>
        <w:tabs>
          <w:tab w:val="left" w:pos="426"/>
        </w:tabs>
        <w:suppressAutoHyphens/>
        <w:jc w:val="both"/>
        <w:rPr>
          <w:rFonts w:ascii="Arial" w:hAnsi="Arial" w:cs="Arial"/>
          <w:sz w:val="22"/>
          <w:szCs w:val="22"/>
          <w:lang w:eastAsia="ar-SA"/>
        </w:rPr>
      </w:pPr>
      <w:r w:rsidRPr="00CE4F6E">
        <w:rPr>
          <w:rFonts w:ascii="Arial" w:hAnsi="Arial" w:cs="Arial"/>
          <w:sz w:val="22"/>
          <w:szCs w:val="22"/>
          <w:lang w:eastAsia="ar-SA"/>
        </w:rPr>
        <w:t xml:space="preserve">Contractor having a CIDB grading of </w:t>
      </w:r>
      <w:r>
        <w:rPr>
          <w:rFonts w:ascii="Arial" w:hAnsi="Arial" w:cs="Arial"/>
          <w:b/>
          <w:sz w:val="22"/>
          <w:szCs w:val="22"/>
          <w:lang w:eastAsia="ar-SA"/>
        </w:rPr>
        <w:t>2</w:t>
      </w:r>
      <w:r w:rsidRPr="005C1CB2">
        <w:rPr>
          <w:rFonts w:ascii="Arial" w:hAnsi="Arial" w:cs="Arial"/>
          <w:b/>
          <w:bCs/>
          <w:iCs/>
          <w:sz w:val="22"/>
          <w:szCs w:val="22"/>
          <w:lang w:val="en-US"/>
        </w:rPr>
        <w:t xml:space="preserve"> </w:t>
      </w:r>
      <w:r>
        <w:rPr>
          <w:rFonts w:ascii="Arial" w:hAnsi="Arial" w:cs="Arial"/>
          <w:b/>
          <w:bCs/>
          <w:iCs/>
          <w:sz w:val="22"/>
          <w:szCs w:val="22"/>
          <w:lang w:val="en-US"/>
        </w:rPr>
        <w:t xml:space="preserve">EB or 1 EB PE </w:t>
      </w:r>
      <w:r w:rsidRPr="00CE4F6E">
        <w:rPr>
          <w:rFonts w:ascii="Arial" w:hAnsi="Arial" w:cs="Arial"/>
          <w:b/>
          <w:sz w:val="22"/>
          <w:szCs w:val="22"/>
          <w:lang w:eastAsia="ar-SA"/>
        </w:rPr>
        <w:t>or higher.</w:t>
      </w:r>
    </w:p>
    <w:p w:rsidR="00594031" w:rsidRPr="00CE4F6E" w:rsidRDefault="00594031" w:rsidP="00594031">
      <w:pPr>
        <w:numPr>
          <w:ilvl w:val="0"/>
          <w:numId w:val="1"/>
        </w:numPr>
        <w:jc w:val="both"/>
        <w:rPr>
          <w:rFonts w:ascii="Arial" w:hAnsi="Arial" w:cs="Arial"/>
          <w:sz w:val="22"/>
          <w:szCs w:val="22"/>
          <w:lang w:eastAsia="ar-SA"/>
        </w:rPr>
      </w:pPr>
      <w:r w:rsidRPr="00CE4F6E">
        <w:rPr>
          <w:rFonts w:ascii="Arial" w:hAnsi="Arial" w:cs="Arial"/>
          <w:sz w:val="22"/>
          <w:szCs w:val="22"/>
          <w:lang w:eastAsia="ar-SA"/>
        </w:rPr>
        <w:t>Contractor shall provide the Municipality with a compliance clearance PIN to verify your tax compliance status.</w:t>
      </w:r>
    </w:p>
    <w:p w:rsidR="00594031" w:rsidRPr="00CE4F6E" w:rsidRDefault="00594031" w:rsidP="00594031">
      <w:pPr>
        <w:numPr>
          <w:ilvl w:val="0"/>
          <w:numId w:val="1"/>
        </w:numPr>
        <w:tabs>
          <w:tab w:val="left" w:pos="426"/>
        </w:tabs>
        <w:suppressAutoHyphens/>
        <w:jc w:val="both"/>
        <w:rPr>
          <w:rFonts w:ascii="Arial" w:hAnsi="Arial" w:cs="Arial"/>
          <w:sz w:val="22"/>
          <w:szCs w:val="22"/>
          <w:lang w:eastAsia="ar-SA"/>
        </w:rPr>
      </w:pPr>
      <w:r w:rsidRPr="00CE4F6E">
        <w:rPr>
          <w:rFonts w:ascii="Arial" w:hAnsi="Arial" w:cs="Arial"/>
          <w:sz w:val="22"/>
          <w:szCs w:val="22"/>
          <w:lang w:eastAsia="ar-SA"/>
        </w:rPr>
        <w:t>The employment of local labour shall be sourced within the wards of the KwaDukuza Municipality in terms of EPWP.</w:t>
      </w:r>
    </w:p>
    <w:p w:rsidR="00594031" w:rsidRPr="00922A30" w:rsidRDefault="00594031" w:rsidP="00594031">
      <w:pPr>
        <w:numPr>
          <w:ilvl w:val="0"/>
          <w:numId w:val="1"/>
        </w:numPr>
        <w:tabs>
          <w:tab w:val="left" w:pos="426"/>
        </w:tabs>
        <w:suppressAutoHyphens/>
        <w:jc w:val="both"/>
        <w:rPr>
          <w:rFonts w:ascii="Arial" w:hAnsi="Arial" w:cs="Arial"/>
          <w:sz w:val="22"/>
          <w:szCs w:val="22"/>
          <w:lang w:eastAsia="ar-SA"/>
        </w:rPr>
      </w:pPr>
      <w:r w:rsidRPr="00922A30">
        <w:rPr>
          <w:rFonts w:ascii="Arial" w:hAnsi="Arial" w:cs="Arial"/>
          <w:sz w:val="22"/>
          <w:szCs w:val="22"/>
          <w:lang w:eastAsia="ar-SA"/>
        </w:rPr>
        <w:t>Certificate of Attendance at the clarification meeting.</w:t>
      </w:r>
    </w:p>
    <w:p w:rsidR="00594031" w:rsidRPr="00FB3F90" w:rsidRDefault="00594031" w:rsidP="00594031">
      <w:pPr>
        <w:numPr>
          <w:ilvl w:val="0"/>
          <w:numId w:val="1"/>
        </w:numPr>
        <w:tabs>
          <w:tab w:val="left" w:pos="426"/>
        </w:tabs>
        <w:suppressAutoHyphens/>
        <w:jc w:val="both"/>
        <w:rPr>
          <w:rFonts w:ascii="Arial" w:hAnsi="Arial" w:cs="Arial"/>
          <w:color w:val="FF0000"/>
          <w:sz w:val="22"/>
          <w:szCs w:val="22"/>
          <w:lang w:eastAsia="ar-SA"/>
        </w:rPr>
      </w:pPr>
      <w:r w:rsidRPr="00922A30">
        <w:rPr>
          <w:rFonts w:ascii="Arial" w:hAnsi="Arial" w:cs="Arial"/>
          <w:sz w:val="22"/>
          <w:szCs w:val="22"/>
          <w:lang w:eastAsia="ar-SA"/>
        </w:rPr>
        <w:t>Compliant with the Technical Specification and submission of relevant support documentation.</w:t>
      </w:r>
    </w:p>
    <w:p w:rsidR="00594031" w:rsidRPr="00F3643F" w:rsidRDefault="00594031" w:rsidP="00594031">
      <w:pPr>
        <w:numPr>
          <w:ilvl w:val="0"/>
          <w:numId w:val="1"/>
        </w:numPr>
        <w:tabs>
          <w:tab w:val="left" w:pos="426"/>
        </w:tabs>
        <w:suppressAutoHyphens/>
        <w:jc w:val="both"/>
        <w:rPr>
          <w:rFonts w:ascii="Arial" w:hAnsi="Arial" w:cs="Arial"/>
          <w:color w:val="FF0000"/>
          <w:sz w:val="22"/>
          <w:szCs w:val="22"/>
          <w:lang w:eastAsia="ar-SA"/>
        </w:rPr>
      </w:pPr>
      <w:r>
        <w:rPr>
          <w:rFonts w:ascii="Arial" w:hAnsi="Arial" w:cs="Arial"/>
          <w:sz w:val="22"/>
          <w:szCs w:val="22"/>
          <w:lang w:eastAsia="ar-SA"/>
        </w:rPr>
        <w:t>Specific goals in terms of section 2 (1) (d) and (e) of the Act will not be targeted for this tender.</w:t>
      </w:r>
    </w:p>
    <w:p w:rsidR="00594031" w:rsidRPr="00F3643F" w:rsidRDefault="00594031" w:rsidP="00594031">
      <w:pPr>
        <w:numPr>
          <w:ilvl w:val="0"/>
          <w:numId w:val="1"/>
        </w:numPr>
        <w:tabs>
          <w:tab w:val="left" w:pos="426"/>
        </w:tabs>
        <w:suppressAutoHyphens/>
        <w:jc w:val="both"/>
        <w:rPr>
          <w:rFonts w:ascii="Arial" w:hAnsi="Arial" w:cs="Arial"/>
          <w:color w:val="FF0000"/>
          <w:sz w:val="22"/>
          <w:szCs w:val="22"/>
          <w:lang w:eastAsia="ar-SA"/>
        </w:rPr>
      </w:pPr>
      <w:r w:rsidRPr="00F3643F">
        <w:rPr>
          <w:rFonts w:ascii="Arial" w:hAnsi="Arial" w:cs="Arial"/>
          <w:color w:val="FF0000"/>
          <w:sz w:val="22"/>
          <w:szCs w:val="22"/>
          <w:lang w:eastAsia="ar-SA"/>
        </w:rPr>
        <w:t xml:space="preserve">Site agent must be in possession of a PV </w:t>
      </w:r>
      <w:proofErr w:type="spellStart"/>
      <w:r w:rsidRPr="00F3643F">
        <w:rPr>
          <w:rFonts w:ascii="Arial" w:hAnsi="Arial" w:cs="Arial"/>
          <w:color w:val="FF0000"/>
          <w:sz w:val="22"/>
          <w:szCs w:val="22"/>
          <w:lang w:eastAsia="ar-SA"/>
        </w:rPr>
        <w:t>Greencard</w:t>
      </w:r>
      <w:proofErr w:type="spellEnd"/>
    </w:p>
    <w:p w:rsidR="00594031" w:rsidRPr="00922A30" w:rsidRDefault="00594031" w:rsidP="00594031">
      <w:pPr>
        <w:numPr>
          <w:ilvl w:val="0"/>
          <w:numId w:val="1"/>
        </w:numPr>
        <w:tabs>
          <w:tab w:val="left" w:pos="426"/>
        </w:tabs>
        <w:suppressAutoHyphens/>
        <w:jc w:val="both"/>
        <w:rPr>
          <w:rFonts w:ascii="Arial" w:hAnsi="Arial" w:cs="Arial"/>
          <w:sz w:val="22"/>
          <w:szCs w:val="22"/>
          <w:lang w:eastAsia="ar-SA"/>
        </w:rPr>
      </w:pPr>
      <w:r w:rsidRPr="00922A30">
        <w:rPr>
          <w:rFonts w:ascii="Arial" w:hAnsi="Arial" w:cs="Arial"/>
          <w:sz w:val="22"/>
          <w:szCs w:val="22"/>
          <w:lang w:eastAsia="ar-SA"/>
        </w:rPr>
        <w:t>Prices tendered must be firm and inclusive of VAT.</w:t>
      </w:r>
    </w:p>
    <w:p w:rsidR="00594031" w:rsidRPr="00922A30" w:rsidRDefault="00594031" w:rsidP="00594031">
      <w:pPr>
        <w:numPr>
          <w:ilvl w:val="0"/>
          <w:numId w:val="1"/>
        </w:numPr>
        <w:tabs>
          <w:tab w:val="left" w:pos="426"/>
        </w:tabs>
        <w:suppressAutoHyphens/>
        <w:jc w:val="both"/>
        <w:rPr>
          <w:rFonts w:ascii="Arial" w:hAnsi="Arial" w:cs="Arial"/>
          <w:sz w:val="22"/>
          <w:szCs w:val="22"/>
          <w:lang w:eastAsia="ar-SA"/>
        </w:rPr>
      </w:pPr>
      <w:r w:rsidRPr="00922A30">
        <w:rPr>
          <w:rFonts w:ascii="Arial" w:hAnsi="Arial" w:cs="Arial"/>
          <w:sz w:val="22"/>
          <w:szCs w:val="22"/>
          <w:lang w:eastAsia="ar-SA"/>
        </w:rPr>
        <w:t>NB:  Bidders who are listed in the National Treasury register of defaulters and restricted suppliers will be automatically disqualified.</w:t>
      </w:r>
    </w:p>
    <w:p w:rsidR="00594031" w:rsidRDefault="00594031" w:rsidP="00594031">
      <w:pPr>
        <w:numPr>
          <w:ilvl w:val="0"/>
          <w:numId w:val="1"/>
        </w:numPr>
        <w:tabs>
          <w:tab w:val="left" w:pos="426"/>
        </w:tabs>
        <w:suppressAutoHyphens/>
        <w:jc w:val="both"/>
        <w:rPr>
          <w:rFonts w:ascii="Arial" w:hAnsi="Arial" w:cs="Arial"/>
          <w:b/>
          <w:bCs/>
          <w:sz w:val="22"/>
          <w:szCs w:val="22"/>
          <w:lang w:eastAsia="ar-SA"/>
        </w:rPr>
      </w:pPr>
      <w:r w:rsidRPr="00EC587C">
        <w:rPr>
          <w:rFonts w:ascii="Arial" w:hAnsi="Arial" w:cs="Arial"/>
          <w:b/>
          <w:bCs/>
          <w:sz w:val="22"/>
          <w:szCs w:val="22"/>
          <w:lang w:eastAsia="ar-SA"/>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rsidR="00594031" w:rsidRPr="003602D4" w:rsidRDefault="00594031" w:rsidP="00594031">
      <w:pPr>
        <w:numPr>
          <w:ilvl w:val="0"/>
          <w:numId w:val="1"/>
        </w:numPr>
        <w:suppressAutoHyphens/>
        <w:spacing w:line="276" w:lineRule="auto"/>
        <w:jc w:val="both"/>
        <w:rPr>
          <w:rFonts w:ascii="Arial" w:hAnsi="Arial" w:cs="Arial"/>
          <w:b/>
          <w:color w:val="FF0000"/>
          <w:sz w:val="22"/>
          <w:szCs w:val="22"/>
          <w:lang w:eastAsia="ar-SA"/>
        </w:rPr>
      </w:pPr>
      <w:r w:rsidRPr="003602D4">
        <w:rPr>
          <w:rFonts w:ascii="Arial" w:hAnsi="Arial" w:cs="Arial"/>
          <w:b/>
          <w:color w:val="FF0000"/>
          <w:sz w:val="22"/>
          <w:szCs w:val="22"/>
          <w:lang w:eastAsia="ar-SA"/>
        </w:rPr>
        <w:lastRenderedPageBreak/>
        <w:t>RDP Criteria applied for this tender: Service providers who reside within the Republic of South Africa will be considered. Proof of address by way of Municipal Utility bill or a Proof of Address by the Ward Councillor for service providers from within the KwaDukuza jurisdiction (Special KDM Format) or an Affidavit from the Landlord to confirm Locality must be provided with your bid.</w:t>
      </w:r>
    </w:p>
    <w:p w:rsidR="00594031" w:rsidRDefault="00594031" w:rsidP="00594031">
      <w:pPr>
        <w:tabs>
          <w:tab w:val="left" w:pos="426"/>
        </w:tabs>
        <w:suppressAutoHyphens/>
        <w:jc w:val="both"/>
        <w:rPr>
          <w:rFonts w:ascii="Arial" w:hAnsi="Arial" w:cs="Arial"/>
        </w:rPr>
      </w:pPr>
    </w:p>
    <w:p w:rsidR="00594031" w:rsidRPr="004515FE" w:rsidRDefault="00594031" w:rsidP="00594031">
      <w:pPr>
        <w:tabs>
          <w:tab w:val="left" w:pos="426"/>
        </w:tabs>
        <w:suppressAutoHyphens/>
        <w:jc w:val="both"/>
        <w:rPr>
          <w:rFonts w:ascii="Arial" w:hAnsi="Arial" w:cs="Arial"/>
          <w:b/>
          <w:sz w:val="22"/>
          <w:szCs w:val="22"/>
          <w:lang w:eastAsia="ar-SA"/>
        </w:rPr>
      </w:pPr>
      <w:r w:rsidRPr="004515FE">
        <w:rPr>
          <w:rFonts w:ascii="Arial" w:hAnsi="Arial" w:cs="Arial"/>
          <w:sz w:val="22"/>
          <w:szCs w:val="22"/>
        </w:rPr>
        <w:t>Evaluation for functionality. Only service providers who achieve a minimum of 60 percent score will be considered for further Evaluation process.</w:t>
      </w:r>
      <w:r w:rsidRPr="004515FE">
        <w:rPr>
          <w:rFonts w:ascii="Arial" w:hAnsi="Arial" w:cs="Arial"/>
          <w:b/>
          <w:sz w:val="22"/>
          <w:szCs w:val="22"/>
          <w:lang w:eastAsia="ar-SA"/>
        </w:rPr>
        <w:t xml:space="preserve"> </w:t>
      </w:r>
    </w:p>
    <w:p w:rsidR="00594031" w:rsidRPr="004515FE" w:rsidRDefault="00594031" w:rsidP="00594031">
      <w:pPr>
        <w:tabs>
          <w:tab w:val="left" w:pos="426"/>
        </w:tabs>
        <w:suppressAutoHyphens/>
        <w:jc w:val="both"/>
        <w:rPr>
          <w:rFonts w:ascii="Arial" w:hAnsi="Arial" w:cs="Arial"/>
          <w:sz w:val="22"/>
          <w:szCs w:val="22"/>
        </w:rPr>
      </w:pPr>
      <w:r w:rsidRPr="004515FE">
        <w:rPr>
          <w:rFonts w:ascii="Arial" w:hAnsi="Arial" w:cs="Arial"/>
          <w:sz w:val="22"/>
          <w:szCs w:val="22"/>
          <w:lang w:eastAsia="ar-SA"/>
        </w:rPr>
        <w:t>Each</w:t>
      </w:r>
      <w:r w:rsidRPr="004515FE">
        <w:rPr>
          <w:rFonts w:ascii="Arial" w:hAnsi="Arial" w:cs="Arial"/>
          <w:sz w:val="22"/>
          <w:szCs w:val="22"/>
        </w:rPr>
        <w:t xml:space="preserve"> bidder is expected to score a minimum of 50% of the points from each of the three main categories that is:  Experience of bidder, Key Personnel and Methodology.</w:t>
      </w:r>
    </w:p>
    <w:p w:rsidR="00594031" w:rsidRPr="00917CCD" w:rsidRDefault="00594031" w:rsidP="00594031">
      <w:pPr>
        <w:tabs>
          <w:tab w:val="left" w:pos="426"/>
        </w:tabs>
        <w:suppressAutoHyphens/>
        <w:ind w:firstLine="720"/>
        <w:jc w:val="both"/>
        <w:rPr>
          <w:rFonts w:ascii="Arial" w:hAnsi="Arial" w:cs="Arial"/>
        </w:rPr>
      </w:pPr>
    </w:p>
    <w:p w:rsidR="00594031" w:rsidRPr="00E86882" w:rsidRDefault="00594031" w:rsidP="00E86882">
      <w:pPr>
        <w:rPr>
          <w:rFonts w:ascii="Arial" w:hAnsi="Arial" w:cs="Arial"/>
        </w:rPr>
      </w:pPr>
      <w:r w:rsidRPr="004515FE">
        <w:rPr>
          <w:rFonts w:ascii="Arial" w:hAnsi="Arial" w:cs="Arial"/>
          <w:sz w:val="22"/>
          <w:szCs w:val="22"/>
        </w:rPr>
        <w:t xml:space="preserve">Below is summary of Functionality scoring, full details of scoring </w:t>
      </w:r>
      <w:proofErr w:type="gramStart"/>
      <w:r w:rsidRPr="004515FE">
        <w:rPr>
          <w:rFonts w:ascii="Arial" w:hAnsi="Arial" w:cs="Arial"/>
          <w:sz w:val="22"/>
          <w:szCs w:val="22"/>
        </w:rPr>
        <w:t>is</w:t>
      </w:r>
      <w:proofErr w:type="gramEnd"/>
      <w:r w:rsidRPr="004515FE">
        <w:rPr>
          <w:rFonts w:ascii="Arial" w:hAnsi="Arial" w:cs="Arial"/>
          <w:sz w:val="22"/>
          <w:szCs w:val="22"/>
        </w:rPr>
        <w:t xml:space="preserve"> indicated on </w:t>
      </w:r>
      <w:r w:rsidRPr="004515FE">
        <w:rPr>
          <w:rFonts w:ascii="Arial" w:hAnsi="Arial" w:cs="Arial"/>
          <w:b/>
          <w:bCs/>
          <w:sz w:val="22"/>
          <w:szCs w:val="22"/>
        </w:rPr>
        <w:t>Clause F.3.11.1.1</w:t>
      </w:r>
      <w:r w:rsidRPr="004515FE">
        <w:rPr>
          <w:rFonts w:ascii="Arial" w:hAnsi="Arial" w:cs="Arial"/>
          <w:sz w:val="22"/>
          <w:szCs w:val="22"/>
        </w:rPr>
        <w:t xml:space="preserve"> of the Tender Specification</w:t>
      </w:r>
    </w:p>
    <w:p w:rsidR="00594031" w:rsidRPr="00E70942" w:rsidRDefault="00594031" w:rsidP="00594031">
      <w:pPr>
        <w:jc w:val="both"/>
        <w:rPr>
          <w:rFonts w:eastAsia="Calibri"/>
          <w:b/>
          <w:highlight w:val="yellow"/>
        </w:rPr>
      </w:pPr>
    </w:p>
    <w:tbl>
      <w:tblPr>
        <w:tblStyle w:val="TableGrid7"/>
        <w:tblW w:w="9715" w:type="dxa"/>
        <w:tblLook w:val="04A0" w:firstRow="1" w:lastRow="0" w:firstColumn="1" w:lastColumn="0" w:noHBand="0" w:noVBand="1"/>
      </w:tblPr>
      <w:tblGrid>
        <w:gridCol w:w="3415"/>
        <w:gridCol w:w="4950"/>
        <w:gridCol w:w="1350"/>
      </w:tblGrid>
      <w:tr w:rsidR="00594031" w:rsidRPr="004515FE" w:rsidTr="00D65A5F">
        <w:tc>
          <w:tcPr>
            <w:tcW w:w="3415" w:type="dxa"/>
          </w:tcPr>
          <w:p w:rsidR="00594031" w:rsidRPr="004515FE" w:rsidRDefault="00594031" w:rsidP="00D65A5F">
            <w:pPr>
              <w:tabs>
                <w:tab w:val="left" w:pos="426"/>
              </w:tabs>
              <w:suppressAutoHyphens/>
              <w:jc w:val="both"/>
              <w:rPr>
                <w:rFonts w:ascii="Arial" w:hAnsi="Arial" w:cs="Arial"/>
                <w:b/>
                <w:bCs/>
                <w:sz w:val="22"/>
                <w:szCs w:val="22"/>
              </w:rPr>
            </w:pPr>
            <w:r w:rsidRPr="004515FE">
              <w:rPr>
                <w:rFonts w:ascii="Arial" w:hAnsi="Arial" w:cs="Arial"/>
                <w:b/>
                <w:bCs/>
                <w:sz w:val="22"/>
                <w:szCs w:val="22"/>
              </w:rPr>
              <w:t>Category</w:t>
            </w:r>
          </w:p>
        </w:tc>
        <w:tc>
          <w:tcPr>
            <w:tcW w:w="4950" w:type="dxa"/>
          </w:tcPr>
          <w:p w:rsidR="00594031" w:rsidRPr="004515FE" w:rsidRDefault="00594031" w:rsidP="00D65A5F">
            <w:pPr>
              <w:tabs>
                <w:tab w:val="left" w:pos="426"/>
              </w:tabs>
              <w:suppressAutoHyphens/>
              <w:jc w:val="both"/>
              <w:rPr>
                <w:rFonts w:ascii="Arial" w:hAnsi="Arial" w:cs="Arial"/>
                <w:b/>
                <w:bCs/>
                <w:sz w:val="22"/>
                <w:szCs w:val="22"/>
              </w:rPr>
            </w:pPr>
            <w:r w:rsidRPr="004515FE">
              <w:rPr>
                <w:rFonts w:ascii="Arial" w:hAnsi="Arial" w:cs="Arial"/>
                <w:b/>
                <w:bCs/>
                <w:sz w:val="22"/>
                <w:szCs w:val="22"/>
              </w:rPr>
              <w:t>Description</w:t>
            </w:r>
          </w:p>
        </w:tc>
        <w:tc>
          <w:tcPr>
            <w:tcW w:w="1350" w:type="dxa"/>
          </w:tcPr>
          <w:p w:rsidR="00594031" w:rsidRPr="004515FE" w:rsidRDefault="00594031" w:rsidP="00D65A5F">
            <w:pPr>
              <w:tabs>
                <w:tab w:val="left" w:pos="426"/>
              </w:tabs>
              <w:suppressAutoHyphens/>
              <w:jc w:val="both"/>
              <w:rPr>
                <w:rFonts w:ascii="Arial" w:hAnsi="Arial" w:cs="Arial"/>
                <w:b/>
                <w:bCs/>
                <w:sz w:val="22"/>
                <w:szCs w:val="22"/>
              </w:rPr>
            </w:pPr>
            <w:r w:rsidRPr="004515FE">
              <w:rPr>
                <w:rFonts w:ascii="Arial" w:hAnsi="Arial" w:cs="Arial"/>
                <w:b/>
                <w:bCs/>
                <w:sz w:val="22"/>
                <w:szCs w:val="22"/>
              </w:rPr>
              <w:t>Maximum Point</w:t>
            </w:r>
          </w:p>
        </w:tc>
      </w:tr>
      <w:tr w:rsidR="00594031" w:rsidRPr="004515FE" w:rsidTr="00D65A5F">
        <w:tc>
          <w:tcPr>
            <w:tcW w:w="3415" w:type="dxa"/>
          </w:tcPr>
          <w:p w:rsidR="00594031" w:rsidRPr="004515FE" w:rsidRDefault="00594031" w:rsidP="00D65A5F">
            <w:pPr>
              <w:tabs>
                <w:tab w:val="left" w:pos="426"/>
              </w:tabs>
              <w:suppressAutoHyphens/>
              <w:jc w:val="both"/>
              <w:rPr>
                <w:rFonts w:ascii="Arial" w:hAnsi="Arial" w:cs="Arial"/>
                <w:sz w:val="22"/>
                <w:szCs w:val="22"/>
              </w:rPr>
            </w:pPr>
          </w:p>
        </w:tc>
        <w:tc>
          <w:tcPr>
            <w:tcW w:w="4950" w:type="dxa"/>
          </w:tcPr>
          <w:p w:rsidR="00594031" w:rsidRPr="004515FE" w:rsidRDefault="00594031" w:rsidP="00D65A5F">
            <w:pPr>
              <w:tabs>
                <w:tab w:val="left" w:pos="426"/>
              </w:tabs>
              <w:suppressAutoHyphens/>
              <w:jc w:val="both"/>
              <w:rPr>
                <w:rFonts w:ascii="Arial" w:hAnsi="Arial" w:cs="Arial"/>
                <w:sz w:val="22"/>
                <w:szCs w:val="22"/>
              </w:rPr>
            </w:pPr>
          </w:p>
        </w:tc>
        <w:tc>
          <w:tcPr>
            <w:tcW w:w="1350" w:type="dxa"/>
          </w:tcPr>
          <w:p w:rsidR="00594031" w:rsidRPr="004515FE" w:rsidRDefault="00594031" w:rsidP="00D65A5F">
            <w:pPr>
              <w:tabs>
                <w:tab w:val="left" w:pos="426"/>
              </w:tabs>
              <w:suppressAutoHyphens/>
              <w:jc w:val="both"/>
              <w:rPr>
                <w:rFonts w:ascii="Arial" w:hAnsi="Arial" w:cs="Arial"/>
                <w:sz w:val="22"/>
                <w:szCs w:val="22"/>
              </w:rPr>
            </w:pPr>
          </w:p>
        </w:tc>
      </w:tr>
      <w:tr w:rsidR="00594031" w:rsidRPr="004515FE" w:rsidTr="00D65A5F">
        <w:tc>
          <w:tcPr>
            <w:tcW w:w="3415" w:type="dxa"/>
          </w:tcPr>
          <w:p w:rsidR="00594031" w:rsidRPr="004515FE" w:rsidRDefault="00594031" w:rsidP="00D65A5F">
            <w:pPr>
              <w:tabs>
                <w:tab w:val="left" w:pos="426"/>
              </w:tabs>
              <w:suppressAutoHyphens/>
              <w:jc w:val="both"/>
              <w:rPr>
                <w:rFonts w:ascii="Arial" w:hAnsi="Arial" w:cs="Arial"/>
                <w:sz w:val="22"/>
                <w:szCs w:val="22"/>
              </w:rPr>
            </w:pPr>
            <w:r w:rsidRPr="004515FE">
              <w:rPr>
                <w:rFonts w:ascii="Arial" w:hAnsi="Arial" w:cs="Arial"/>
                <w:sz w:val="22"/>
                <w:szCs w:val="22"/>
              </w:rPr>
              <w:t>Experience of the Bidder</w:t>
            </w:r>
          </w:p>
        </w:tc>
        <w:tc>
          <w:tcPr>
            <w:tcW w:w="4950" w:type="dxa"/>
          </w:tcPr>
          <w:p w:rsidR="00594031" w:rsidRPr="004515FE" w:rsidRDefault="00594031" w:rsidP="00D65A5F">
            <w:pPr>
              <w:tabs>
                <w:tab w:val="left" w:pos="426"/>
              </w:tabs>
              <w:suppressAutoHyphens/>
              <w:jc w:val="both"/>
              <w:rPr>
                <w:rFonts w:ascii="Arial" w:hAnsi="Arial" w:cs="Arial"/>
                <w:sz w:val="22"/>
                <w:szCs w:val="22"/>
              </w:rPr>
            </w:pPr>
            <w:r w:rsidRPr="004515FE">
              <w:rPr>
                <w:rFonts w:ascii="Arial" w:hAnsi="Arial" w:cs="Arial"/>
                <w:sz w:val="22"/>
                <w:szCs w:val="22"/>
              </w:rPr>
              <w:t>Bidder’s previous experience on similar work/projects</w:t>
            </w:r>
          </w:p>
        </w:tc>
        <w:tc>
          <w:tcPr>
            <w:tcW w:w="1350" w:type="dxa"/>
            <w:vAlign w:val="center"/>
          </w:tcPr>
          <w:p w:rsidR="00594031" w:rsidRPr="004515FE" w:rsidRDefault="00594031" w:rsidP="00D65A5F">
            <w:pPr>
              <w:tabs>
                <w:tab w:val="left" w:pos="426"/>
              </w:tabs>
              <w:suppressAutoHyphens/>
              <w:jc w:val="center"/>
              <w:rPr>
                <w:rFonts w:ascii="Arial" w:hAnsi="Arial" w:cs="Arial"/>
                <w:sz w:val="22"/>
                <w:szCs w:val="22"/>
              </w:rPr>
            </w:pPr>
            <w:r w:rsidRPr="004515FE">
              <w:rPr>
                <w:rFonts w:ascii="Arial" w:hAnsi="Arial" w:cs="Arial"/>
                <w:sz w:val="22"/>
                <w:szCs w:val="22"/>
              </w:rPr>
              <w:t>40</w:t>
            </w:r>
          </w:p>
        </w:tc>
      </w:tr>
      <w:tr w:rsidR="00594031" w:rsidRPr="004515FE" w:rsidTr="00D65A5F">
        <w:tc>
          <w:tcPr>
            <w:tcW w:w="3415" w:type="dxa"/>
          </w:tcPr>
          <w:p w:rsidR="00594031" w:rsidRPr="004515FE" w:rsidRDefault="00594031" w:rsidP="00D65A5F">
            <w:pPr>
              <w:tabs>
                <w:tab w:val="left" w:pos="426"/>
              </w:tabs>
              <w:suppressAutoHyphens/>
              <w:jc w:val="both"/>
              <w:rPr>
                <w:rFonts w:ascii="Arial" w:hAnsi="Arial" w:cs="Arial"/>
                <w:sz w:val="22"/>
                <w:szCs w:val="22"/>
              </w:rPr>
            </w:pPr>
            <w:r w:rsidRPr="004515FE">
              <w:rPr>
                <w:rFonts w:ascii="Arial" w:hAnsi="Arial" w:cs="Arial"/>
                <w:sz w:val="22"/>
                <w:szCs w:val="22"/>
              </w:rPr>
              <w:t>Qualifications and experience of Key personnel</w:t>
            </w:r>
            <w:r>
              <w:rPr>
                <w:rFonts w:ascii="Arial" w:hAnsi="Arial" w:cs="Arial"/>
                <w:sz w:val="22"/>
                <w:szCs w:val="22"/>
              </w:rPr>
              <w:t>.</w:t>
            </w:r>
            <w:r w:rsidRPr="004515FE">
              <w:rPr>
                <w:rFonts w:ascii="Arial" w:hAnsi="Arial" w:cs="Arial"/>
                <w:sz w:val="22"/>
                <w:szCs w:val="22"/>
              </w:rPr>
              <w:t xml:space="preserve"> </w:t>
            </w:r>
          </w:p>
        </w:tc>
        <w:tc>
          <w:tcPr>
            <w:tcW w:w="4950" w:type="dxa"/>
          </w:tcPr>
          <w:p w:rsidR="00594031" w:rsidRPr="004515FE" w:rsidRDefault="00594031" w:rsidP="00D65A5F">
            <w:pPr>
              <w:tabs>
                <w:tab w:val="left" w:pos="426"/>
              </w:tabs>
              <w:suppressAutoHyphens/>
              <w:jc w:val="both"/>
              <w:rPr>
                <w:rFonts w:ascii="Arial" w:hAnsi="Arial" w:cs="Arial"/>
                <w:sz w:val="22"/>
                <w:szCs w:val="22"/>
              </w:rPr>
            </w:pPr>
            <w:r w:rsidRPr="004515FE">
              <w:rPr>
                <w:rFonts w:ascii="Arial" w:hAnsi="Arial" w:cs="Arial"/>
                <w:sz w:val="22"/>
                <w:szCs w:val="22"/>
              </w:rPr>
              <w:t>Bidder’s to be assigned Key personnel Competency in terms of qualifications, training and   previous experience on similar work/projects</w:t>
            </w:r>
          </w:p>
        </w:tc>
        <w:tc>
          <w:tcPr>
            <w:tcW w:w="1350" w:type="dxa"/>
            <w:vAlign w:val="center"/>
          </w:tcPr>
          <w:p w:rsidR="00594031" w:rsidRPr="004515FE" w:rsidRDefault="00594031" w:rsidP="00D65A5F">
            <w:pPr>
              <w:tabs>
                <w:tab w:val="left" w:pos="426"/>
              </w:tabs>
              <w:suppressAutoHyphens/>
              <w:jc w:val="center"/>
              <w:rPr>
                <w:rFonts w:ascii="Arial" w:hAnsi="Arial" w:cs="Arial"/>
                <w:sz w:val="22"/>
                <w:szCs w:val="22"/>
              </w:rPr>
            </w:pPr>
            <w:r w:rsidRPr="004515FE">
              <w:rPr>
                <w:rFonts w:ascii="Arial" w:hAnsi="Arial" w:cs="Arial"/>
                <w:sz w:val="22"/>
                <w:szCs w:val="22"/>
              </w:rPr>
              <w:t>40</w:t>
            </w:r>
          </w:p>
        </w:tc>
      </w:tr>
      <w:tr w:rsidR="00594031" w:rsidRPr="004515FE" w:rsidTr="00D65A5F">
        <w:tc>
          <w:tcPr>
            <w:tcW w:w="3415" w:type="dxa"/>
          </w:tcPr>
          <w:p w:rsidR="00594031" w:rsidRPr="004515FE" w:rsidRDefault="00594031" w:rsidP="00D65A5F">
            <w:pPr>
              <w:tabs>
                <w:tab w:val="left" w:pos="426"/>
              </w:tabs>
              <w:suppressAutoHyphens/>
              <w:jc w:val="both"/>
              <w:rPr>
                <w:rFonts w:ascii="Arial" w:hAnsi="Arial" w:cs="Arial"/>
                <w:sz w:val="22"/>
                <w:szCs w:val="22"/>
              </w:rPr>
            </w:pPr>
            <w:r w:rsidRPr="004515FE">
              <w:rPr>
                <w:rFonts w:ascii="Arial" w:hAnsi="Arial" w:cs="Arial"/>
                <w:sz w:val="22"/>
                <w:szCs w:val="22"/>
              </w:rPr>
              <w:t>Methodology</w:t>
            </w:r>
          </w:p>
        </w:tc>
        <w:tc>
          <w:tcPr>
            <w:tcW w:w="4950" w:type="dxa"/>
          </w:tcPr>
          <w:p w:rsidR="00594031" w:rsidRPr="004515FE" w:rsidRDefault="00594031" w:rsidP="00D65A5F">
            <w:pPr>
              <w:tabs>
                <w:tab w:val="left" w:pos="426"/>
              </w:tabs>
              <w:suppressAutoHyphens/>
              <w:jc w:val="both"/>
              <w:rPr>
                <w:rFonts w:ascii="Arial" w:hAnsi="Arial" w:cs="Arial"/>
                <w:sz w:val="22"/>
                <w:szCs w:val="22"/>
              </w:rPr>
            </w:pPr>
            <w:r w:rsidRPr="004515FE">
              <w:rPr>
                <w:rFonts w:ascii="Arial" w:hAnsi="Arial" w:cs="Arial"/>
                <w:sz w:val="22"/>
                <w:szCs w:val="22"/>
              </w:rPr>
              <w:t>Bidder’s ability to develop Method Statements/ Work Procedures/Project Approach</w:t>
            </w:r>
          </w:p>
        </w:tc>
        <w:tc>
          <w:tcPr>
            <w:tcW w:w="1350" w:type="dxa"/>
            <w:vAlign w:val="center"/>
          </w:tcPr>
          <w:p w:rsidR="00594031" w:rsidRPr="004515FE" w:rsidRDefault="00594031" w:rsidP="00D65A5F">
            <w:pPr>
              <w:tabs>
                <w:tab w:val="left" w:pos="426"/>
              </w:tabs>
              <w:suppressAutoHyphens/>
              <w:jc w:val="center"/>
              <w:rPr>
                <w:rFonts w:ascii="Arial" w:hAnsi="Arial" w:cs="Arial"/>
                <w:sz w:val="22"/>
                <w:szCs w:val="22"/>
              </w:rPr>
            </w:pPr>
            <w:r w:rsidRPr="004515FE">
              <w:rPr>
                <w:rFonts w:ascii="Arial" w:hAnsi="Arial" w:cs="Arial"/>
                <w:sz w:val="22"/>
                <w:szCs w:val="22"/>
              </w:rPr>
              <w:t>20</w:t>
            </w:r>
          </w:p>
        </w:tc>
      </w:tr>
      <w:tr w:rsidR="00594031" w:rsidRPr="004515FE" w:rsidTr="00D65A5F">
        <w:tc>
          <w:tcPr>
            <w:tcW w:w="3415" w:type="dxa"/>
          </w:tcPr>
          <w:p w:rsidR="00594031" w:rsidRPr="004515FE" w:rsidRDefault="00594031" w:rsidP="00D65A5F">
            <w:pPr>
              <w:tabs>
                <w:tab w:val="left" w:pos="426"/>
              </w:tabs>
              <w:suppressAutoHyphens/>
              <w:jc w:val="both"/>
              <w:rPr>
                <w:rFonts w:ascii="Arial" w:hAnsi="Arial" w:cs="Arial"/>
                <w:sz w:val="22"/>
                <w:szCs w:val="22"/>
              </w:rPr>
            </w:pPr>
          </w:p>
        </w:tc>
        <w:tc>
          <w:tcPr>
            <w:tcW w:w="4950" w:type="dxa"/>
          </w:tcPr>
          <w:p w:rsidR="00594031" w:rsidRPr="004515FE" w:rsidRDefault="00594031" w:rsidP="00D65A5F">
            <w:pPr>
              <w:tabs>
                <w:tab w:val="left" w:pos="426"/>
              </w:tabs>
              <w:suppressAutoHyphens/>
              <w:jc w:val="both"/>
              <w:rPr>
                <w:rFonts w:ascii="Arial" w:hAnsi="Arial" w:cs="Arial"/>
                <w:sz w:val="22"/>
                <w:szCs w:val="22"/>
              </w:rPr>
            </w:pPr>
          </w:p>
        </w:tc>
        <w:tc>
          <w:tcPr>
            <w:tcW w:w="1350" w:type="dxa"/>
            <w:vAlign w:val="center"/>
          </w:tcPr>
          <w:p w:rsidR="00594031" w:rsidRPr="004515FE" w:rsidRDefault="00594031" w:rsidP="00D65A5F">
            <w:pPr>
              <w:tabs>
                <w:tab w:val="left" w:pos="426"/>
              </w:tabs>
              <w:suppressAutoHyphens/>
              <w:jc w:val="center"/>
              <w:rPr>
                <w:rFonts w:ascii="Arial" w:hAnsi="Arial" w:cs="Arial"/>
                <w:sz w:val="22"/>
                <w:szCs w:val="22"/>
              </w:rPr>
            </w:pPr>
          </w:p>
        </w:tc>
      </w:tr>
      <w:tr w:rsidR="00594031" w:rsidRPr="004515FE" w:rsidTr="00D65A5F">
        <w:tc>
          <w:tcPr>
            <w:tcW w:w="3415" w:type="dxa"/>
          </w:tcPr>
          <w:p w:rsidR="00594031" w:rsidRPr="004515FE" w:rsidRDefault="00594031" w:rsidP="00D65A5F">
            <w:pPr>
              <w:tabs>
                <w:tab w:val="left" w:pos="426"/>
              </w:tabs>
              <w:suppressAutoHyphens/>
              <w:jc w:val="both"/>
              <w:rPr>
                <w:rFonts w:ascii="Arial" w:hAnsi="Arial" w:cs="Arial"/>
                <w:b/>
                <w:bCs/>
                <w:sz w:val="22"/>
                <w:szCs w:val="22"/>
              </w:rPr>
            </w:pPr>
            <w:r w:rsidRPr="004515FE">
              <w:rPr>
                <w:rFonts w:ascii="Arial" w:hAnsi="Arial" w:cs="Arial"/>
                <w:b/>
                <w:bCs/>
                <w:sz w:val="22"/>
                <w:szCs w:val="22"/>
              </w:rPr>
              <w:t>Total</w:t>
            </w:r>
          </w:p>
        </w:tc>
        <w:tc>
          <w:tcPr>
            <w:tcW w:w="4950" w:type="dxa"/>
          </w:tcPr>
          <w:p w:rsidR="00594031" w:rsidRPr="004515FE" w:rsidRDefault="00594031" w:rsidP="00D65A5F">
            <w:pPr>
              <w:tabs>
                <w:tab w:val="left" w:pos="426"/>
              </w:tabs>
              <w:suppressAutoHyphens/>
              <w:jc w:val="both"/>
              <w:rPr>
                <w:rFonts w:ascii="Arial" w:hAnsi="Arial" w:cs="Arial"/>
                <w:sz w:val="22"/>
                <w:szCs w:val="22"/>
              </w:rPr>
            </w:pPr>
          </w:p>
        </w:tc>
        <w:tc>
          <w:tcPr>
            <w:tcW w:w="1350" w:type="dxa"/>
            <w:vAlign w:val="center"/>
          </w:tcPr>
          <w:p w:rsidR="00594031" w:rsidRPr="004515FE" w:rsidRDefault="00594031" w:rsidP="00D65A5F">
            <w:pPr>
              <w:tabs>
                <w:tab w:val="left" w:pos="426"/>
              </w:tabs>
              <w:suppressAutoHyphens/>
              <w:jc w:val="center"/>
              <w:rPr>
                <w:rFonts w:ascii="Arial" w:hAnsi="Arial" w:cs="Arial"/>
                <w:b/>
                <w:bCs/>
                <w:sz w:val="22"/>
                <w:szCs w:val="22"/>
              </w:rPr>
            </w:pPr>
            <w:r w:rsidRPr="004515FE">
              <w:rPr>
                <w:rFonts w:ascii="Arial" w:hAnsi="Arial" w:cs="Arial"/>
                <w:b/>
                <w:bCs/>
                <w:sz w:val="22"/>
                <w:szCs w:val="22"/>
              </w:rPr>
              <w:t>100</w:t>
            </w:r>
          </w:p>
        </w:tc>
      </w:tr>
      <w:tr w:rsidR="00594031" w:rsidRPr="004515FE" w:rsidTr="00D65A5F">
        <w:tc>
          <w:tcPr>
            <w:tcW w:w="3415" w:type="dxa"/>
          </w:tcPr>
          <w:p w:rsidR="00594031" w:rsidRPr="004515FE" w:rsidRDefault="00594031" w:rsidP="00D65A5F">
            <w:pPr>
              <w:tabs>
                <w:tab w:val="left" w:pos="426"/>
              </w:tabs>
              <w:suppressAutoHyphens/>
              <w:jc w:val="both"/>
              <w:rPr>
                <w:rFonts w:ascii="Arial" w:hAnsi="Arial" w:cs="Arial"/>
                <w:b/>
                <w:bCs/>
                <w:sz w:val="22"/>
                <w:szCs w:val="22"/>
              </w:rPr>
            </w:pPr>
            <w:r w:rsidRPr="004515FE">
              <w:rPr>
                <w:rFonts w:ascii="Arial" w:hAnsi="Arial" w:cs="Arial"/>
                <w:b/>
                <w:bCs/>
                <w:sz w:val="22"/>
                <w:szCs w:val="22"/>
              </w:rPr>
              <w:t>Minimum</w:t>
            </w:r>
          </w:p>
        </w:tc>
        <w:tc>
          <w:tcPr>
            <w:tcW w:w="4950" w:type="dxa"/>
          </w:tcPr>
          <w:p w:rsidR="00594031" w:rsidRPr="004515FE" w:rsidRDefault="00594031" w:rsidP="00D65A5F">
            <w:pPr>
              <w:tabs>
                <w:tab w:val="left" w:pos="426"/>
              </w:tabs>
              <w:suppressAutoHyphens/>
              <w:jc w:val="both"/>
              <w:rPr>
                <w:rFonts w:ascii="Arial" w:hAnsi="Arial" w:cs="Arial"/>
                <w:sz w:val="22"/>
                <w:szCs w:val="22"/>
              </w:rPr>
            </w:pPr>
          </w:p>
        </w:tc>
        <w:tc>
          <w:tcPr>
            <w:tcW w:w="1350" w:type="dxa"/>
            <w:vAlign w:val="center"/>
          </w:tcPr>
          <w:p w:rsidR="00594031" w:rsidRPr="004515FE" w:rsidRDefault="00594031" w:rsidP="00D65A5F">
            <w:pPr>
              <w:tabs>
                <w:tab w:val="left" w:pos="426"/>
              </w:tabs>
              <w:suppressAutoHyphens/>
              <w:jc w:val="center"/>
              <w:rPr>
                <w:rFonts w:ascii="Arial" w:hAnsi="Arial" w:cs="Arial"/>
                <w:b/>
                <w:bCs/>
                <w:sz w:val="22"/>
                <w:szCs w:val="22"/>
              </w:rPr>
            </w:pPr>
            <w:r w:rsidRPr="004515FE">
              <w:rPr>
                <w:rFonts w:ascii="Arial" w:hAnsi="Arial" w:cs="Arial"/>
                <w:b/>
                <w:bCs/>
                <w:sz w:val="22"/>
                <w:szCs w:val="22"/>
              </w:rPr>
              <w:t>60</w:t>
            </w:r>
          </w:p>
        </w:tc>
      </w:tr>
    </w:tbl>
    <w:p w:rsidR="00594031" w:rsidRPr="004515FE" w:rsidRDefault="00594031" w:rsidP="00594031">
      <w:pPr>
        <w:jc w:val="both"/>
        <w:rPr>
          <w:rFonts w:ascii="Arial" w:hAnsi="Arial" w:cs="Arial"/>
          <w:b/>
          <w:sz w:val="22"/>
          <w:szCs w:val="22"/>
          <w:highlight w:val="yellow"/>
        </w:rPr>
      </w:pPr>
    </w:p>
    <w:p w:rsidR="00594031" w:rsidRDefault="00594031" w:rsidP="00594031">
      <w:pPr>
        <w:jc w:val="both"/>
        <w:rPr>
          <w:rFonts w:ascii="Arial" w:hAnsi="Arial" w:cs="Arial"/>
          <w:color w:val="000000"/>
        </w:rPr>
      </w:pPr>
    </w:p>
    <w:p w:rsidR="00594031" w:rsidRDefault="00594031" w:rsidP="00594031">
      <w:pPr>
        <w:jc w:val="both"/>
        <w:rPr>
          <w:rFonts w:ascii="Arial" w:hAnsi="Arial" w:cs="Arial"/>
          <w:sz w:val="22"/>
          <w:szCs w:val="22"/>
          <w:lang w:eastAsia="ar-SA"/>
        </w:rPr>
      </w:pPr>
      <w:r w:rsidRPr="00923F43">
        <w:rPr>
          <w:rFonts w:ascii="Arial" w:hAnsi="Arial" w:cs="Arial"/>
          <w:sz w:val="22"/>
          <w:szCs w:val="22"/>
          <w:lang w:eastAsia="ar-SA"/>
        </w:rPr>
        <w:t>Council does not bind itself to accept the lowest tender or any tender and reserves the right to accept any part or the whole of any tender.  The Municipality also reserves the right to call on preferred bidders to form a joint venture with a BEE company. Canvassing in any form in the gift of Council is strictly prohibited and will lead to the disqualification of the tender.  No bids will be considered from persons in the services of any organ of state.</w:t>
      </w:r>
    </w:p>
    <w:p w:rsidR="00594031" w:rsidRDefault="00594031" w:rsidP="00594031">
      <w:pPr>
        <w:jc w:val="both"/>
        <w:rPr>
          <w:rFonts w:ascii="Arial" w:hAnsi="Arial" w:cs="Arial"/>
          <w:sz w:val="22"/>
          <w:szCs w:val="22"/>
          <w:lang w:eastAsia="ar-SA"/>
        </w:rPr>
      </w:pPr>
    </w:p>
    <w:p w:rsidR="00594031" w:rsidRDefault="00594031" w:rsidP="00594031">
      <w:pPr>
        <w:jc w:val="both"/>
        <w:rPr>
          <w:rFonts w:ascii="Arial" w:hAnsi="Arial" w:cs="Arial"/>
          <w:sz w:val="22"/>
          <w:szCs w:val="22"/>
          <w:lang w:eastAsia="ar-SA"/>
        </w:rPr>
      </w:pPr>
    </w:p>
    <w:p w:rsidR="00594031" w:rsidRDefault="00594031" w:rsidP="00594031">
      <w:pPr>
        <w:jc w:val="both"/>
        <w:rPr>
          <w:rFonts w:ascii="Arial" w:hAnsi="Arial" w:cs="Arial"/>
          <w:sz w:val="22"/>
          <w:szCs w:val="22"/>
          <w:lang w:eastAsia="ar-SA"/>
        </w:rPr>
      </w:pPr>
    </w:p>
    <w:p w:rsidR="00594031" w:rsidRDefault="00594031" w:rsidP="00594031">
      <w:pPr>
        <w:jc w:val="both"/>
        <w:rPr>
          <w:rFonts w:ascii="Arial" w:hAnsi="Arial" w:cs="Arial"/>
          <w:sz w:val="22"/>
          <w:szCs w:val="22"/>
          <w:lang w:eastAsia="ar-SA"/>
        </w:rPr>
      </w:pPr>
    </w:p>
    <w:p w:rsidR="00594031" w:rsidRDefault="00594031" w:rsidP="00594031">
      <w:pPr>
        <w:jc w:val="both"/>
        <w:rPr>
          <w:rFonts w:ascii="Arial" w:hAnsi="Arial" w:cs="Arial"/>
          <w:sz w:val="22"/>
          <w:szCs w:val="22"/>
          <w:lang w:eastAsia="ar-SA"/>
        </w:rPr>
      </w:pPr>
    </w:p>
    <w:p w:rsidR="00594031" w:rsidRDefault="00594031" w:rsidP="00594031">
      <w:pPr>
        <w:jc w:val="both"/>
        <w:rPr>
          <w:rFonts w:ascii="Arial" w:hAnsi="Arial" w:cs="Arial"/>
          <w:sz w:val="22"/>
          <w:szCs w:val="22"/>
          <w:lang w:eastAsia="ar-SA"/>
        </w:rPr>
      </w:pPr>
    </w:p>
    <w:p w:rsidR="00594031" w:rsidRDefault="00594031" w:rsidP="00594031">
      <w:pPr>
        <w:jc w:val="both"/>
        <w:rPr>
          <w:rFonts w:ascii="Arial" w:hAnsi="Arial" w:cs="Arial"/>
          <w:sz w:val="22"/>
          <w:szCs w:val="22"/>
          <w:lang w:eastAsia="ar-SA"/>
        </w:rPr>
      </w:pPr>
    </w:p>
    <w:p w:rsidR="00594031" w:rsidRDefault="00594031" w:rsidP="00594031">
      <w:pPr>
        <w:jc w:val="both"/>
        <w:rPr>
          <w:rFonts w:ascii="Arial" w:hAnsi="Arial" w:cs="Arial"/>
          <w:sz w:val="22"/>
          <w:szCs w:val="22"/>
          <w:lang w:eastAsia="ar-SA"/>
        </w:rPr>
      </w:pPr>
    </w:p>
    <w:p w:rsidR="00594031" w:rsidRPr="00FA4598" w:rsidRDefault="00594031" w:rsidP="00594031">
      <w:pPr>
        <w:jc w:val="both"/>
        <w:rPr>
          <w:rFonts w:ascii="Arial" w:hAnsi="Arial" w:cs="Arial"/>
          <w:lang w:val="en-US"/>
        </w:rPr>
      </w:pPr>
      <w:r w:rsidRPr="00FA4598">
        <w:rPr>
          <w:rFonts w:ascii="Arial" w:hAnsi="Arial" w:cs="Arial"/>
          <w:lang w:val="en-US"/>
        </w:rPr>
        <w:t>_____________</w:t>
      </w:r>
    </w:p>
    <w:p w:rsidR="00594031" w:rsidRPr="00FA4598" w:rsidRDefault="00594031" w:rsidP="00594031">
      <w:pPr>
        <w:jc w:val="both"/>
        <w:rPr>
          <w:rFonts w:ascii="Arial" w:hAnsi="Arial" w:cs="Arial"/>
          <w:b/>
          <w:lang w:val="en-US"/>
        </w:rPr>
      </w:pPr>
      <w:r w:rsidRPr="00FA4598">
        <w:rPr>
          <w:rFonts w:ascii="Arial" w:hAnsi="Arial" w:cs="Arial"/>
          <w:b/>
          <w:lang w:val="en-US"/>
        </w:rPr>
        <w:t>NJ MDAKANE</w:t>
      </w:r>
    </w:p>
    <w:p w:rsidR="00594031" w:rsidRDefault="00594031" w:rsidP="00594031">
      <w:r>
        <w:rPr>
          <w:rFonts w:ascii="Arial" w:hAnsi="Arial" w:cs="Arial"/>
          <w:b/>
          <w:lang w:val="en-US"/>
        </w:rPr>
        <w:t>Municipal Manager</w:t>
      </w:r>
    </w:p>
    <w:p w:rsidR="00594031" w:rsidRDefault="00594031" w:rsidP="00594031">
      <w:pPr>
        <w:tabs>
          <w:tab w:val="left" w:pos="2850"/>
        </w:tabs>
        <w:rPr>
          <w:rFonts w:ascii="Arial" w:hAnsi="Arial" w:cs="Arial"/>
          <w:sz w:val="22"/>
          <w:szCs w:val="22"/>
        </w:rPr>
      </w:pPr>
    </w:p>
    <w:p w:rsidR="00594031" w:rsidRDefault="00594031" w:rsidP="00594031">
      <w:pPr>
        <w:rPr>
          <w:rFonts w:ascii="Arial" w:hAnsi="Arial" w:cs="Arial"/>
          <w:b/>
          <w:iCs/>
          <w:sz w:val="22"/>
          <w:szCs w:val="22"/>
          <w:lang w:val="en-US"/>
        </w:rPr>
      </w:pPr>
    </w:p>
    <w:p w:rsidR="00594031" w:rsidRDefault="00594031" w:rsidP="00594031">
      <w:pPr>
        <w:rPr>
          <w:rFonts w:ascii="Arial" w:hAnsi="Arial" w:cs="Arial"/>
          <w:b/>
          <w:iCs/>
          <w:sz w:val="22"/>
          <w:szCs w:val="22"/>
          <w:lang w:val="en-US"/>
        </w:rPr>
      </w:pPr>
      <w:r>
        <w:rPr>
          <w:rFonts w:ascii="Arial" w:hAnsi="Arial" w:cs="Arial"/>
          <w:b/>
          <w:iCs/>
          <w:sz w:val="22"/>
          <w:szCs w:val="22"/>
          <w:lang w:val="en-US"/>
        </w:rPr>
        <w:br w:type="page"/>
      </w:r>
    </w:p>
    <w:p w:rsidR="00594031" w:rsidRDefault="00594031"/>
    <w:sectPr w:rsidR="00594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031"/>
    <w:rsid w:val="00594031"/>
    <w:rsid w:val="00DB0638"/>
    <w:rsid w:val="00E10EF1"/>
    <w:rsid w:val="00E21A78"/>
    <w:rsid w:val="00E8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A5EF"/>
  <w15:chartTrackingRefBased/>
  <w15:docId w15:val="{737B40C5-7D48-4261-BB24-013C242C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03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94031"/>
    <w:rPr>
      <w:color w:val="0000FF"/>
      <w:u w:val="single"/>
    </w:rPr>
  </w:style>
  <w:style w:type="paragraph" w:styleId="ListParagraph">
    <w:name w:val="List Paragraph"/>
    <w:aliases w:val="Indent Paragraph"/>
    <w:basedOn w:val="Normal"/>
    <w:link w:val="ListParagraphChar"/>
    <w:uiPriority w:val="34"/>
    <w:qFormat/>
    <w:rsid w:val="00594031"/>
    <w:pPr>
      <w:ind w:left="720"/>
    </w:pPr>
  </w:style>
  <w:style w:type="character" w:customStyle="1" w:styleId="ListParagraphChar">
    <w:name w:val="List Paragraph Char"/>
    <w:aliases w:val="Indent Paragraph Char"/>
    <w:link w:val="ListParagraph"/>
    <w:uiPriority w:val="34"/>
    <w:rsid w:val="00594031"/>
    <w:rPr>
      <w:rFonts w:ascii="Times New Roman" w:eastAsia="Times New Roman" w:hAnsi="Times New Roman" w:cs="Times New Roman"/>
      <w:sz w:val="24"/>
      <w:szCs w:val="24"/>
      <w:lang w:val="en-GB"/>
    </w:rPr>
  </w:style>
  <w:style w:type="table" w:customStyle="1" w:styleId="TableGrid7">
    <w:name w:val="Table Grid7"/>
    <w:basedOn w:val="TableNormal"/>
    <w:next w:val="TableGrid"/>
    <w:uiPriority w:val="39"/>
    <w:rsid w:val="0059403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4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8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882"/>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umaM@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alid@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Thobeka Magwaza</cp:lastModifiedBy>
  <cp:revision>3</cp:revision>
  <cp:lastPrinted>2023-10-05T07:53:00Z</cp:lastPrinted>
  <dcterms:created xsi:type="dcterms:W3CDTF">2023-08-28T07:45:00Z</dcterms:created>
  <dcterms:modified xsi:type="dcterms:W3CDTF">2023-10-05T11:15:00Z</dcterms:modified>
</cp:coreProperties>
</file>