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9FC43" w14:textId="1B089D04" w:rsidR="009C09B8" w:rsidRDefault="009C09B8" w:rsidP="00056CD5">
      <w:pPr>
        <w:jc w:val="both"/>
        <w:rPr>
          <w:b/>
          <w:bCs/>
        </w:rPr>
      </w:pPr>
      <w:r w:rsidRPr="009C09B8">
        <w:rPr>
          <w:b/>
          <w:bCs/>
          <w:lang w:val="en-US"/>
        </w:rPr>
        <w:t>CLARIFICATION QUESTION</w:t>
      </w:r>
      <w:r w:rsidR="000F37C1">
        <w:rPr>
          <w:b/>
          <w:bCs/>
          <w:lang w:val="en-US"/>
        </w:rPr>
        <w:t xml:space="preserve">S: </w:t>
      </w:r>
      <w:r w:rsidR="00BB23E2" w:rsidRPr="00BB23E2">
        <w:rPr>
          <w:b/>
          <w:bCs/>
        </w:rPr>
        <w:t>E1160GXMWP - THE PROVISION OF FLEET CARD FACILITY FOR THE PAYMENT OF FUEL, TOLL,</w:t>
      </w:r>
      <w:r w:rsidR="00B01C11">
        <w:rPr>
          <w:b/>
          <w:bCs/>
        </w:rPr>
        <w:t xml:space="preserve"> OIL</w:t>
      </w:r>
    </w:p>
    <w:p w14:paraId="3A4DD05F" w14:textId="77777777" w:rsidR="00584031" w:rsidRPr="00584031" w:rsidRDefault="00584031" w:rsidP="00584031">
      <w:pPr>
        <w:spacing w:after="0"/>
        <w:jc w:val="both"/>
        <w:rPr>
          <w:b/>
          <w:bCs/>
          <w:color w:val="FF0000"/>
        </w:rPr>
      </w:pPr>
      <w:r w:rsidRPr="00584031">
        <w:rPr>
          <w:b/>
          <w:bCs/>
          <w:color w:val="FF0000"/>
        </w:rPr>
        <w:t>Clarification Queries Closing Date</w:t>
      </w:r>
      <w:r w:rsidRPr="00584031">
        <w:rPr>
          <w:b/>
          <w:bCs/>
          <w:color w:val="FF0000"/>
          <w:u w:val="single"/>
        </w:rPr>
        <w:t xml:space="preserve"> </w:t>
      </w:r>
      <w:r w:rsidRPr="00584031">
        <w:rPr>
          <w:b/>
          <w:bCs/>
          <w:color w:val="FF0000"/>
        </w:rPr>
        <w:tab/>
      </w:r>
      <w:r w:rsidRPr="00584031">
        <w:rPr>
          <w:b/>
          <w:bCs/>
          <w:color w:val="FF0000"/>
        </w:rPr>
        <w:tab/>
        <w:t>: Five (5) days prior to tender closing</w:t>
      </w:r>
    </w:p>
    <w:p w14:paraId="563FABD2" w14:textId="64F5E714" w:rsidR="00584031" w:rsidRDefault="00584031" w:rsidP="00584031">
      <w:pPr>
        <w:spacing w:after="0"/>
        <w:jc w:val="both"/>
        <w:rPr>
          <w:b/>
          <w:bCs/>
          <w:color w:val="FF0000"/>
        </w:rPr>
      </w:pPr>
      <w:r w:rsidRPr="00584031">
        <w:rPr>
          <w:b/>
          <w:bCs/>
          <w:color w:val="FF0000"/>
          <w:u w:val="single"/>
        </w:rPr>
        <w:t>Enquiry Closing Date and Time</w:t>
      </w:r>
      <w:r w:rsidRPr="00584031">
        <w:rPr>
          <w:b/>
          <w:bCs/>
          <w:color w:val="FF0000"/>
        </w:rPr>
        <w:tab/>
      </w:r>
      <w:r w:rsidRPr="00584031">
        <w:rPr>
          <w:b/>
          <w:bCs/>
          <w:color w:val="FF0000"/>
        </w:rPr>
        <w:tab/>
        <w:t xml:space="preserve">: </w:t>
      </w:r>
      <w:r>
        <w:rPr>
          <w:b/>
          <w:bCs/>
          <w:color w:val="FF0000"/>
        </w:rPr>
        <w:t>22</w:t>
      </w:r>
      <w:r w:rsidRPr="00584031">
        <w:rPr>
          <w:b/>
          <w:bCs/>
          <w:color w:val="FF0000"/>
        </w:rPr>
        <w:t xml:space="preserve"> May 2025, Strictly 10:00am </w:t>
      </w:r>
      <w:r w:rsidRPr="00584031">
        <w:rPr>
          <w:b/>
          <w:bCs/>
          <w:color w:val="FF0000"/>
        </w:rPr>
        <w:tab/>
      </w:r>
      <w:r w:rsidRPr="00584031">
        <w:rPr>
          <w:b/>
          <w:bCs/>
          <w:color w:val="FF0000"/>
        </w:rPr>
        <w:tab/>
      </w:r>
      <w:r w:rsidRPr="00584031">
        <w:rPr>
          <w:b/>
          <w:bCs/>
          <w:color w:val="FF0000"/>
        </w:rPr>
        <w:tab/>
      </w:r>
      <w:r w:rsidRPr="00584031">
        <w:rPr>
          <w:b/>
          <w:bCs/>
          <w:color w:val="FF0000"/>
        </w:rPr>
        <w:tab/>
      </w:r>
      <w:r w:rsidRPr="00584031">
        <w:rPr>
          <w:b/>
          <w:bCs/>
          <w:color w:val="FF0000"/>
        </w:rPr>
        <w:tab/>
        <w:t xml:space="preserve"> </w:t>
      </w:r>
      <w:r w:rsidRPr="00584031">
        <w:rPr>
          <w:b/>
          <w:bCs/>
          <w:color w:val="FF0000"/>
        </w:rPr>
        <w:tab/>
        <w:t xml:space="preserve"> </w:t>
      </w:r>
      <w:r w:rsidRPr="00584031">
        <w:rPr>
          <w:b/>
          <w:bCs/>
          <w:color w:val="FF0000"/>
        </w:rPr>
        <w:tab/>
      </w:r>
      <w:r w:rsidRPr="00584031">
        <w:rPr>
          <w:b/>
          <w:bCs/>
          <w:color w:val="FF0000"/>
        </w:rPr>
        <w:tab/>
      </w:r>
      <w:r w:rsidRPr="00584031">
        <w:rPr>
          <w:b/>
          <w:bCs/>
          <w:color w:val="FF0000"/>
        </w:rPr>
        <w:t>(SAST) – E1160GXMWP</w:t>
      </w:r>
    </w:p>
    <w:p w14:paraId="1087D02B" w14:textId="77777777" w:rsidR="00584031" w:rsidRPr="00584031" w:rsidRDefault="00584031" w:rsidP="00584031">
      <w:pPr>
        <w:spacing w:after="0"/>
        <w:jc w:val="both"/>
        <w:rPr>
          <w:b/>
          <w:bCs/>
          <w:color w:val="FF0000"/>
        </w:rPr>
      </w:pPr>
    </w:p>
    <w:tbl>
      <w:tblPr>
        <w:tblStyle w:val="TableGrid"/>
        <w:tblW w:w="9918" w:type="dxa"/>
        <w:tblLook w:val="04A0" w:firstRow="1" w:lastRow="0" w:firstColumn="1" w:lastColumn="0" w:noHBand="0" w:noVBand="1"/>
      </w:tblPr>
      <w:tblGrid>
        <w:gridCol w:w="452"/>
        <w:gridCol w:w="5454"/>
        <w:gridCol w:w="4012"/>
      </w:tblGrid>
      <w:tr w:rsidR="00694129" w14:paraId="26E18718" w14:textId="77777777" w:rsidTr="00584031">
        <w:tc>
          <w:tcPr>
            <w:tcW w:w="452" w:type="dxa"/>
          </w:tcPr>
          <w:p w14:paraId="0EE0DCE1" w14:textId="77777777" w:rsidR="00694129" w:rsidRPr="00BB23E2" w:rsidRDefault="00694129" w:rsidP="00056CD5">
            <w:pPr>
              <w:jc w:val="both"/>
              <w:rPr>
                <w:b/>
                <w:bCs/>
                <w:lang w:val="en-US"/>
              </w:rPr>
            </w:pPr>
          </w:p>
        </w:tc>
        <w:tc>
          <w:tcPr>
            <w:tcW w:w="5454" w:type="dxa"/>
          </w:tcPr>
          <w:p w14:paraId="29E1FACC" w14:textId="3B217DB8" w:rsidR="00694129" w:rsidRPr="00BB23E2" w:rsidRDefault="00694129" w:rsidP="00056CD5">
            <w:pPr>
              <w:jc w:val="both"/>
              <w:rPr>
                <w:b/>
                <w:bCs/>
                <w:lang w:val="en-US"/>
              </w:rPr>
            </w:pPr>
            <w:r w:rsidRPr="00BB23E2">
              <w:rPr>
                <w:b/>
                <w:bCs/>
                <w:lang w:val="en-US"/>
              </w:rPr>
              <w:t>QUESTION</w:t>
            </w:r>
          </w:p>
        </w:tc>
        <w:tc>
          <w:tcPr>
            <w:tcW w:w="4012" w:type="dxa"/>
          </w:tcPr>
          <w:p w14:paraId="5D5F2A2A" w14:textId="022526C9" w:rsidR="00694129" w:rsidRPr="00BB23E2" w:rsidRDefault="00694129" w:rsidP="00056CD5">
            <w:pPr>
              <w:jc w:val="both"/>
              <w:rPr>
                <w:b/>
                <w:bCs/>
                <w:lang w:val="en-US"/>
              </w:rPr>
            </w:pPr>
            <w:r w:rsidRPr="00BB23E2">
              <w:rPr>
                <w:b/>
                <w:bCs/>
                <w:lang w:val="en-US"/>
              </w:rPr>
              <w:t>RESPONSE</w:t>
            </w:r>
          </w:p>
        </w:tc>
      </w:tr>
      <w:tr w:rsidR="00694129" w14:paraId="20D592E3" w14:textId="77777777" w:rsidTr="00584031">
        <w:tc>
          <w:tcPr>
            <w:tcW w:w="452" w:type="dxa"/>
          </w:tcPr>
          <w:p w14:paraId="35173BC8" w14:textId="5E56BB49" w:rsidR="00694129" w:rsidRDefault="00694129" w:rsidP="00BB23E2">
            <w:pPr>
              <w:jc w:val="both"/>
            </w:pPr>
            <w:r>
              <w:t>1</w:t>
            </w:r>
          </w:p>
        </w:tc>
        <w:tc>
          <w:tcPr>
            <w:tcW w:w="5454" w:type="dxa"/>
          </w:tcPr>
          <w:p w14:paraId="59E3C79F" w14:textId="63865FD4" w:rsidR="00694129" w:rsidRDefault="00694129" w:rsidP="00BB23E2">
            <w:pPr>
              <w:jc w:val="both"/>
              <w:rPr>
                <w:lang w:val="en-US"/>
              </w:rPr>
            </w:pPr>
            <w:r>
              <w:t xml:space="preserve">What is the </w:t>
            </w:r>
            <w:r w:rsidRPr="00BB23E2">
              <w:t>monthly card load amount</w:t>
            </w:r>
          </w:p>
        </w:tc>
        <w:tc>
          <w:tcPr>
            <w:tcW w:w="4012" w:type="dxa"/>
          </w:tcPr>
          <w:p w14:paraId="6639CB49" w14:textId="65CB7AA6" w:rsidR="00694129" w:rsidRPr="00BB23E2" w:rsidRDefault="00694129" w:rsidP="00BB23E2">
            <w:pPr>
              <w:jc w:val="both"/>
            </w:pPr>
            <w:r>
              <w:t>T</w:t>
            </w:r>
            <w:r w:rsidRPr="00BB23E2">
              <w:t>here is no specific amount that will be loaded each month. However, the system should include adequate security measures to prevent any potential misuse.</w:t>
            </w:r>
          </w:p>
          <w:p w14:paraId="126DFED3" w14:textId="77777777" w:rsidR="00694129" w:rsidRPr="00BB23E2" w:rsidRDefault="00694129" w:rsidP="00BB23E2">
            <w:pPr>
              <w:jc w:val="both"/>
            </w:pPr>
          </w:p>
        </w:tc>
      </w:tr>
      <w:tr w:rsidR="00694129" w14:paraId="61880E0D" w14:textId="77777777" w:rsidTr="00584031">
        <w:tc>
          <w:tcPr>
            <w:tcW w:w="452" w:type="dxa"/>
          </w:tcPr>
          <w:p w14:paraId="2D8CEEFE" w14:textId="405BBC0E" w:rsidR="00694129" w:rsidRPr="00BB23E2" w:rsidRDefault="00694129" w:rsidP="00BB23E2">
            <w:pPr>
              <w:jc w:val="both"/>
            </w:pPr>
            <w:r>
              <w:t>2</w:t>
            </w:r>
          </w:p>
        </w:tc>
        <w:tc>
          <w:tcPr>
            <w:tcW w:w="5454" w:type="dxa"/>
          </w:tcPr>
          <w:p w14:paraId="67259770" w14:textId="575D337C" w:rsidR="00694129" w:rsidRPr="00BB23E2" w:rsidRDefault="00694129" w:rsidP="00BB23E2">
            <w:pPr>
              <w:jc w:val="both"/>
            </w:pPr>
            <w:r w:rsidRPr="00BB23E2">
              <w:t xml:space="preserve">According to the pricing schedule for the monthly transaction fee for the Oil and Fuel Card: </w:t>
            </w:r>
          </w:p>
          <w:p w14:paraId="282FA457" w14:textId="77777777" w:rsidR="00694129" w:rsidRPr="00BB23E2" w:rsidRDefault="00694129" w:rsidP="00BB23E2">
            <w:pPr>
              <w:numPr>
                <w:ilvl w:val="0"/>
                <w:numId w:val="6"/>
              </w:numPr>
              <w:jc w:val="both"/>
            </w:pPr>
            <w:r w:rsidRPr="00BB23E2">
              <w:t xml:space="preserve">It seems that the fleet will be refuelled with petrol daily. Is this correct? </w:t>
            </w:r>
          </w:p>
          <w:p w14:paraId="46C072B9" w14:textId="77777777" w:rsidR="00694129" w:rsidRPr="00BB23E2" w:rsidRDefault="00694129" w:rsidP="00BB23E2">
            <w:pPr>
              <w:numPr>
                <w:ilvl w:val="0"/>
                <w:numId w:val="6"/>
              </w:numPr>
              <w:jc w:val="both"/>
            </w:pPr>
            <w:r w:rsidRPr="00BB23E2">
              <w:t>Does this imply that each vehicle will consume a full tank of petrol daily, requiring daily refuelling?</w:t>
            </w:r>
          </w:p>
          <w:p w14:paraId="3C70C4B7" w14:textId="77777777" w:rsidR="00694129" w:rsidRDefault="00694129" w:rsidP="00BB23E2">
            <w:pPr>
              <w:jc w:val="both"/>
              <w:rPr>
                <w:lang w:val="en-US"/>
              </w:rPr>
            </w:pPr>
          </w:p>
        </w:tc>
        <w:tc>
          <w:tcPr>
            <w:tcW w:w="4012" w:type="dxa"/>
          </w:tcPr>
          <w:p w14:paraId="4D376770" w14:textId="782EEC1D" w:rsidR="00694129" w:rsidRDefault="00694129" w:rsidP="00BB23E2">
            <w:pPr>
              <w:jc w:val="both"/>
              <w:rPr>
                <w:lang w:val="en-US"/>
              </w:rPr>
            </w:pPr>
            <w:r w:rsidRPr="00B01C11">
              <w:t>There is no specific amount that must be loaded per day or per month. The service provider is expected to develop a system that operates efficiently and ensures that Eskom employees can refuel without any difficulties. However, the system must include adequate security measures to prevent any potential misuse</w:t>
            </w:r>
          </w:p>
        </w:tc>
      </w:tr>
      <w:tr w:rsidR="00694129" w14:paraId="19C228A9" w14:textId="77777777" w:rsidTr="00584031">
        <w:tc>
          <w:tcPr>
            <w:tcW w:w="452" w:type="dxa"/>
          </w:tcPr>
          <w:p w14:paraId="6D192529" w14:textId="1A4A4B71" w:rsidR="00694129" w:rsidRPr="00BB23E2" w:rsidRDefault="00694129" w:rsidP="00BB23E2">
            <w:pPr>
              <w:jc w:val="both"/>
            </w:pPr>
            <w:r>
              <w:t>3</w:t>
            </w:r>
          </w:p>
        </w:tc>
        <w:tc>
          <w:tcPr>
            <w:tcW w:w="5454" w:type="dxa"/>
          </w:tcPr>
          <w:p w14:paraId="5FFE0A3B" w14:textId="12B9630A" w:rsidR="00694129" w:rsidRPr="00BB23E2" w:rsidRDefault="00694129" w:rsidP="00BB23E2">
            <w:pPr>
              <w:jc w:val="both"/>
            </w:pPr>
            <w:r w:rsidRPr="00BB23E2">
              <w:t xml:space="preserve">Regarding the E-tags and their monthly transaction charge: </w:t>
            </w:r>
          </w:p>
          <w:p w14:paraId="3B8FE4CF" w14:textId="3DC56ADF" w:rsidR="00694129" w:rsidRDefault="00694129" w:rsidP="002C7167">
            <w:pPr>
              <w:numPr>
                <w:ilvl w:val="0"/>
                <w:numId w:val="7"/>
              </w:numPr>
              <w:jc w:val="both"/>
              <w:rPr>
                <w:lang w:val="en-US"/>
              </w:rPr>
            </w:pPr>
            <w:r w:rsidRPr="00BB23E2">
              <w:t>Each car is expected to use E-tags 135 times per month for 60 months. Shouldn't this be 135 times per year instead?</w:t>
            </w:r>
          </w:p>
        </w:tc>
        <w:tc>
          <w:tcPr>
            <w:tcW w:w="4012" w:type="dxa"/>
          </w:tcPr>
          <w:p w14:paraId="1A49BC1B" w14:textId="45F5095E" w:rsidR="00694129" w:rsidRDefault="00694129" w:rsidP="00BB23E2">
            <w:pPr>
              <w:jc w:val="both"/>
              <w:rPr>
                <w:lang w:val="en-US"/>
              </w:rPr>
            </w:pPr>
            <w:r w:rsidRPr="00B01C11">
              <w:t xml:space="preserve">No, the 135 transactions are calculated </w:t>
            </w:r>
            <w:proofErr w:type="gramStart"/>
            <w:r w:rsidRPr="00B01C11">
              <w:t>on a monthly basis</w:t>
            </w:r>
            <w:proofErr w:type="gramEnd"/>
            <w:r w:rsidRPr="00B01C11">
              <w:t>.</w:t>
            </w:r>
          </w:p>
        </w:tc>
      </w:tr>
      <w:tr w:rsidR="00694129" w14:paraId="017649C3" w14:textId="77777777" w:rsidTr="00584031">
        <w:tc>
          <w:tcPr>
            <w:tcW w:w="452" w:type="dxa"/>
          </w:tcPr>
          <w:p w14:paraId="1B69FC14" w14:textId="2F3CE62C" w:rsidR="00694129" w:rsidRPr="00804731" w:rsidRDefault="00694129" w:rsidP="00804731">
            <w:pPr>
              <w:jc w:val="both"/>
              <w:rPr>
                <w:lang w:val="en-US"/>
              </w:rPr>
            </w:pPr>
            <w:r>
              <w:rPr>
                <w:lang w:val="en-US"/>
              </w:rPr>
              <w:t>4</w:t>
            </w:r>
          </w:p>
        </w:tc>
        <w:tc>
          <w:tcPr>
            <w:tcW w:w="5454" w:type="dxa"/>
          </w:tcPr>
          <w:p w14:paraId="25F653F5" w14:textId="78B38E60" w:rsidR="00694129" w:rsidRPr="00804731" w:rsidRDefault="00694129" w:rsidP="00804731">
            <w:pPr>
              <w:jc w:val="both"/>
              <w:rPr>
                <w:lang w:val="en-US"/>
              </w:rPr>
            </w:pPr>
            <w:r w:rsidRPr="00804731">
              <w:rPr>
                <w:lang w:val="en-US"/>
              </w:rPr>
              <w:t xml:space="preserve">Request for an extension on the submission date </w:t>
            </w:r>
          </w:p>
          <w:p w14:paraId="75FFA34F" w14:textId="77777777" w:rsidR="00694129" w:rsidRPr="00804731" w:rsidRDefault="00694129" w:rsidP="00804731">
            <w:pPr>
              <w:numPr>
                <w:ilvl w:val="0"/>
                <w:numId w:val="9"/>
              </w:numPr>
              <w:jc w:val="both"/>
              <w:rPr>
                <w:lang w:val="en-US"/>
              </w:rPr>
            </w:pPr>
            <w:r w:rsidRPr="00804731">
              <w:rPr>
                <w:lang w:val="en-US"/>
              </w:rPr>
              <w:t xml:space="preserve">Due to the multiple public holidays during March and April we have experienced delays in obtaining prices from various suppliers.  </w:t>
            </w:r>
          </w:p>
          <w:p w14:paraId="30E96CAC" w14:textId="59A1C234" w:rsidR="00694129" w:rsidRPr="00804731" w:rsidRDefault="00694129" w:rsidP="002C7167">
            <w:pPr>
              <w:numPr>
                <w:ilvl w:val="0"/>
                <w:numId w:val="9"/>
              </w:numPr>
              <w:jc w:val="both"/>
              <w:rPr>
                <w:lang w:val="en-US"/>
              </w:rPr>
            </w:pPr>
            <w:r w:rsidRPr="00804731">
              <w:rPr>
                <w:lang w:val="en-US"/>
              </w:rPr>
              <w:t>We kindly request an extension on the submission date.  </w:t>
            </w:r>
          </w:p>
        </w:tc>
        <w:tc>
          <w:tcPr>
            <w:tcW w:w="4012" w:type="dxa"/>
          </w:tcPr>
          <w:p w14:paraId="1A4A5C5C" w14:textId="77777777" w:rsidR="00584031" w:rsidRPr="00584031" w:rsidRDefault="00584031" w:rsidP="00584031">
            <w:pPr>
              <w:jc w:val="both"/>
              <w:rPr>
                <w:b/>
                <w:bCs/>
              </w:rPr>
            </w:pPr>
            <w:r w:rsidRPr="00584031">
              <w:rPr>
                <w:b/>
                <w:bCs/>
              </w:rPr>
              <w:t>Please kindly note that the extension has been granted and the new closing date is 22 May 2025 at 10h00</w:t>
            </w:r>
          </w:p>
          <w:p w14:paraId="05FACC25" w14:textId="05FB7571" w:rsidR="00694129" w:rsidRPr="00B01C11" w:rsidRDefault="00694129" w:rsidP="00BB23E2">
            <w:pPr>
              <w:jc w:val="both"/>
            </w:pPr>
          </w:p>
        </w:tc>
      </w:tr>
      <w:tr w:rsidR="00694129" w14:paraId="7BC46216" w14:textId="77777777" w:rsidTr="00584031">
        <w:tc>
          <w:tcPr>
            <w:tcW w:w="452" w:type="dxa"/>
          </w:tcPr>
          <w:p w14:paraId="0DDC4D14" w14:textId="4E5701B2" w:rsidR="00694129" w:rsidRPr="00804731" w:rsidRDefault="00694129" w:rsidP="00694129">
            <w:pPr>
              <w:jc w:val="both"/>
              <w:rPr>
                <w:lang w:val="en-US"/>
              </w:rPr>
            </w:pPr>
            <w:r>
              <w:rPr>
                <w:lang w:val="en-US"/>
              </w:rPr>
              <w:t>5</w:t>
            </w:r>
          </w:p>
        </w:tc>
        <w:tc>
          <w:tcPr>
            <w:tcW w:w="5454" w:type="dxa"/>
          </w:tcPr>
          <w:p w14:paraId="7529FBD6" w14:textId="4BF840D7" w:rsidR="00694129" w:rsidRPr="00804731" w:rsidRDefault="00694129" w:rsidP="00694129">
            <w:pPr>
              <w:jc w:val="both"/>
              <w:rPr>
                <w:lang w:val="en-US"/>
              </w:rPr>
            </w:pPr>
            <w:r w:rsidRPr="00804731">
              <w:rPr>
                <w:lang w:val="en-US"/>
              </w:rPr>
              <w:t xml:space="preserve">Clarification on Mandatory requirement to submit an FSP Certificate </w:t>
            </w:r>
          </w:p>
          <w:p w14:paraId="66AF2631" w14:textId="77777777" w:rsidR="00694129" w:rsidRPr="00804731" w:rsidRDefault="00694129" w:rsidP="00694129">
            <w:pPr>
              <w:numPr>
                <w:ilvl w:val="0"/>
                <w:numId w:val="9"/>
              </w:numPr>
              <w:jc w:val="both"/>
              <w:rPr>
                <w:lang w:val="en-US"/>
              </w:rPr>
            </w:pPr>
            <w:r w:rsidRPr="00804731">
              <w:rPr>
                <w:lang w:val="en-US"/>
              </w:rPr>
              <w:t>We kindly request a clarification on the above requirement, we have been advised by the FSCA that due to the public holidays in between their bi-weekly approval meetings have been disrupted resulting in a backlog</w:t>
            </w:r>
          </w:p>
          <w:p w14:paraId="685923E7" w14:textId="77777777" w:rsidR="00694129" w:rsidRDefault="00694129" w:rsidP="00694129">
            <w:pPr>
              <w:numPr>
                <w:ilvl w:val="0"/>
                <w:numId w:val="9"/>
              </w:numPr>
              <w:jc w:val="both"/>
              <w:rPr>
                <w:lang w:val="en-US"/>
              </w:rPr>
            </w:pPr>
            <w:r w:rsidRPr="00804731">
              <w:rPr>
                <w:lang w:val="en-US"/>
              </w:rPr>
              <w:t>As a result of the above, we don’t believe that our application for an FSP license will be approved by the 14 May</w:t>
            </w:r>
          </w:p>
          <w:p w14:paraId="71626A48" w14:textId="77777777" w:rsidR="001F146D" w:rsidRPr="00804731" w:rsidRDefault="001F146D" w:rsidP="001F146D">
            <w:pPr>
              <w:ind w:left="360"/>
              <w:jc w:val="both"/>
              <w:rPr>
                <w:lang w:val="en-US"/>
              </w:rPr>
            </w:pPr>
          </w:p>
          <w:p w14:paraId="3EC349A8" w14:textId="77777777" w:rsidR="00694129" w:rsidRPr="00804731" w:rsidRDefault="00694129" w:rsidP="00694129">
            <w:pPr>
              <w:numPr>
                <w:ilvl w:val="0"/>
                <w:numId w:val="9"/>
              </w:numPr>
              <w:jc w:val="both"/>
              <w:rPr>
                <w:lang w:val="en-US"/>
              </w:rPr>
            </w:pPr>
            <w:r w:rsidRPr="00804731">
              <w:rPr>
                <w:lang w:val="en-US"/>
              </w:rPr>
              <w:t xml:space="preserve">We would like to know if a confirmation of the submission </w:t>
            </w:r>
            <w:proofErr w:type="gramStart"/>
            <w:r w:rsidRPr="00804731">
              <w:rPr>
                <w:lang w:val="en-US"/>
              </w:rPr>
              <w:t>our the</w:t>
            </w:r>
            <w:proofErr w:type="gramEnd"/>
            <w:r w:rsidRPr="00804731">
              <w:rPr>
                <w:lang w:val="en-US"/>
              </w:rPr>
              <w:t xml:space="preserve"> application with the FSCA would suffice for the tender or not   </w:t>
            </w:r>
          </w:p>
          <w:p w14:paraId="09E348DA" w14:textId="77777777" w:rsidR="00694129" w:rsidRPr="00804731" w:rsidRDefault="00694129" w:rsidP="00804731">
            <w:pPr>
              <w:jc w:val="both"/>
              <w:rPr>
                <w:b/>
                <w:bCs/>
                <w:lang w:val="en-US"/>
              </w:rPr>
            </w:pPr>
          </w:p>
        </w:tc>
        <w:tc>
          <w:tcPr>
            <w:tcW w:w="4012" w:type="dxa"/>
          </w:tcPr>
          <w:p w14:paraId="577D23D6" w14:textId="7384CD01" w:rsidR="003D4632" w:rsidRPr="00584031" w:rsidRDefault="00584031" w:rsidP="003D4632">
            <w:pPr>
              <w:jc w:val="both"/>
              <w:rPr>
                <w:b/>
                <w:bCs/>
              </w:rPr>
            </w:pPr>
            <w:r w:rsidRPr="00584031">
              <w:rPr>
                <w:b/>
                <w:bCs/>
              </w:rPr>
              <w:t>Please kindly note that the extension has been granted and the new closing date is 22 May 2025 at 10h00</w:t>
            </w:r>
          </w:p>
          <w:p w14:paraId="0809CD02" w14:textId="61DB3AAD" w:rsidR="00694129" w:rsidRDefault="00694129" w:rsidP="00BB23E2">
            <w:pPr>
              <w:jc w:val="both"/>
            </w:pPr>
          </w:p>
          <w:p w14:paraId="5ECF6F6B" w14:textId="77777777" w:rsidR="001F146D" w:rsidRDefault="001F146D" w:rsidP="00BB23E2">
            <w:pPr>
              <w:jc w:val="both"/>
            </w:pPr>
          </w:p>
          <w:p w14:paraId="28A6AEE4" w14:textId="77777777" w:rsidR="001F146D" w:rsidRDefault="001F146D" w:rsidP="00BB23E2">
            <w:pPr>
              <w:jc w:val="both"/>
            </w:pPr>
          </w:p>
          <w:p w14:paraId="3C75F9DA" w14:textId="77777777" w:rsidR="001F146D" w:rsidRDefault="001F146D" w:rsidP="00BB23E2">
            <w:pPr>
              <w:jc w:val="both"/>
            </w:pPr>
          </w:p>
          <w:p w14:paraId="142A0430" w14:textId="77777777" w:rsidR="001F146D" w:rsidRDefault="001F146D" w:rsidP="00BB23E2">
            <w:pPr>
              <w:jc w:val="both"/>
            </w:pPr>
          </w:p>
          <w:p w14:paraId="3B389A6C" w14:textId="77777777" w:rsidR="001F146D" w:rsidRDefault="001F146D" w:rsidP="00BB23E2">
            <w:pPr>
              <w:jc w:val="both"/>
            </w:pPr>
          </w:p>
          <w:p w14:paraId="0BAD8169" w14:textId="77777777" w:rsidR="00584031" w:rsidRDefault="00584031" w:rsidP="00BB23E2">
            <w:pPr>
              <w:jc w:val="both"/>
            </w:pPr>
          </w:p>
          <w:p w14:paraId="71C76893" w14:textId="77777777" w:rsidR="001F146D" w:rsidRDefault="001F146D" w:rsidP="00BB23E2">
            <w:pPr>
              <w:jc w:val="both"/>
            </w:pPr>
          </w:p>
          <w:p w14:paraId="7C22F964" w14:textId="77191618" w:rsidR="001F146D" w:rsidRPr="001F146D" w:rsidRDefault="001F146D" w:rsidP="001F146D">
            <w:pPr>
              <w:jc w:val="both"/>
            </w:pPr>
            <w:r w:rsidRPr="001F146D">
              <w:t xml:space="preserve">The submission of application is not sufficient. </w:t>
            </w:r>
            <w:r>
              <w:t>Submitting a valid FSCA (Financial Sector Conduct Authority</w:t>
            </w:r>
            <w:r w:rsidR="00AC6853">
              <w:t xml:space="preserve">) certificate </w:t>
            </w:r>
            <w:r>
              <w:t xml:space="preserve">is a mandatory requirement. As per </w:t>
            </w:r>
            <w:r w:rsidRPr="001F146D">
              <w:t xml:space="preserve">Invitation </w:t>
            </w:r>
            <w:proofErr w:type="gramStart"/>
            <w:r w:rsidRPr="001F146D">
              <w:t>To</w:t>
            </w:r>
            <w:proofErr w:type="gramEnd"/>
            <w:r w:rsidRPr="001F146D">
              <w:t xml:space="preserve"> Tender document </w:t>
            </w:r>
            <w:r w:rsidRPr="001F146D">
              <w:lastRenderedPageBreak/>
              <w:t xml:space="preserve">failure to submit this document at Tender closing is </w:t>
            </w:r>
            <w:r w:rsidRPr="001F146D">
              <w:rPr>
                <w:b/>
                <w:bCs/>
              </w:rPr>
              <w:t xml:space="preserve">disqualifiable </w:t>
            </w:r>
          </w:p>
          <w:p w14:paraId="24EF1A2C" w14:textId="42ACDD51" w:rsidR="001F146D" w:rsidRPr="001F146D" w:rsidRDefault="001F146D" w:rsidP="001F146D">
            <w:pPr>
              <w:jc w:val="both"/>
            </w:pPr>
          </w:p>
          <w:p w14:paraId="6F6E767C" w14:textId="3ADC10D2" w:rsidR="001F146D" w:rsidRPr="001F146D" w:rsidRDefault="001F146D" w:rsidP="00BB23E2">
            <w:pPr>
              <w:jc w:val="both"/>
            </w:pPr>
          </w:p>
        </w:tc>
      </w:tr>
      <w:tr w:rsidR="001F146D" w14:paraId="30609A9F" w14:textId="77777777" w:rsidTr="00584031">
        <w:tc>
          <w:tcPr>
            <w:tcW w:w="452" w:type="dxa"/>
          </w:tcPr>
          <w:p w14:paraId="15FA7BE6" w14:textId="0FD9FDCF" w:rsidR="001F146D" w:rsidRDefault="00F527E1" w:rsidP="00694129">
            <w:pPr>
              <w:jc w:val="both"/>
              <w:rPr>
                <w:lang w:val="en-US"/>
              </w:rPr>
            </w:pPr>
            <w:r>
              <w:rPr>
                <w:lang w:val="en-US"/>
              </w:rPr>
              <w:lastRenderedPageBreak/>
              <w:t>6</w:t>
            </w:r>
          </w:p>
        </w:tc>
        <w:tc>
          <w:tcPr>
            <w:tcW w:w="5454" w:type="dxa"/>
          </w:tcPr>
          <w:p w14:paraId="79F6DA53" w14:textId="0F40FAD2" w:rsidR="001F146D" w:rsidRPr="001F146D" w:rsidRDefault="002C7167" w:rsidP="001F146D">
            <w:pPr>
              <w:jc w:val="both"/>
              <w:rPr>
                <w:lang w:val="en-US"/>
              </w:rPr>
            </w:pPr>
            <w:r>
              <w:rPr>
                <w:lang w:val="en-US"/>
              </w:rPr>
              <w:t>P</w:t>
            </w:r>
            <w:r w:rsidR="001F146D" w:rsidRPr="001F146D">
              <w:rPr>
                <w:lang w:val="en-US"/>
              </w:rPr>
              <w:t>lease advise if we must send the ACKNOWLEDGEMENT FORM – E-TENDERING TRAINING before submission or with our submission?</w:t>
            </w:r>
          </w:p>
          <w:p w14:paraId="0E229FE3" w14:textId="77777777" w:rsidR="001F146D" w:rsidRPr="001F146D" w:rsidRDefault="001F146D" w:rsidP="001F146D">
            <w:pPr>
              <w:jc w:val="both"/>
              <w:rPr>
                <w:lang w:val="en-US"/>
              </w:rPr>
            </w:pPr>
          </w:p>
          <w:p w14:paraId="456FED96" w14:textId="77777777" w:rsidR="001F146D" w:rsidRPr="00804731" w:rsidRDefault="001F146D" w:rsidP="00694129">
            <w:pPr>
              <w:jc w:val="both"/>
              <w:rPr>
                <w:lang w:val="en-US"/>
              </w:rPr>
            </w:pPr>
          </w:p>
        </w:tc>
        <w:tc>
          <w:tcPr>
            <w:tcW w:w="4012" w:type="dxa"/>
          </w:tcPr>
          <w:p w14:paraId="71FA74D2" w14:textId="525D4E11" w:rsidR="001F146D" w:rsidRDefault="002C7167" w:rsidP="00BB23E2">
            <w:pPr>
              <w:jc w:val="both"/>
            </w:pPr>
            <w:r w:rsidRPr="001F146D">
              <w:rPr>
                <w:lang w:val="en-US"/>
              </w:rPr>
              <w:t xml:space="preserve">ACKNOWLEDGEMENT FORM – E-TENDERING TRAINING </w:t>
            </w:r>
            <w:r w:rsidR="00A743EE">
              <w:rPr>
                <w:lang w:val="en-US"/>
              </w:rPr>
              <w:t>must be submitted at tender</w:t>
            </w:r>
            <w:r w:rsidRPr="001F146D">
              <w:rPr>
                <w:lang w:val="en-US"/>
              </w:rPr>
              <w:t xml:space="preserve"> submission</w:t>
            </w:r>
          </w:p>
        </w:tc>
      </w:tr>
      <w:tr w:rsidR="00F527E1" w14:paraId="504AA436" w14:textId="77777777" w:rsidTr="00584031">
        <w:tc>
          <w:tcPr>
            <w:tcW w:w="452" w:type="dxa"/>
          </w:tcPr>
          <w:p w14:paraId="37DD3D30" w14:textId="279787A5" w:rsidR="00F527E1" w:rsidRDefault="00F527E1" w:rsidP="00694129">
            <w:pPr>
              <w:jc w:val="both"/>
              <w:rPr>
                <w:lang w:val="en-US"/>
              </w:rPr>
            </w:pPr>
            <w:r>
              <w:rPr>
                <w:lang w:val="en-US"/>
              </w:rPr>
              <w:t>7</w:t>
            </w:r>
          </w:p>
        </w:tc>
        <w:tc>
          <w:tcPr>
            <w:tcW w:w="5454" w:type="dxa"/>
          </w:tcPr>
          <w:p w14:paraId="7E8A7E61" w14:textId="77777777" w:rsidR="00F527E1" w:rsidRDefault="00F527E1" w:rsidP="00F527E1">
            <w:pPr>
              <w:jc w:val="both"/>
            </w:pPr>
            <w:r w:rsidRPr="00112B98">
              <w:t>What is the monthly Fuel, Oil and Toll expenditure?</w:t>
            </w:r>
          </w:p>
          <w:p w14:paraId="3D813121" w14:textId="77777777" w:rsidR="00F527E1" w:rsidRPr="00F527E1" w:rsidRDefault="00F527E1" w:rsidP="001F146D">
            <w:pPr>
              <w:jc w:val="both"/>
            </w:pPr>
          </w:p>
        </w:tc>
        <w:tc>
          <w:tcPr>
            <w:tcW w:w="4012" w:type="dxa"/>
          </w:tcPr>
          <w:p w14:paraId="20469EE6" w14:textId="0D542560" w:rsidR="00F527E1" w:rsidRPr="00F527E1" w:rsidRDefault="00F527E1" w:rsidP="00BB23E2">
            <w:pPr>
              <w:jc w:val="both"/>
            </w:pPr>
            <w:r>
              <w:t>T</w:t>
            </w:r>
            <w:r w:rsidRPr="00BB23E2">
              <w:t>here is no specific amount</w:t>
            </w:r>
            <w:r>
              <w:t>.</w:t>
            </w:r>
            <w:r w:rsidRPr="00BB23E2">
              <w:t xml:space="preserve"> However, the system should include adequate security measures to prevent any potential misuse</w:t>
            </w:r>
          </w:p>
        </w:tc>
      </w:tr>
      <w:tr w:rsidR="00F527E1" w14:paraId="77CA41CC" w14:textId="77777777" w:rsidTr="00584031">
        <w:tc>
          <w:tcPr>
            <w:tcW w:w="452" w:type="dxa"/>
          </w:tcPr>
          <w:p w14:paraId="10519705" w14:textId="545AD1CD" w:rsidR="00F527E1" w:rsidRDefault="00A743EE" w:rsidP="00694129">
            <w:pPr>
              <w:jc w:val="both"/>
              <w:rPr>
                <w:lang w:val="en-US"/>
              </w:rPr>
            </w:pPr>
            <w:r>
              <w:rPr>
                <w:lang w:val="en-US"/>
              </w:rPr>
              <w:t>8</w:t>
            </w:r>
          </w:p>
        </w:tc>
        <w:tc>
          <w:tcPr>
            <w:tcW w:w="5454" w:type="dxa"/>
          </w:tcPr>
          <w:p w14:paraId="6B052688" w14:textId="77777777" w:rsidR="00F527E1" w:rsidRDefault="00F527E1" w:rsidP="00F527E1">
            <w:pPr>
              <w:jc w:val="both"/>
            </w:pPr>
            <w:r w:rsidRPr="00112B98">
              <w:t xml:space="preserve">How many homebase sites does Eskom have? </w:t>
            </w:r>
          </w:p>
          <w:p w14:paraId="251B5E07" w14:textId="77777777" w:rsidR="00F527E1" w:rsidRPr="00112B98" w:rsidRDefault="00F527E1" w:rsidP="00F527E1">
            <w:pPr>
              <w:jc w:val="both"/>
            </w:pPr>
          </w:p>
        </w:tc>
        <w:tc>
          <w:tcPr>
            <w:tcW w:w="4012" w:type="dxa"/>
          </w:tcPr>
          <w:p w14:paraId="74DE400D" w14:textId="77777777" w:rsidR="00F527E1" w:rsidRDefault="00F527E1" w:rsidP="00F527E1">
            <w:pPr>
              <w:jc w:val="both"/>
              <w:rPr>
                <w:lang w:val="en-US"/>
              </w:rPr>
            </w:pPr>
            <w:r>
              <w:rPr>
                <w:lang w:val="en-US"/>
              </w:rPr>
              <w:t xml:space="preserve">Eskom Generation has about 6 Power Stations with onsite filling stations. The Tenderer’s system is expected to allow for manual data capturing for the filling stations. </w:t>
            </w:r>
          </w:p>
          <w:p w14:paraId="25F309C3" w14:textId="77777777" w:rsidR="00F527E1" w:rsidRPr="00F527E1" w:rsidRDefault="00F527E1" w:rsidP="00BB23E2">
            <w:pPr>
              <w:jc w:val="both"/>
              <w:rPr>
                <w:lang w:val="en-US"/>
              </w:rPr>
            </w:pPr>
          </w:p>
        </w:tc>
      </w:tr>
      <w:tr w:rsidR="00F527E1" w14:paraId="538EF287" w14:textId="77777777" w:rsidTr="00584031">
        <w:tc>
          <w:tcPr>
            <w:tcW w:w="452" w:type="dxa"/>
          </w:tcPr>
          <w:p w14:paraId="074082AB" w14:textId="3B2F944B" w:rsidR="00F527E1" w:rsidRDefault="00A743EE" w:rsidP="00694129">
            <w:pPr>
              <w:jc w:val="both"/>
              <w:rPr>
                <w:lang w:val="en-US"/>
              </w:rPr>
            </w:pPr>
            <w:r>
              <w:rPr>
                <w:lang w:val="en-US"/>
              </w:rPr>
              <w:t>9</w:t>
            </w:r>
          </w:p>
        </w:tc>
        <w:tc>
          <w:tcPr>
            <w:tcW w:w="5454" w:type="dxa"/>
          </w:tcPr>
          <w:p w14:paraId="22B9DAC2" w14:textId="77777777" w:rsidR="00F527E1" w:rsidRDefault="00F527E1" w:rsidP="00F527E1">
            <w:pPr>
              <w:jc w:val="both"/>
            </w:pPr>
            <w:r w:rsidRPr="00112B98">
              <w:t>And does Eskom require a fuel solution for these sites as well?</w:t>
            </w:r>
          </w:p>
          <w:p w14:paraId="50E182F5" w14:textId="77777777" w:rsidR="00F527E1" w:rsidRPr="00112B98" w:rsidRDefault="00F527E1" w:rsidP="00F527E1">
            <w:pPr>
              <w:jc w:val="both"/>
            </w:pPr>
          </w:p>
        </w:tc>
        <w:tc>
          <w:tcPr>
            <w:tcW w:w="4012" w:type="dxa"/>
          </w:tcPr>
          <w:p w14:paraId="12DCE116" w14:textId="77777777" w:rsidR="00F527E1" w:rsidRDefault="00F527E1" w:rsidP="00F527E1">
            <w:pPr>
              <w:jc w:val="both"/>
              <w:rPr>
                <w:lang w:val="en-US"/>
              </w:rPr>
            </w:pPr>
            <w:r>
              <w:rPr>
                <w:lang w:val="en-US"/>
              </w:rPr>
              <w:t>No fuel solution required</w:t>
            </w:r>
          </w:p>
          <w:p w14:paraId="7669CA9D" w14:textId="77777777" w:rsidR="00F527E1" w:rsidRDefault="00F527E1" w:rsidP="00F527E1">
            <w:pPr>
              <w:jc w:val="both"/>
              <w:rPr>
                <w:lang w:val="en-US"/>
              </w:rPr>
            </w:pPr>
          </w:p>
        </w:tc>
      </w:tr>
      <w:tr w:rsidR="00A743EE" w14:paraId="561950F5" w14:textId="77777777" w:rsidTr="00584031">
        <w:tc>
          <w:tcPr>
            <w:tcW w:w="452" w:type="dxa"/>
          </w:tcPr>
          <w:p w14:paraId="33338916" w14:textId="08D16413" w:rsidR="00A743EE" w:rsidRDefault="00A743EE" w:rsidP="00694129">
            <w:pPr>
              <w:jc w:val="both"/>
              <w:rPr>
                <w:lang w:val="en-US"/>
              </w:rPr>
            </w:pPr>
            <w:r>
              <w:rPr>
                <w:lang w:val="en-US"/>
              </w:rPr>
              <w:t>10</w:t>
            </w:r>
          </w:p>
        </w:tc>
        <w:tc>
          <w:tcPr>
            <w:tcW w:w="5454" w:type="dxa"/>
          </w:tcPr>
          <w:p w14:paraId="503C5EA0" w14:textId="77777777" w:rsidR="00A743EE" w:rsidRDefault="00A743EE" w:rsidP="00A743EE">
            <w:pPr>
              <w:jc w:val="both"/>
            </w:pPr>
            <w:r w:rsidRPr="00112B98">
              <w:t>Number of litres of Petrol and Diesel per month?</w:t>
            </w:r>
          </w:p>
          <w:p w14:paraId="5B1ECCC9" w14:textId="77777777" w:rsidR="00A743EE" w:rsidRPr="00112B98" w:rsidRDefault="00A743EE" w:rsidP="00F527E1">
            <w:pPr>
              <w:jc w:val="both"/>
            </w:pPr>
          </w:p>
        </w:tc>
        <w:tc>
          <w:tcPr>
            <w:tcW w:w="4012" w:type="dxa"/>
          </w:tcPr>
          <w:p w14:paraId="75C8B7BA" w14:textId="77777777" w:rsidR="00A743EE" w:rsidRDefault="00A743EE" w:rsidP="00A743EE">
            <w:pPr>
              <w:jc w:val="both"/>
              <w:rPr>
                <w:lang w:val="en-US"/>
              </w:rPr>
            </w:pPr>
            <w:r>
              <w:rPr>
                <w:lang w:val="en-US"/>
              </w:rPr>
              <w:t>Refer to response indicated on Clarification Question 2</w:t>
            </w:r>
          </w:p>
          <w:p w14:paraId="47A312E9" w14:textId="77777777" w:rsidR="00A743EE" w:rsidRDefault="00A743EE" w:rsidP="00F527E1">
            <w:pPr>
              <w:jc w:val="both"/>
              <w:rPr>
                <w:lang w:val="en-US"/>
              </w:rPr>
            </w:pPr>
          </w:p>
        </w:tc>
      </w:tr>
      <w:tr w:rsidR="00112B98" w14:paraId="1D142F79" w14:textId="77777777" w:rsidTr="00584031">
        <w:tc>
          <w:tcPr>
            <w:tcW w:w="452" w:type="dxa"/>
          </w:tcPr>
          <w:p w14:paraId="3D8C0B75" w14:textId="603FFE54" w:rsidR="00112B98" w:rsidRDefault="00A743EE" w:rsidP="00694129">
            <w:pPr>
              <w:jc w:val="both"/>
              <w:rPr>
                <w:lang w:val="en-US"/>
              </w:rPr>
            </w:pPr>
            <w:r>
              <w:rPr>
                <w:lang w:val="en-US"/>
              </w:rPr>
              <w:t>11</w:t>
            </w:r>
          </w:p>
        </w:tc>
        <w:tc>
          <w:tcPr>
            <w:tcW w:w="5454" w:type="dxa"/>
          </w:tcPr>
          <w:p w14:paraId="2716EBDF" w14:textId="77777777" w:rsidR="00112B98" w:rsidRPr="00112B98" w:rsidRDefault="00112B98" w:rsidP="00112B98">
            <w:pPr>
              <w:jc w:val="both"/>
            </w:pPr>
            <w:r w:rsidRPr="00112B98">
              <w:t>A possibility of having the closing date of the 14 May 2025 extended please, with all the public holidays majority of our stakeholders were off on leave.</w:t>
            </w:r>
          </w:p>
          <w:p w14:paraId="35639C0F" w14:textId="77777777" w:rsidR="00112B98" w:rsidRPr="00112B98" w:rsidRDefault="00112B98" w:rsidP="00112B98">
            <w:pPr>
              <w:jc w:val="both"/>
            </w:pPr>
          </w:p>
          <w:p w14:paraId="40A063BE" w14:textId="77777777" w:rsidR="00112B98" w:rsidRPr="00112B98" w:rsidRDefault="00112B98" w:rsidP="001F146D">
            <w:pPr>
              <w:jc w:val="both"/>
            </w:pPr>
          </w:p>
        </w:tc>
        <w:tc>
          <w:tcPr>
            <w:tcW w:w="4012" w:type="dxa"/>
          </w:tcPr>
          <w:p w14:paraId="310127A0" w14:textId="77777777" w:rsidR="00584031" w:rsidRPr="00584031" w:rsidRDefault="00584031" w:rsidP="00584031">
            <w:pPr>
              <w:jc w:val="both"/>
              <w:rPr>
                <w:b/>
                <w:bCs/>
              </w:rPr>
            </w:pPr>
            <w:r w:rsidRPr="00584031">
              <w:rPr>
                <w:b/>
                <w:bCs/>
              </w:rPr>
              <w:t>Please kindly note that the extension has been granted and the new closing date is 22 May 2025 at 10h00</w:t>
            </w:r>
          </w:p>
          <w:p w14:paraId="641F3A80" w14:textId="214EC6D7" w:rsidR="00112B98" w:rsidRPr="003D4632" w:rsidRDefault="00112B98" w:rsidP="00BB23E2">
            <w:pPr>
              <w:jc w:val="both"/>
            </w:pPr>
          </w:p>
        </w:tc>
      </w:tr>
      <w:tr w:rsidR="00584031" w14:paraId="14128C61" w14:textId="77777777" w:rsidTr="00584031">
        <w:tc>
          <w:tcPr>
            <w:tcW w:w="452" w:type="dxa"/>
          </w:tcPr>
          <w:p w14:paraId="0A2F59B0" w14:textId="65D2C24F" w:rsidR="00584031" w:rsidRDefault="00584031" w:rsidP="00694129">
            <w:pPr>
              <w:jc w:val="both"/>
              <w:rPr>
                <w:lang w:val="en-US"/>
              </w:rPr>
            </w:pPr>
            <w:r>
              <w:rPr>
                <w:lang w:val="en-US"/>
              </w:rPr>
              <w:t>12</w:t>
            </w:r>
          </w:p>
        </w:tc>
        <w:tc>
          <w:tcPr>
            <w:tcW w:w="5454" w:type="dxa"/>
          </w:tcPr>
          <w:p w14:paraId="559078AC" w14:textId="3E4B086A" w:rsidR="00584031" w:rsidRPr="00112B98" w:rsidRDefault="00584031" w:rsidP="00112B98">
            <w:pPr>
              <w:jc w:val="both"/>
            </w:pPr>
            <w:r>
              <w:t>CPA</w:t>
            </w:r>
          </w:p>
        </w:tc>
        <w:tc>
          <w:tcPr>
            <w:tcW w:w="4012" w:type="dxa"/>
          </w:tcPr>
          <w:p w14:paraId="316D15B8" w14:textId="77777777" w:rsidR="00584031" w:rsidRPr="00584031" w:rsidRDefault="00584031" w:rsidP="00584031">
            <w:pPr>
              <w:jc w:val="both"/>
            </w:pPr>
            <w:r w:rsidRPr="00584031">
              <w:t>Please be advised that failure to propose the 85% Cost Price Adjustment (CPA) formula will not disqualify the tenderer. However, Eskom will not permit the supplier to introduce CPA at a later stage. In such cases, the submitted prices will be considered fixed and firm for the entire duration of the contract. Eskom has stipulated that 15% of the formula will remain fixed. It is therefore essential to understand the significant implications of not providing a detailed breakdown of the 85% using applicable indices. In summary, if the tender submission is silent on the CPA, no annual escalation will be applied</w:t>
            </w:r>
          </w:p>
          <w:p w14:paraId="40E6EF0A" w14:textId="77777777" w:rsidR="00584031" w:rsidRPr="00584031" w:rsidRDefault="00584031" w:rsidP="00584031">
            <w:pPr>
              <w:jc w:val="both"/>
            </w:pPr>
            <w:r w:rsidRPr="00584031">
              <w:t xml:space="preserve">Should you wish to propose alternative indices to those specified by Eskom, you are required to do so prior to the tender closing date and must be submitted as part of your tender response. Please </w:t>
            </w:r>
            <w:r w:rsidRPr="00584031">
              <w:lastRenderedPageBreak/>
              <w:t xml:space="preserve">note that, in the absence of any proposed alternatives by the closing date, Eskom will proceed on the basis that you have accepted the indices referenced and agreed to by signing on page [xx] </w:t>
            </w:r>
            <w:proofErr w:type="gramStart"/>
            <w:r w:rsidRPr="00584031">
              <w:t>( Bongiwe</w:t>
            </w:r>
            <w:proofErr w:type="gramEnd"/>
            <w:r w:rsidRPr="00584031">
              <w:t xml:space="preserve"> please add the page, it is in the invitation to tender)</w:t>
            </w:r>
          </w:p>
          <w:p w14:paraId="2272401E" w14:textId="77777777" w:rsidR="00584031" w:rsidRPr="00584031" w:rsidRDefault="00584031" w:rsidP="003D4632">
            <w:pPr>
              <w:jc w:val="both"/>
            </w:pPr>
          </w:p>
        </w:tc>
      </w:tr>
    </w:tbl>
    <w:p w14:paraId="28E910F6" w14:textId="77777777" w:rsidR="00BB23E2" w:rsidRDefault="00BB23E2" w:rsidP="00056CD5">
      <w:pPr>
        <w:jc w:val="both"/>
        <w:rPr>
          <w:lang w:val="en-US"/>
        </w:rPr>
      </w:pPr>
    </w:p>
    <w:p w14:paraId="0622E913" w14:textId="77777777" w:rsidR="00BB23E2" w:rsidRDefault="00BB23E2" w:rsidP="00056CD5">
      <w:pPr>
        <w:jc w:val="both"/>
        <w:rPr>
          <w:lang w:val="en-US"/>
        </w:rPr>
      </w:pPr>
    </w:p>
    <w:p w14:paraId="355C059E" w14:textId="77777777" w:rsidR="00BB23E2" w:rsidRDefault="00BB23E2" w:rsidP="00BB23E2">
      <w:pPr>
        <w:jc w:val="both"/>
      </w:pPr>
    </w:p>
    <w:p w14:paraId="6432B8CE" w14:textId="77777777" w:rsidR="00EF0781" w:rsidRPr="00EF0781" w:rsidRDefault="00EF0781" w:rsidP="00EF0781">
      <w:pPr>
        <w:ind w:left="1440" w:hanging="1440"/>
        <w:rPr>
          <w:rFonts w:ascii="Arial" w:hAnsi="Arial" w:cs="Arial"/>
          <w:lang w:val="en-GB"/>
        </w:rPr>
      </w:pPr>
    </w:p>
    <w:p w14:paraId="21AC11BE" w14:textId="77777777" w:rsidR="00056CD5" w:rsidRPr="00EF0781" w:rsidRDefault="00056CD5" w:rsidP="00056CD5">
      <w:pPr>
        <w:ind w:left="1440" w:hanging="1440"/>
        <w:rPr>
          <w:rFonts w:ascii="Arial" w:hAnsi="Arial" w:cs="Arial"/>
        </w:rPr>
      </w:pPr>
    </w:p>
    <w:p w14:paraId="0C0BE365" w14:textId="09FA978B" w:rsidR="00056CD5" w:rsidRPr="00EF0781" w:rsidRDefault="00056CD5" w:rsidP="00056CD5">
      <w:pPr>
        <w:rPr>
          <w:rFonts w:ascii="Arial" w:hAnsi="Arial" w:cs="Arial"/>
        </w:rPr>
      </w:pPr>
    </w:p>
    <w:p w14:paraId="6352589C" w14:textId="77777777" w:rsidR="00056CD5" w:rsidRPr="00EF0781" w:rsidRDefault="00056CD5" w:rsidP="00056CD5">
      <w:pPr>
        <w:rPr>
          <w:rFonts w:ascii="Arial" w:hAnsi="Arial" w:cs="Arial"/>
        </w:rPr>
      </w:pPr>
    </w:p>
    <w:p w14:paraId="44C8A732" w14:textId="18FA06CC" w:rsidR="00D0581A" w:rsidRPr="00EF0781" w:rsidRDefault="00D0581A" w:rsidP="00D0581A">
      <w:pPr>
        <w:pStyle w:val="ListParagraph"/>
        <w:ind w:left="360"/>
        <w:rPr>
          <w:rFonts w:ascii="Arial" w:hAnsi="Arial" w:cs="Arial"/>
        </w:rPr>
      </w:pPr>
    </w:p>
    <w:p w14:paraId="2F4E8898" w14:textId="22163F91" w:rsidR="009C09B8" w:rsidRPr="00EF0781" w:rsidRDefault="009C09B8" w:rsidP="009C09B8">
      <w:pPr>
        <w:rPr>
          <w:rFonts w:ascii="Arial" w:hAnsi="Arial" w:cs="Arial"/>
        </w:rPr>
      </w:pPr>
      <w:r w:rsidRPr="00EF0781">
        <w:rPr>
          <w:rFonts w:ascii="Arial" w:hAnsi="Arial" w:cs="Arial"/>
        </w:rPr>
        <w:t xml:space="preserve">  </w:t>
      </w:r>
    </w:p>
    <w:p w14:paraId="1233A070" w14:textId="77777777" w:rsidR="009C09B8" w:rsidRPr="00EF0781" w:rsidRDefault="009C09B8">
      <w:pPr>
        <w:rPr>
          <w:rFonts w:ascii="Arial" w:hAnsi="Arial" w:cs="Arial"/>
          <w:b/>
          <w:bCs/>
        </w:rPr>
      </w:pPr>
    </w:p>
    <w:sectPr w:rsidR="009C09B8" w:rsidRPr="00EF0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0176"/>
    <w:multiLevelType w:val="hybridMultilevel"/>
    <w:tmpl w:val="1374AE2A"/>
    <w:lvl w:ilvl="0" w:tplc="FAA093BC">
      <w:start w:val="1"/>
      <w:numFmt w:val="decimal"/>
      <w:lvlText w:val="%1."/>
      <w:lvlJc w:val="left"/>
      <w:pPr>
        <w:ind w:left="720" w:hanging="360"/>
      </w:pPr>
      <w:rPr>
        <w:color w:val="00000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07102870"/>
    <w:multiLevelType w:val="hybridMultilevel"/>
    <w:tmpl w:val="1E4815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F927B3"/>
    <w:multiLevelType w:val="hybridMultilevel"/>
    <w:tmpl w:val="67EC23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3A480D38"/>
    <w:multiLevelType w:val="hybridMultilevel"/>
    <w:tmpl w:val="B3ECD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C493EDC"/>
    <w:multiLevelType w:val="hybridMultilevel"/>
    <w:tmpl w:val="3934E2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0465865"/>
    <w:multiLevelType w:val="hybridMultilevel"/>
    <w:tmpl w:val="B4C0A55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6" w15:restartNumberingAfterBreak="0">
    <w:nsid w:val="553D4B23"/>
    <w:multiLevelType w:val="hybridMultilevel"/>
    <w:tmpl w:val="08BC5B8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704E53"/>
    <w:multiLevelType w:val="hybridMultilevel"/>
    <w:tmpl w:val="22D6E96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8" w15:restartNumberingAfterBreak="0">
    <w:nsid w:val="5FE05036"/>
    <w:multiLevelType w:val="multilevel"/>
    <w:tmpl w:val="E976E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11C1559"/>
    <w:multiLevelType w:val="hybridMultilevel"/>
    <w:tmpl w:val="857E9D04"/>
    <w:lvl w:ilvl="0" w:tplc="EBEC7DB4">
      <w:start w:val="1"/>
      <w:numFmt w:val="bullet"/>
      <w:lvlText w:val=""/>
      <w:lvlJc w:val="left"/>
      <w:pPr>
        <w:ind w:left="720" w:hanging="360"/>
      </w:pPr>
      <w:rPr>
        <w:rFonts w:ascii="Symbol" w:hAnsi="Symbol" w:hint="default"/>
        <w:color w:val="156082" w:themeColor="accent1"/>
        <w:sz w:val="18"/>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17251547">
    <w:abstractNumId w:val="2"/>
  </w:num>
  <w:num w:numId="2" w16cid:durableId="1307782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252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7174796">
    <w:abstractNumId w:val="9"/>
  </w:num>
  <w:num w:numId="5" w16cid:durableId="1361128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6371293">
    <w:abstractNumId w:val="5"/>
  </w:num>
  <w:num w:numId="7" w16cid:durableId="1579750509">
    <w:abstractNumId w:val="7"/>
  </w:num>
  <w:num w:numId="8" w16cid:durableId="1223326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860027">
    <w:abstractNumId w:val="3"/>
  </w:num>
  <w:num w:numId="10" w16cid:durableId="1709522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B8"/>
    <w:rsid w:val="000026B0"/>
    <w:rsid w:val="00056CD5"/>
    <w:rsid w:val="00083041"/>
    <w:rsid w:val="000A4DF4"/>
    <w:rsid w:val="000B301A"/>
    <w:rsid w:val="000F37C1"/>
    <w:rsid w:val="00112B98"/>
    <w:rsid w:val="00123E81"/>
    <w:rsid w:val="001F146D"/>
    <w:rsid w:val="002C7167"/>
    <w:rsid w:val="00305F86"/>
    <w:rsid w:val="003D4632"/>
    <w:rsid w:val="003E4B90"/>
    <w:rsid w:val="00584031"/>
    <w:rsid w:val="00694129"/>
    <w:rsid w:val="006D643D"/>
    <w:rsid w:val="006F51D5"/>
    <w:rsid w:val="00724BAF"/>
    <w:rsid w:val="00804731"/>
    <w:rsid w:val="008052E8"/>
    <w:rsid w:val="00862176"/>
    <w:rsid w:val="008623B5"/>
    <w:rsid w:val="00886407"/>
    <w:rsid w:val="00924AF1"/>
    <w:rsid w:val="009C09B8"/>
    <w:rsid w:val="00A55F14"/>
    <w:rsid w:val="00A743EE"/>
    <w:rsid w:val="00AC6853"/>
    <w:rsid w:val="00B01C11"/>
    <w:rsid w:val="00BB23E2"/>
    <w:rsid w:val="00D0581A"/>
    <w:rsid w:val="00D65693"/>
    <w:rsid w:val="00E168DF"/>
    <w:rsid w:val="00E767FE"/>
    <w:rsid w:val="00EF0781"/>
    <w:rsid w:val="00F12AC3"/>
    <w:rsid w:val="00F527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C3D62"/>
  <w15:chartTrackingRefBased/>
  <w15:docId w15:val="{D3BB4965-11CD-456E-83C5-B7C7A03D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031"/>
  </w:style>
  <w:style w:type="paragraph" w:styleId="Heading1">
    <w:name w:val="heading 1"/>
    <w:basedOn w:val="Normal"/>
    <w:next w:val="Normal"/>
    <w:link w:val="Heading1Char"/>
    <w:uiPriority w:val="9"/>
    <w:qFormat/>
    <w:rsid w:val="009C0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9B8"/>
    <w:rPr>
      <w:rFonts w:eastAsiaTheme="majorEastAsia" w:cstheme="majorBidi"/>
      <w:color w:val="272727" w:themeColor="text1" w:themeTint="D8"/>
    </w:rPr>
  </w:style>
  <w:style w:type="paragraph" w:styleId="Title">
    <w:name w:val="Title"/>
    <w:basedOn w:val="Normal"/>
    <w:next w:val="Normal"/>
    <w:link w:val="TitleChar"/>
    <w:uiPriority w:val="10"/>
    <w:qFormat/>
    <w:rsid w:val="009C0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9B8"/>
    <w:pPr>
      <w:spacing w:before="160"/>
      <w:jc w:val="center"/>
    </w:pPr>
    <w:rPr>
      <w:i/>
      <w:iCs/>
      <w:color w:val="404040" w:themeColor="text1" w:themeTint="BF"/>
    </w:rPr>
  </w:style>
  <w:style w:type="character" w:customStyle="1" w:styleId="QuoteChar">
    <w:name w:val="Quote Char"/>
    <w:basedOn w:val="DefaultParagraphFont"/>
    <w:link w:val="Quote"/>
    <w:uiPriority w:val="29"/>
    <w:rsid w:val="009C09B8"/>
    <w:rPr>
      <w:i/>
      <w:iCs/>
      <w:color w:val="404040" w:themeColor="text1" w:themeTint="BF"/>
    </w:rPr>
  </w:style>
  <w:style w:type="paragraph" w:styleId="ListParagraph">
    <w:name w:val="List Paragraph"/>
    <w:basedOn w:val="Normal"/>
    <w:uiPriority w:val="34"/>
    <w:qFormat/>
    <w:rsid w:val="009C09B8"/>
    <w:pPr>
      <w:ind w:left="720"/>
      <w:contextualSpacing/>
    </w:pPr>
  </w:style>
  <w:style w:type="character" w:styleId="IntenseEmphasis">
    <w:name w:val="Intense Emphasis"/>
    <w:basedOn w:val="DefaultParagraphFont"/>
    <w:uiPriority w:val="21"/>
    <w:qFormat/>
    <w:rsid w:val="009C09B8"/>
    <w:rPr>
      <w:i/>
      <w:iCs/>
      <w:color w:val="0F4761" w:themeColor="accent1" w:themeShade="BF"/>
    </w:rPr>
  </w:style>
  <w:style w:type="paragraph" w:styleId="IntenseQuote">
    <w:name w:val="Intense Quote"/>
    <w:basedOn w:val="Normal"/>
    <w:next w:val="Normal"/>
    <w:link w:val="IntenseQuoteChar"/>
    <w:uiPriority w:val="30"/>
    <w:qFormat/>
    <w:rsid w:val="009C0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9B8"/>
    <w:rPr>
      <w:i/>
      <w:iCs/>
      <w:color w:val="0F4761" w:themeColor="accent1" w:themeShade="BF"/>
    </w:rPr>
  </w:style>
  <w:style w:type="character" w:styleId="IntenseReference">
    <w:name w:val="Intense Reference"/>
    <w:basedOn w:val="DefaultParagraphFont"/>
    <w:uiPriority w:val="32"/>
    <w:qFormat/>
    <w:rsid w:val="009C09B8"/>
    <w:rPr>
      <w:b/>
      <w:bCs/>
      <w:smallCaps/>
      <w:color w:val="0F4761" w:themeColor="accent1" w:themeShade="BF"/>
      <w:spacing w:val="5"/>
    </w:rPr>
  </w:style>
  <w:style w:type="paragraph" w:customStyle="1" w:styleId="Default">
    <w:name w:val="Default"/>
    <w:rsid w:val="00D0581A"/>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BB2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6972">
      <w:bodyDiv w:val="1"/>
      <w:marLeft w:val="0"/>
      <w:marRight w:val="0"/>
      <w:marTop w:val="0"/>
      <w:marBottom w:val="0"/>
      <w:divBdr>
        <w:top w:val="none" w:sz="0" w:space="0" w:color="auto"/>
        <w:left w:val="none" w:sz="0" w:space="0" w:color="auto"/>
        <w:bottom w:val="none" w:sz="0" w:space="0" w:color="auto"/>
        <w:right w:val="none" w:sz="0" w:space="0" w:color="auto"/>
      </w:divBdr>
    </w:div>
    <w:div w:id="22441700">
      <w:bodyDiv w:val="1"/>
      <w:marLeft w:val="0"/>
      <w:marRight w:val="0"/>
      <w:marTop w:val="0"/>
      <w:marBottom w:val="0"/>
      <w:divBdr>
        <w:top w:val="none" w:sz="0" w:space="0" w:color="auto"/>
        <w:left w:val="none" w:sz="0" w:space="0" w:color="auto"/>
        <w:bottom w:val="none" w:sz="0" w:space="0" w:color="auto"/>
        <w:right w:val="none" w:sz="0" w:space="0" w:color="auto"/>
      </w:divBdr>
    </w:div>
    <w:div w:id="25762806">
      <w:bodyDiv w:val="1"/>
      <w:marLeft w:val="0"/>
      <w:marRight w:val="0"/>
      <w:marTop w:val="0"/>
      <w:marBottom w:val="0"/>
      <w:divBdr>
        <w:top w:val="none" w:sz="0" w:space="0" w:color="auto"/>
        <w:left w:val="none" w:sz="0" w:space="0" w:color="auto"/>
        <w:bottom w:val="none" w:sz="0" w:space="0" w:color="auto"/>
        <w:right w:val="none" w:sz="0" w:space="0" w:color="auto"/>
      </w:divBdr>
    </w:div>
    <w:div w:id="74473614">
      <w:bodyDiv w:val="1"/>
      <w:marLeft w:val="0"/>
      <w:marRight w:val="0"/>
      <w:marTop w:val="0"/>
      <w:marBottom w:val="0"/>
      <w:divBdr>
        <w:top w:val="none" w:sz="0" w:space="0" w:color="auto"/>
        <w:left w:val="none" w:sz="0" w:space="0" w:color="auto"/>
        <w:bottom w:val="none" w:sz="0" w:space="0" w:color="auto"/>
        <w:right w:val="none" w:sz="0" w:space="0" w:color="auto"/>
      </w:divBdr>
    </w:div>
    <w:div w:id="106194988">
      <w:bodyDiv w:val="1"/>
      <w:marLeft w:val="0"/>
      <w:marRight w:val="0"/>
      <w:marTop w:val="0"/>
      <w:marBottom w:val="0"/>
      <w:divBdr>
        <w:top w:val="none" w:sz="0" w:space="0" w:color="auto"/>
        <w:left w:val="none" w:sz="0" w:space="0" w:color="auto"/>
        <w:bottom w:val="none" w:sz="0" w:space="0" w:color="auto"/>
        <w:right w:val="none" w:sz="0" w:space="0" w:color="auto"/>
      </w:divBdr>
    </w:div>
    <w:div w:id="111361322">
      <w:bodyDiv w:val="1"/>
      <w:marLeft w:val="0"/>
      <w:marRight w:val="0"/>
      <w:marTop w:val="0"/>
      <w:marBottom w:val="0"/>
      <w:divBdr>
        <w:top w:val="none" w:sz="0" w:space="0" w:color="auto"/>
        <w:left w:val="none" w:sz="0" w:space="0" w:color="auto"/>
        <w:bottom w:val="none" w:sz="0" w:space="0" w:color="auto"/>
        <w:right w:val="none" w:sz="0" w:space="0" w:color="auto"/>
      </w:divBdr>
    </w:div>
    <w:div w:id="124853272">
      <w:bodyDiv w:val="1"/>
      <w:marLeft w:val="0"/>
      <w:marRight w:val="0"/>
      <w:marTop w:val="0"/>
      <w:marBottom w:val="0"/>
      <w:divBdr>
        <w:top w:val="none" w:sz="0" w:space="0" w:color="auto"/>
        <w:left w:val="none" w:sz="0" w:space="0" w:color="auto"/>
        <w:bottom w:val="none" w:sz="0" w:space="0" w:color="auto"/>
        <w:right w:val="none" w:sz="0" w:space="0" w:color="auto"/>
      </w:divBdr>
    </w:div>
    <w:div w:id="212696557">
      <w:bodyDiv w:val="1"/>
      <w:marLeft w:val="0"/>
      <w:marRight w:val="0"/>
      <w:marTop w:val="0"/>
      <w:marBottom w:val="0"/>
      <w:divBdr>
        <w:top w:val="none" w:sz="0" w:space="0" w:color="auto"/>
        <w:left w:val="none" w:sz="0" w:space="0" w:color="auto"/>
        <w:bottom w:val="none" w:sz="0" w:space="0" w:color="auto"/>
        <w:right w:val="none" w:sz="0" w:space="0" w:color="auto"/>
      </w:divBdr>
    </w:div>
    <w:div w:id="306516050">
      <w:bodyDiv w:val="1"/>
      <w:marLeft w:val="0"/>
      <w:marRight w:val="0"/>
      <w:marTop w:val="0"/>
      <w:marBottom w:val="0"/>
      <w:divBdr>
        <w:top w:val="none" w:sz="0" w:space="0" w:color="auto"/>
        <w:left w:val="none" w:sz="0" w:space="0" w:color="auto"/>
        <w:bottom w:val="none" w:sz="0" w:space="0" w:color="auto"/>
        <w:right w:val="none" w:sz="0" w:space="0" w:color="auto"/>
      </w:divBdr>
    </w:div>
    <w:div w:id="532763831">
      <w:bodyDiv w:val="1"/>
      <w:marLeft w:val="0"/>
      <w:marRight w:val="0"/>
      <w:marTop w:val="0"/>
      <w:marBottom w:val="0"/>
      <w:divBdr>
        <w:top w:val="none" w:sz="0" w:space="0" w:color="auto"/>
        <w:left w:val="none" w:sz="0" w:space="0" w:color="auto"/>
        <w:bottom w:val="none" w:sz="0" w:space="0" w:color="auto"/>
        <w:right w:val="none" w:sz="0" w:space="0" w:color="auto"/>
      </w:divBdr>
    </w:div>
    <w:div w:id="809860558">
      <w:bodyDiv w:val="1"/>
      <w:marLeft w:val="0"/>
      <w:marRight w:val="0"/>
      <w:marTop w:val="0"/>
      <w:marBottom w:val="0"/>
      <w:divBdr>
        <w:top w:val="none" w:sz="0" w:space="0" w:color="auto"/>
        <w:left w:val="none" w:sz="0" w:space="0" w:color="auto"/>
        <w:bottom w:val="none" w:sz="0" w:space="0" w:color="auto"/>
        <w:right w:val="none" w:sz="0" w:space="0" w:color="auto"/>
      </w:divBdr>
    </w:div>
    <w:div w:id="980882668">
      <w:bodyDiv w:val="1"/>
      <w:marLeft w:val="0"/>
      <w:marRight w:val="0"/>
      <w:marTop w:val="0"/>
      <w:marBottom w:val="0"/>
      <w:divBdr>
        <w:top w:val="none" w:sz="0" w:space="0" w:color="auto"/>
        <w:left w:val="none" w:sz="0" w:space="0" w:color="auto"/>
        <w:bottom w:val="none" w:sz="0" w:space="0" w:color="auto"/>
        <w:right w:val="none" w:sz="0" w:space="0" w:color="auto"/>
      </w:divBdr>
    </w:div>
    <w:div w:id="1182427746">
      <w:bodyDiv w:val="1"/>
      <w:marLeft w:val="0"/>
      <w:marRight w:val="0"/>
      <w:marTop w:val="0"/>
      <w:marBottom w:val="0"/>
      <w:divBdr>
        <w:top w:val="none" w:sz="0" w:space="0" w:color="auto"/>
        <w:left w:val="none" w:sz="0" w:space="0" w:color="auto"/>
        <w:bottom w:val="none" w:sz="0" w:space="0" w:color="auto"/>
        <w:right w:val="none" w:sz="0" w:space="0" w:color="auto"/>
      </w:divBdr>
    </w:div>
    <w:div w:id="1291472900">
      <w:bodyDiv w:val="1"/>
      <w:marLeft w:val="0"/>
      <w:marRight w:val="0"/>
      <w:marTop w:val="0"/>
      <w:marBottom w:val="0"/>
      <w:divBdr>
        <w:top w:val="none" w:sz="0" w:space="0" w:color="auto"/>
        <w:left w:val="none" w:sz="0" w:space="0" w:color="auto"/>
        <w:bottom w:val="none" w:sz="0" w:space="0" w:color="auto"/>
        <w:right w:val="none" w:sz="0" w:space="0" w:color="auto"/>
      </w:divBdr>
    </w:div>
    <w:div w:id="1408189328">
      <w:bodyDiv w:val="1"/>
      <w:marLeft w:val="0"/>
      <w:marRight w:val="0"/>
      <w:marTop w:val="0"/>
      <w:marBottom w:val="0"/>
      <w:divBdr>
        <w:top w:val="none" w:sz="0" w:space="0" w:color="auto"/>
        <w:left w:val="none" w:sz="0" w:space="0" w:color="auto"/>
        <w:bottom w:val="none" w:sz="0" w:space="0" w:color="auto"/>
        <w:right w:val="none" w:sz="0" w:space="0" w:color="auto"/>
      </w:divBdr>
    </w:div>
    <w:div w:id="1415787384">
      <w:bodyDiv w:val="1"/>
      <w:marLeft w:val="0"/>
      <w:marRight w:val="0"/>
      <w:marTop w:val="0"/>
      <w:marBottom w:val="0"/>
      <w:divBdr>
        <w:top w:val="none" w:sz="0" w:space="0" w:color="auto"/>
        <w:left w:val="none" w:sz="0" w:space="0" w:color="auto"/>
        <w:bottom w:val="none" w:sz="0" w:space="0" w:color="auto"/>
        <w:right w:val="none" w:sz="0" w:space="0" w:color="auto"/>
      </w:divBdr>
    </w:div>
    <w:div w:id="1458375494">
      <w:bodyDiv w:val="1"/>
      <w:marLeft w:val="0"/>
      <w:marRight w:val="0"/>
      <w:marTop w:val="0"/>
      <w:marBottom w:val="0"/>
      <w:divBdr>
        <w:top w:val="none" w:sz="0" w:space="0" w:color="auto"/>
        <w:left w:val="none" w:sz="0" w:space="0" w:color="auto"/>
        <w:bottom w:val="none" w:sz="0" w:space="0" w:color="auto"/>
        <w:right w:val="none" w:sz="0" w:space="0" w:color="auto"/>
      </w:divBdr>
    </w:div>
    <w:div w:id="1598248686">
      <w:bodyDiv w:val="1"/>
      <w:marLeft w:val="0"/>
      <w:marRight w:val="0"/>
      <w:marTop w:val="0"/>
      <w:marBottom w:val="0"/>
      <w:divBdr>
        <w:top w:val="none" w:sz="0" w:space="0" w:color="auto"/>
        <w:left w:val="none" w:sz="0" w:space="0" w:color="auto"/>
        <w:bottom w:val="none" w:sz="0" w:space="0" w:color="auto"/>
        <w:right w:val="none" w:sz="0" w:space="0" w:color="auto"/>
      </w:divBdr>
    </w:div>
    <w:div w:id="1771123511">
      <w:bodyDiv w:val="1"/>
      <w:marLeft w:val="0"/>
      <w:marRight w:val="0"/>
      <w:marTop w:val="0"/>
      <w:marBottom w:val="0"/>
      <w:divBdr>
        <w:top w:val="none" w:sz="0" w:space="0" w:color="auto"/>
        <w:left w:val="none" w:sz="0" w:space="0" w:color="auto"/>
        <w:bottom w:val="none" w:sz="0" w:space="0" w:color="auto"/>
        <w:right w:val="none" w:sz="0" w:space="0" w:color="auto"/>
      </w:divBdr>
    </w:div>
    <w:div w:id="1901747835">
      <w:bodyDiv w:val="1"/>
      <w:marLeft w:val="0"/>
      <w:marRight w:val="0"/>
      <w:marTop w:val="0"/>
      <w:marBottom w:val="0"/>
      <w:divBdr>
        <w:top w:val="none" w:sz="0" w:space="0" w:color="auto"/>
        <w:left w:val="none" w:sz="0" w:space="0" w:color="auto"/>
        <w:bottom w:val="none" w:sz="0" w:space="0" w:color="auto"/>
        <w:right w:val="none" w:sz="0" w:space="0" w:color="auto"/>
      </w:divBdr>
    </w:div>
    <w:div w:id="1942251933">
      <w:bodyDiv w:val="1"/>
      <w:marLeft w:val="0"/>
      <w:marRight w:val="0"/>
      <w:marTop w:val="0"/>
      <w:marBottom w:val="0"/>
      <w:divBdr>
        <w:top w:val="none" w:sz="0" w:space="0" w:color="auto"/>
        <w:left w:val="none" w:sz="0" w:space="0" w:color="auto"/>
        <w:bottom w:val="none" w:sz="0" w:space="0" w:color="auto"/>
        <w:right w:val="none" w:sz="0" w:space="0" w:color="auto"/>
      </w:divBdr>
    </w:div>
    <w:div w:id="1968051659">
      <w:bodyDiv w:val="1"/>
      <w:marLeft w:val="0"/>
      <w:marRight w:val="0"/>
      <w:marTop w:val="0"/>
      <w:marBottom w:val="0"/>
      <w:divBdr>
        <w:top w:val="none" w:sz="0" w:space="0" w:color="auto"/>
        <w:left w:val="none" w:sz="0" w:space="0" w:color="auto"/>
        <w:bottom w:val="none" w:sz="0" w:space="0" w:color="auto"/>
        <w:right w:val="none" w:sz="0" w:space="0" w:color="auto"/>
      </w:divBdr>
    </w:div>
    <w:div w:id="2079859499">
      <w:bodyDiv w:val="1"/>
      <w:marLeft w:val="0"/>
      <w:marRight w:val="0"/>
      <w:marTop w:val="0"/>
      <w:marBottom w:val="0"/>
      <w:divBdr>
        <w:top w:val="none" w:sz="0" w:space="0" w:color="auto"/>
        <w:left w:val="none" w:sz="0" w:space="0" w:color="auto"/>
        <w:bottom w:val="none" w:sz="0" w:space="0" w:color="auto"/>
        <w:right w:val="none" w:sz="0" w:space="0" w:color="auto"/>
      </w:divBdr>
    </w:div>
    <w:div w:id="2109503238">
      <w:bodyDiv w:val="1"/>
      <w:marLeft w:val="0"/>
      <w:marRight w:val="0"/>
      <w:marTop w:val="0"/>
      <w:marBottom w:val="0"/>
      <w:divBdr>
        <w:top w:val="none" w:sz="0" w:space="0" w:color="auto"/>
        <w:left w:val="none" w:sz="0" w:space="0" w:color="auto"/>
        <w:bottom w:val="none" w:sz="0" w:space="0" w:color="auto"/>
        <w:right w:val="none" w:sz="0" w:space="0" w:color="auto"/>
      </w:divBdr>
    </w:div>
    <w:div w:id="213007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Mgijima</dc:creator>
  <cp:keywords/>
  <dc:description/>
  <cp:lastModifiedBy>Bongiwe Mgijima</cp:lastModifiedBy>
  <cp:revision>2</cp:revision>
  <cp:lastPrinted>2025-02-21T08:42:00Z</cp:lastPrinted>
  <dcterms:created xsi:type="dcterms:W3CDTF">2025-05-07T10:52:00Z</dcterms:created>
  <dcterms:modified xsi:type="dcterms:W3CDTF">2025-05-07T10:52:00Z</dcterms:modified>
</cp:coreProperties>
</file>