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4D785D" w:rsidRPr="00A919B1" w14:paraId="50BFEE67" w14:textId="77777777" w:rsidTr="00EC662F">
        <w:tc>
          <w:tcPr>
            <w:tcW w:w="3227" w:type="dxa"/>
          </w:tcPr>
          <w:p w14:paraId="73B4B333" w14:textId="77777777" w:rsidR="004D785D" w:rsidRPr="00EB6A30" w:rsidRDefault="004D785D" w:rsidP="004D785D">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68017FB1" w:rsidR="004D785D" w:rsidRPr="00336747" w:rsidRDefault="004D785D" w:rsidP="004D785D">
            <w:pPr>
              <w:jc w:val="both"/>
              <w:rPr>
                <w:rFonts w:ascii="Arial" w:hAnsi="Arial" w:cs="Arial"/>
                <w:sz w:val="20"/>
                <w:lang w:val="en-ZA"/>
              </w:rPr>
            </w:pPr>
            <w:r w:rsidRPr="00E07850">
              <w:rPr>
                <w:rFonts w:ascii="Arial" w:hAnsi="Arial" w:cs="Arial"/>
                <w:sz w:val="20"/>
              </w:rPr>
              <w:t>Supply, Delivery and Support of Computers (Laptops, Desktops, Monitors, Slates</w:t>
            </w:r>
            <w:r>
              <w:rPr>
                <w:rFonts w:ascii="Arial" w:hAnsi="Arial" w:cs="Arial"/>
                <w:sz w:val="20"/>
              </w:rPr>
              <w:t>)</w:t>
            </w:r>
            <w:r w:rsidRPr="00E07850">
              <w:rPr>
                <w:rFonts w:ascii="Arial" w:hAnsi="Arial" w:cs="Arial"/>
                <w:sz w:val="20"/>
              </w:rPr>
              <w:t xml:space="preserve"> across all</w:t>
            </w:r>
            <w:r>
              <w:rPr>
                <w:rFonts w:ascii="Arial" w:hAnsi="Arial" w:cs="Arial"/>
                <w:sz w:val="20"/>
              </w:rPr>
              <w:t xml:space="preserve"> </w:t>
            </w:r>
            <w:r w:rsidRPr="00E07850">
              <w:rPr>
                <w:rFonts w:ascii="Arial" w:hAnsi="Arial" w:cs="Arial"/>
                <w:sz w:val="20"/>
              </w:rPr>
              <w:t>Eskom Business offices including ERI</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690C51B7" w:rsidR="00EB6A30" w:rsidRPr="00F0521B" w:rsidRDefault="001A505B" w:rsidP="00EB03A4">
            <w:pPr>
              <w:spacing w:before="60" w:after="60" w:line="276" w:lineRule="auto"/>
              <w:jc w:val="both"/>
              <w:rPr>
                <w:rFonts w:ascii="Arial" w:hAnsi="Arial" w:cs="Arial"/>
                <w:sz w:val="20"/>
              </w:rPr>
            </w:pPr>
            <w:r>
              <w:rPr>
                <w:rFonts w:ascii="Arial" w:hAnsi="Arial" w:cs="Arial"/>
                <w:sz w:val="20"/>
              </w:rPr>
              <w:t>5</w:t>
            </w:r>
            <w:r w:rsidR="00EB03A4">
              <w:rPr>
                <w:rFonts w:ascii="Arial" w:hAnsi="Arial" w:cs="Arial"/>
                <w:sz w:val="20"/>
              </w:rPr>
              <w:t xml:space="preserve"> </w:t>
            </w:r>
            <w:r w:rsidR="00313051">
              <w:rPr>
                <w:rFonts w:ascii="Arial" w:hAnsi="Arial" w:cs="Arial"/>
                <w:sz w:val="20"/>
              </w:rPr>
              <w:t>year</w:t>
            </w:r>
            <w:r w:rsidR="003D78F9" w:rsidRPr="00CF781D">
              <w:rPr>
                <w:rFonts w:ascii="Arial" w:hAnsi="Arial" w:cs="Arial"/>
                <w:sz w:val="20"/>
              </w:rPr>
              <w:t>s</w:t>
            </w:r>
          </w:p>
        </w:tc>
      </w:tr>
    </w:tbl>
    <w:p w14:paraId="7E0C69C0" w14:textId="338D66AA" w:rsidR="00EB6A30" w:rsidRDefault="00EB6A30" w:rsidP="00EB6A30">
      <w:pPr>
        <w:spacing w:line="276" w:lineRule="auto"/>
        <w:rPr>
          <w:rFonts w:ascii="Arial" w:hAnsi="Arial" w:cs="Arial"/>
        </w:rPr>
      </w:pPr>
    </w:p>
    <w:p w14:paraId="21DD0EEF" w14:textId="39267FF0" w:rsidR="008E55EB" w:rsidRDefault="008E55EB" w:rsidP="008E55EB">
      <w:pPr>
        <w:autoSpaceDE w:val="0"/>
        <w:autoSpaceDN w:val="0"/>
        <w:adjustRightInd w:val="0"/>
        <w:rPr>
          <w:rFonts w:ascii="Arial" w:hAnsi="Arial" w:cs="Arial"/>
          <w:b/>
        </w:rPr>
      </w:pPr>
      <w:bookmarkStart w:id="0" w:name="_Hlk124873248"/>
      <w:r>
        <w:rPr>
          <w:rFonts w:ascii="Arial" w:hAnsi="Arial" w:cs="Arial"/>
          <w:b/>
        </w:rPr>
        <w:t xml:space="preserve">Objective criteria </w:t>
      </w:r>
    </w:p>
    <w:p w14:paraId="3892BDBE" w14:textId="77777777" w:rsidR="008E55EB" w:rsidRDefault="008E55EB" w:rsidP="008E55EB">
      <w:pPr>
        <w:autoSpaceDE w:val="0"/>
        <w:autoSpaceDN w:val="0"/>
        <w:adjustRightInd w:val="0"/>
        <w:rPr>
          <w:rFonts w:ascii="Arial" w:hAnsi="Arial" w:cs="Arial"/>
          <w:b/>
        </w:rPr>
      </w:pPr>
    </w:p>
    <w:p w14:paraId="7085F079" w14:textId="77777777" w:rsidR="008E55EB" w:rsidRPr="00CC1622" w:rsidRDefault="008E55EB" w:rsidP="008E55EB">
      <w:pPr>
        <w:autoSpaceDE w:val="0"/>
        <w:autoSpaceDN w:val="0"/>
        <w:adjustRightInd w:val="0"/>
        <w:spacing w:line="360" w:lineRule="auto"/>
        <w:jc w:val="both"/>
        <w:rPr>
          <w:rFonts w:ascii="Arial" w:hAnsi="Arial" w:cs="Arial"/>
          <w:sz w:val="20"/>
        </w:rPr>
      </w:pPr>
      <w:r w:rsidRPr="00CC1622">
        <w:rPr>
          <w:rFonts w:ascii="Arial" w:hAnsi="Arial" w:cs="Arial"/>
          <w:sz w:val="20"/>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bookmarkEnd w:id="0"/>
    <w:p w14:paraId="57C33467" w14:textId="25EA9057" w:rsidR="004D785D" w:rsidRDefault="004D785D" w:rsidP="00EB6A30">
      <w:pPr>
        <w:spacing w:line="276" w:lineRule="auto"/>
        <w:rPr>
          <w:rFonts w:ascii="Arial" w:hAnsi="Arial" w:cs="Arial"/>
        </w:rPr>
      </w:pPr>
    </w:p>
    <w:p w14:paraId="76876126" w14:textId="77233F71" w:rsidR="004D785D" w:rsidRDefault="004D785D" w:rsidP="004D785D">
      <w:pPr>
        <w:spacing w:before="60" w:after="60" w:line="360" w:lineRule="auto"/>
        <w:jc w:val="both"/>
        <w:rPr>
          <w:rFonts w:ascii="Arial" w:hAnsi="Arial" w:cs="Arial"/>
          <w:sz w:val="20"/>
        </w:rPr>
      </w:pPr>
      <w:r>
        <w:rPr>
          <w:rFonts w:ascii="Arial" w:hAnsi="Arial" w:cs="Arial"/>
          <w:b/>
          <w:sz w:val="22"/>
        </w:rPr>
        <w:t xml:space="preserve">NIPP </w:t>
      </w:r>
    </w:p>
    <w:p w14:paraId="42A6D635" w14:textId="77777777" w:rsidR="004D785D" w:rsidRPr="002B02CB" w:rsidRDefault="004D785D" w:rsidP="004D785D">
      <w:pPr>
        <w:spacing w:after="200" w:line="360" w:lineRule="auto"/>
        <w:jc w:val="both"/>
        <w:rPr>
          <w:rFonts w:ascii="Arial" w:hAnsi="Arial" w:cs="Arial"/>
          <w:sz w:val="20"/>
          <w:szCs w:val="22"/>
        </w:rPr>
      </w:pPr>
      <w:r w:rsidRPr="002B02CB">
        <w:rPr>
          <w:rFonts w:ascii="Arial" w:hAnsi="Arial" w:cs="Arial"/>
          <w:sz w:val="20"/>
          <w:szCs w:val="22"/>
        </w:rPr>
        <w:t>NIPP is a program that seeks to leverage economic benefits and support the development of South African industry by effectively utilizing the instrument of government procurement. The NIPP program is mandatory on all government and parastatal purchases or lease contracts (goods and services) with an imported content equal to or exceeding US$5 million.</w:t>
      </w:r>
    </w:p>
    <w:p w14:paraId="15747C35" w14:textId="77777777" w:rsidR="004D785D" w:rsidRPr="002B02CB" w:rsidRDefault="004D785D" w:rsidP="004D785D">
      <w:pPr>
        <w:spacing w:after="200" w:line="360" w:lineRule="auto"/>
        <w:jc w:val="both"/>
        <w:rPr>
          <w:rFonts w:ascii="Arial" w:hAnsi="Arial" w:cs="Arial"/>
          <w:sz w:val="20"/>
          <w:szCs w:val="22"/>
        </w:rPr>
      </w:pPr>
      <w:r w:rsidRPr="002B02CB">
        <w:rPr>
          <w:rFonts w:ascii="Arial" w:hAnsi="Arial" w:cs="Arial"/>
          <w:sz w:val="20"/>
          <w:szCs w:val="22"/>
        </w:rPr>
        <w:t xml:space="preserve">The program is targeted at the South African and foreign industries, enterprises, and suppliers of goods and services to government / parastatals, where the imported content of such goods and services equals to or exceeds US$5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 &amp; </w:t>
      </w:r>
      <w:proofErr w:type="gramStart"/>
      <w:r w:rsidRPr="002B02CB">
        <w:rPr>
          <w:rFonts w:ascii="Arial" w:hAnsi="Arial" w:cs="Arial"/>
          <w:sz w:val="20"/>
          <w:szCs w:val="22"/>
        </w:rPr>
        <w:t>D</w:t>
      </w:r>
      <w:proofErr w:type="gramEnd"/>
      <w:r w:rsidRPr="002B02CB">
        <w:rPr>
          <w:rFonts w:ascii="Arial" w:hAnsi="Arial" w:cs="Arial"/>
          <w:sz w:val="20"/>
          <w:szCs w:val="22"/>
        </w:rPr>
        <w:t xml:space="preserve"> and technology transfer.</w:t>
      </w:r>
    </w:p>
    <w:p w14:paraId="30CDC5A3" w14:textId="77777777" w:rsidR="004D785D" w:rsidRPr="002B02CB" w:rsidRDefault="004D785D" w:rsidP="004D785D">
      <w:pPr>
        <w:spacing w:after="200" w:line="360" w:lineRule="auto"/>
        <w:jc w:val="both"/>
        <w:rPr>
          <w:rFonts w:ascii="Arial" w:hAnsi="Arial" w:cs="Arial"/>
          <w:sz w:val="20"/>
          <w:szCs w:val="22"/>
        </w:rPr>
      </w:pPr>
      <w:r w:rsidRPr="002B02CB">
        <w:rPr>
          <w:rFonts w:ascii="Arial" w:hAnsi="Arial" w:cs="Arial"/>
          <w:sz w:val="20"/>
          <w:szCs w:val="22"/>
        </w:rPr>
        <w:t>Companies with a NIPP obligation are required to sign this obligation agreement with The Department of Trade, Industry and Competition (the DTIC) before the contract with Eskom Holdings SOC Ltd, as a purchasing entity, is signed.  The obligation agreement governs the relationship between the DTIC and supplier. It defines the NIPP obligation value/s, requirements to fulfil the NIPP obligation, performance milestones, performance monitoring processes and the NIPP credit allocation criteria</w:t>
      </w:r>
    </w:p>
    <w:p w14:paraId="6123C386" w14:textId="77777777" w:rsidR="004D785D" w:rsidRPr="002B02CB" w:rsidRDefault="004D785D" w:rsidP="004D785D">
      <w:pPr>
        <w:spacing w:before="60" w:after="60" w:line="360" w:lineRule="auto"/>
        <w:rPr>
          <w:rFonts w:ascii="Arial" w:hAnsi="Arial" w:cs="Arial"/>
          <w:b/>
          <w:sz w:val="18"/>
        </w:rPr>
      </w:pPr>
      <w:r w:rsidRPr="002B02CB">
        <w:rPr>
          <w:rFonts w:ascii="Arial" w:hAnsi="Arial" w:cs="Arial"/>
          <w:b/>
          <w:sz w:val="20"/>
          <w:szCs w:val="22"/>
        </w:rPr>
        <w:t xml:space="preserve">All tenders with an import content that is equal to or exceeds the threshold of US$5 million, compels the winning bidder to negotiate and </w:t>
      </w:r>
      <w:proofErr w:type="gramStart"/>
      <w:r w:rsidRPr="002B02CB">
        <w:rPr>
          <w:rFonts w:ascii="Arial" w:hAnsi="Arial" w:cs="Arial"/>
          <w:b/>
          <w:sz w:val="20"/>
          <w:szCs w:val="22"/>
        </w:rPr>
        <w:t>enter into</w:t>
      </w:r>
      <w:proofErr w:type="gramEnd"/>
      <w:r w:rsidRPr="002B02CB">
        <w:rPr>
          <w:rFonts w:ascii="Arial" w:hAnsi="Arial" w:cs="Arial"/>
          <w:b/>
          <w:sz w:val="20"/>
          <w:szCs w:val="22"/>
        </w:rPr>
        <w:t xml:space="preserve"> a NIPP obligation agreement with the DTIC before signing the contract with Eskom.” </w:t>
      </w:r>
    </w:p>
    <w:p w14:paraId="32B00DFB" w14:textId="77777777" w:rsidR="004D785D" w:rsidRPr="00EB6A30" w:rsidRDefault="004D785D" w:rsidP="00EB6A30">
      <w:pPr>
        <w:spacing w:line="276" w:lineRule="auto"/>
        <w:rPr>
          <w:rFonts w:ascii="Arial" w:hAnsi="Arial" w:cs="Arial"/>
        </w:rPr>
      </w:pPr>
    </w:p>
    <w:p w14:paraId="784FA5B1" w14:textId="744CC816" w:rsidR="008E55EB" w:rsidRPr="00680C42" w:rsidRDefault="008E55EB" w:rsidP="008E55EB">
      <w:pPr>
        <w:spacing w:before="60" w:after="60" w:line="360" w:lineRule="auto"/>
        <w:jc w:val="both"/>
        <w:rPr>
          <w:rFonts w:ascii="Arial" w:hAnsi="Arial" w:cs="Arial"/>
          <w:b/>
          <w:sz w:val="22"/>
        </w:rPr>
      </w:pPr>
      <w:bookmarkStart w:id="1" w:name="_Hlk125032351"/>
      <w:r>
        <w:rPr>
          <w:rFonts w:ascii="Arial" w:hAnsi="Arial" w:cs="Arial"/>
          <w:b/>
          <w:sz w:val="22"/>
        </w:rPr>
        <w:t>Subcontracting</w:t>
      </w:r>
    </w:p>
    <w:p w14:paraId="31218AFF" w14:textId="77777777" w:rsidR="008E55EB" w:rsidRPr="00194A94" w:rsidRDefault="008E55EB" w:rsidP="008E55EB">
      <w:pPr>
        <w:autoSpaceDE w:val="0"/>
        <w:autoSpaceDN w:val="0"/>
        <w:adjustRightInd w:val="0"/>
        <w:spacing w:line="360" w:lineRule="auto"/>
        <w:jc w:val="both"/>
        <w:rPr>
          <w:rFonts w:ascii="Arial" w:hAnsi="Arial" w:cs="Arial"/>
          <w:sz w:val="20"/>
        </w:rPr>
      </w:pPr>
      <w:r w:rsidRPr="00194A94">
        <w:rPr>
          <w:rFonts w:ascii="Arial" w:hAnsi="Arial" w:cs="Arial"/>
          <w:sz w:val="20"/>
        </w:rPr>
        <w:t>Mandatory subcontracting on contracts above R30 million as a condition for contract award</w:t>
      </w:r>
    </w:p>
    <w:p w14:paraId="6EDE2104" w14:textId="77777777" w:rsidR="008E55EB" w:rsidRPr="00194A94" w:rsidRDefault="008E55EB" w:rsidP="008E55EB">
      <w:pPr>
        <w:autoSpaceDE w:val="0"/>
        <w:autoSpaceDN w:val="0"/>
        <w:adjustRightInd w:val="0"/>
        <w:spacing w:line="360" w:lineRule="auto"/>
        <w:jc w:val="both"/>
        <w:rPr>
          <w:rFonts w:ascii="Arial" w:hAnsi="Arial" w:cs="Arial"/>
          <w:sz w:val="20"/>
        </w:rPr>
      </w:pPr>
      <w:r w:rsidRPr="00194A94">
        <w:rPr>
          <w:rFonts w:ascii="Arial" w:hAnsi="Arial" w:cs="Arial"/>
          <w:sz w:val="20"/>
        </w:rPr>
        <w:t>If feasible to subcontract for a contract above R30 million, Eskom:</w:t>
      </w:r>
    </w:p>
    <w:p w14:paraId="5AA58220" w14:textId="77777777" w:rsidR="008E55EB" w:rsidRPr="00194A94" w:rsidRDefault="008E55EB" w:rsidP="008E55EB">
      <w:pPr>
        <w:autoSpaceDE w:val="0"/>
        <w:autoSpaceDN w:val="0"/>
        <w:adjustRightInd w:val="0"/>
        <w:spacing w:line="360" w:lineRule="auto"/>
        <w:jc w:val="both"/>
        <w:rPr>
          <w:rFonts w:ascii="Arial" w:hAnsi="Arial" w:cs="Arial"/>
          <w:sz w:val="20"/>
        </w:rPr>
      </w:pPr>
      <w:r w:rsidRPr="00194A94">
        <w:rPr>
          <w:rFonts w:ascii="Arial" w:hAnsi="Arial" w:cs="Arial"/>
          <w:sz w:val="20"/>
        </w:rPr>
        <w:t>a) must apply subcontracting to previously designated groups.</w:t>
      </w:r>
    </w:p>
    <w:p w14:paraId="1A7DE037" w14:textId="77777777" w:rsidR="008E55EB" w:rsidRPr="00194A94" w:rsidRDefault="008E55EB" w:rsidP="008E55EB">
      <w:pPr>
        <w:autoSpaceDE w:val="0"/>
        <w:autoSpaceDN w:val="0"/>
        <w:adjustRightInd w:val="0"/>
        <w:spacing w:line="360" w:lineRule="auto"/>
        <w:jc w:val="both"/>
        <w:rPr>
          <w:rFonts w:ascii="Arial" w:hAnsi="Arial" w:cs="Arial"/>
          <w:sz w:val="20"/>
        </w:rPr>
      </w:pPr>
      <w:r w:rsidRPr="00194A94">
        <w:rPr>
          <w:rFonts w:ascii="Arial" w:hAnsi="Arial" w:cs="Arial"/>
          <w:sz w:val="20"/>
        </w:rPr>
        <w:t>b) must advertise the tender with a specific condition for contract award that the successful</w:t>
      </w:r>
    </w:p>
    <w:p w14:paraId="6A0F689B" w14:textId="77777777" w:rsidR="008E55EB" w:rsidRPr="00194A94" w:rsidRDefault="008E55EB" w:rsidP="008E55EB">
      <w:pPr>
        <w:autoSpaceDE w:val="0"/>
        <w:autoSpaceDN w:val="0"/>
        <w:adjustRightInd w:val="0"/>
        <w:spacing w:line="360" w:lineRule="auto"/>
        <w:jc w:val="both"/>
        <w:rPr>
          <w:rFonts w:ascii="Arial" w:hAnsi="Arial" w:cs="Arial"/>
          <w:sz w:val="20"/>
        </w:rPr>
      </w:pPr>
      <w:r w:rsidRPr="00194A94">
        <w:rPr>
          <w:rFonts w:ascii="Arial" w:hAnsi="Arial" w:cs="Arial"/>
          <w:sz w:val="20"/>
        </w:rPr>
        <w:t>tenderer must subcontract a minimum of 30% of the value of the contract to:</w:t>
      </w:r>
    </w:p>
    <w:p w14:paraId="6C2CFF36" w14:textId="77777777" w:rsidR="008E55EB" w:rsidRPr="004021C2" w:rsidRDefault="008E55EB" w:rsidP="008E55EB">
      <w:pPr>
        <w:pStyle w:val="ListParagraph"/>
        <w:numPr>
          <w:ilvl w:val="0"/>
          <w:numId w:val="40"/>
        </w:numPr>
        <w:autoSpaceDE w:val="0"/>
        <w:autoSpaceDN w:val="0"/>
        <w:adjustRightInd w:val="0"/>
        <w:spacing w:line="360" w:lineRule="auto"/>
        <w:jc w:val="both"/>
        <w:rPr>
          <w:rFonts w:ascii="Arial" w:hAnsi="Arial" w:cs="Arial"/>
          <w:sz w:val="20"/>
        </w:rPr>
      </w:pPr>
      <w:r w:rsidRPr="004021C2">
        <w:rPr>
          <w:rFonts w:ascii="Arial" w:hAnsi="Arial" w:cs="Arial"/>
          <w:sz w:val="20"/>
        </w:rPr>
        <w:t xml:space="preserve">an EME or QSE, which is at least 51% owned by black </w:t>
      </w:r>
      <w:proofErr w:type="gramStart"/>
      <w:r w:rsidRPr="004021C2">
        <w:rPr>
          <w:rFonts w:ascii="Arial" w:hAnsi="Arial" w:cs="Arial"/>
          <w:sz w:val="20"/>
        </w:rPr>
        <w:t>people;</w:t>
      </w:r>
      <w:proofErr w:type="gramEnd"/>
    </w:p>
    <w:p w14:paraId="1547B2F4" w14:textId="77777777" w:rsidR="008E55EB" w:rsidRPr="004021C2" w:rsidRDefault="008E55EB" w:rsidP="008E55EB">
      <w:pPr>
        <w:pStyle w:val="ListParagraph"/>
        <w:numPr>
          <w:ilvl w:val="0"/>
          <w:numId w:val="40"/>
        </w:numPr>
        <w:autoSpaceDE w:val="0"/>
        <w:autoSpaceDN w:val="0"/>
        <w:adjustRightInd w:val="0"/>
        <w:spacing w:line="360" w:lineRule="auto"/>
        <w:jc w:val="both"/>
        <w:rPr>
          <w:rFonts w:ascii="Arial" w:hAnsi="Arial" w:cs="Arial"/>
          <w:sz w:val="20"/>
        </w:rPr>
      </w:pPr>
      <w:r w:rsidRPr="004021C2">
        <w:rPr>
          <w:rFonts w:ascii="Arial" w:hAnsi="Arial" w:cs="Arial"/>
          <w:sz w:val="20"/>
        </w:rPr>
        <w:t xml:space="preserve">an EME or QSE, which is at least 51% owned by black people who are </w:t>
      </w:r>
      <w:proofErr w:type="gramStart"/>
      <w:r w:rsidRPr="004021C2">
        <w:rPr>
          <w:rFonts w:ascii="Arial" w:hAnsi="Arial" w:cs="Arial"/>
          <w:sz w:val="20"/>
        </w:rPr>
        <w:t>youth;</w:t>
      </w:r>
      <w:proofErr w:type="gramEnd"/>
    </w:p>
    <w:p w14:paraId="7AA909B0" w14:textId="77777777" w:rsidR="008E55EB" w:rsidRPr="004021C2" w:rsidRDefault="008E55EB" w:rsidP="008E55EB">
      <w:pPr>
        <w:pStyle w:val="ListParagraph"/>
        <w:numPr>
          <w:ilvl w:val="0"/>
          <w:numId w:val="40"/>
        </w:numPr>
        <w:autoSpaceDE w:val="0"/>
        <w:autoSpaceDN w:val="0"/>
        <w:adjustRightInd w:val="0"/>
        <w:spacing w:line="360" w:lineRule="auto"/>
        <w:jc w:val="both"/>
        <w:rPr>
          <w:rFonts w:ascii="Arial" w:hAnsi="Arial" w:cs="Arial"/>
          <w:sz w:val="20"/>
        </w:rPr>
      </w:pPr>
      <w:r w:rsidRPr="004021C2">
        <w:rPr>
          <w:rFonts w:ascii="Arial" w:hAnsi="Arial" w:cs="Arial"/>
          <w:sz w:val="20"/>
        </w:rPr>
        <w:t xml:space="preserve">an EME or QSE, which is at least 51% owned by black people who are </w:t>
      </w:r>
      <w:proofErr w:type="gramStart"/>
      <w:r w:rsidRPr="004021C2">
        <w:rPr>
          <w:rFonts w:ascii="Arial" w:hAnsi="Arial" w:cs="Arial"/>
          <w:sz w:val="20"/>
        </w:rPr>
        <w:t>women;</w:t>
      </w:r>
      <w:proofErr w:type="gramEnd"/>
    </w:p>
    <w:p w14:paraId="41E596FB" w14:textId="77777777" w:rsidR="008E55EB" w:rsidRPr="004021C2" w:rsidRDefault="008E55EB" w:rsidP="008E55EB">
      <w:pPr>
        <w:pStyle w:val="ListParagraph"/>
        <w:numPr>
          <w:ilvl w:val="0"/>
          <w:numId w:val="40"/>
        </w:numPr>
        <w:autoSpaceDE w:val="0"/>
        <w:autoSpaceDN w:val="0"/>
        <w:adjustRightInd w:val="0"/>
        <w:spacing w:line="360" w:lineRule="auto"/>
        <w:jc w:val="both"/>
        <w:rPr>
          <w:rFonts w:ascii="Arial" w:hAnsi="Arial" w:cs="Arial"/>
          <w:sz w:val="20"/>
        </w:rPr>
      </w:pPr>
      <w:r w:rsidRPr="004021C2">
        <w:rPr>
          <w:rFonts w:ascii="Arial" w:hAnsi="Arial" w:cs="Arial"/>
          <w:sz w:val="20"/>
        </w:rPr>
        <w:t xml:space="preserve">an EME or QSE, which is at least 51% owned by black people with </w:t>
      </w:r>
      <w:proofErr w:type="gramStart"/>
      <w:r w:rsidRPr="004021C2">
        <w:rPr>
          <w:rFonts w:ascii="Arial" w:hAnsi="Arial" w:cs="Arial"/>
          <w:sz w:val="20"/>
        </w:rPr>
        <w:t>disabilities;</w:t>
      </w:r>
      <w:proofErr w:type="gramEnd"/>
    </w:p>
    <w:p w14:paraId="1FDDE058" w14:textId="77777777" w:rsidR="008E55EB" w:rsidRDefault="008E55EB" w:rsidP="008E55EB">
      <w:pPr>
        <w:autoSpaceDE w:val="0"/>
        <w:autoSpaceDN w:val="0"/>
        <w:adjustRightInd w:val="0"/>
        <w:spacing w:line="360" w:lineRule="auto"/>
        <w:jc w:val="both"/>
        <w:rPr>
          <w:rFonts w:ascii="Arial" w:hAnsi="Arial" w:cs="Arial"/>
          <w:sz w:val="20"/>
        </w:rPr>
      </w:pPr>
    </w:p>
    <w:p w14:paraId="1DF45C8C" w14:textId="77777777" w:rsidR="008E55EB" w:rsidRPr="00194A94" w:rsidRDefault="008E55EB" w:rsidP="008E55EB">
      <w:pPr>
        <w:autoSpaceDE w:val="0"/>
        <w:autoSpaceDN w:val="0"/>
        <w:adjustRightInd w:val="0"/>
        <w:spacing w:line="360" w:lineRule="auto"/>
        <w:jc w:val="both"/>
        <w:rPr>
          <w:rFonts w:ascii="Arial" w:hAnsi="Arial" w:cs="Arial"/>
          <w:sz w:val="20"/>
        </w:rPr>
      </w:pPr>
      <w:r w:rsidRPr="00194A94">
        <w:rPr>
          <w:rFonts w:ascii="Arial" w:hAnsi="Arial" w:cs="Arial"/>
          <w:sz w:val="20"/>
        </w:rPr>
        <w:t xml:space="preserve">Tender Returnable if the above element is a </w:t>
      </w:r>
      <w:proofErr w:type="gramStart"/>
      <w:r w:rsidRPr="00194A94">
        <w:rPr>
          <w:rFonts w:ascii="Arial" w:hAnsi="Arial" w:cs="Arial"/>
          <w:sz w:val="20"/>
        </w:rPr>
        <w:t>requirement;</w:t>
      </w:r>
      <w:proofErr w:type="gramEnd"/>
    </w:p>
    <w:p w14:paraId="428F32C3" w14:textId="77777777" w:rsidR="008E55EB" w:rsidRPr="00194A94" w:rsidRDefault="008E55EB" w:rsidP="008E55EB">
      <w:pPr>
        <w:pStyle w:val="ListParagraph"/>
        <w:numPr>
          <w:ilvl w:val="0"/>
          <w:numId w:val="39"/>
        </w:numPr>
        <w:autoSpaceDE w:val="0"/>
        <w:autoSpaceDN w:val="0"/>
        <w:adjustRightInd w:val="0"/>
        <w:spacing w:line="360" w:lineRule="auto"/>
        <w:jc w:val="both"/>
        <w:rPr>
          <w:rFonts w:ascii="Arial" w:hAnsi="Arial" w:cs="Arial"/>
          <w:sz w:val="20"/>
        </w:rPr>
      </w:pPr>
      <w:r w:rsidRPr="00194A94">
        <w:rPr>
          <w:rFonts w:ascii="Arial" w:hAnsi="Arial" w:cs="Arial"/>
          <w:sz w:val="20"/>
        </w:rPr>
        <w:t>Proof of a sub-contract agreement/s must be submitted.</w:t>
      </w:r>
    </w:p>
    <w:p w14:paraId="0A9B3CC2" w14:textId="77777777" w:rsidR="008E55EB" w:rsidRPr="00194A94" w:rsidRDefault="008E55EB" w:rsidP="008E55EB">
      <w:pPr>
        <w:pStyle w:val="ListParagraph"/>
        <w:numPr>
          <w:ilvl w:val="0"/>
          <w:numId w:val="39"/>
        </w:numPr>
        <w:autoSpaceDE w:val="0"/>
        <w:autoSpaceDN w:val="0"/>
        <w:adjustRightInd w:val="0"/>
        <w:spacing w:line="360" w:lineRule="auto"/>
        <w:jc w:val="both"/>
        <w:rPr>
          <w:rFonts w:ascii="Arial" w:hAnsi="Arial" w:cs="Arial"/>
          <w:sz w:val="20"/>
        </w:rPr>
      </w:pPr>
      <w:r w:rsidRPr="00194A94">
        <w:rPr>
          <w:rFonts w:ascii="Arial" w:hAnsi="Arial" w:cs="Arial"/>
          <w:sz w:val="20"/>
        </w:rPr>
        <w:t>CSD report of subcontractors</w:t>
      </w:r>
    </w:p>
    <w:p w14:paraId="007690C2" w14:textId="77777777" w:rsidR="008E55EB" w:rsidRPr="00194A94" w:rsidRDefault="008E55EB" w:rsidP="008E55EB">
      <w:pPr>
        <w:pStyle w:val="ListParagraph"/>
        <w:numPr>
          <w:ilvl w:val="0"/>
          <w:numId w:val="39"/>
        </w:numPr>
        <w:autoSpaceDE w:val="0"/>
        <w:autoSpaceDN w:val="0"/>
        <w:adjustRightInd w:val="0"/>
        <w:spacing w:line="360" w:lineRule="auto"/>
        <w:jc w:val="both"/>
        <w:rPr>
          <w:rFonts w:ascii="Arial" w:hAnsi="Arial" w:cs="Arial"/>
          <w:sz w:val="20"/>
        </w:rPr>
      </w:pPr>
      <w:r w:rsidRPr="00194A94">
        <w:rPr>
          <w:rFonts w:ascii="Arial" w:hAnsi="Arial" w:cs="Arial"/>
          <w:sz w:val="20"/>
        </w:rPr>
        <w:t xml:space="preserve">Sub-contractor/s B-BBEE certificate / </w:t>
      </w:r>
      <w:proofErr w:type="gramStart"/>
      <w:r w:rsidRPr="00194A94">
        <w:rPr>
          <w:rFonts w:ascii="Arial" w:hAnsi="Arial" w:cs="Arial"/>
          <w:sz w:val="20"/>
        </w:rPr>
        <w:t>sworn affidavit</w:t>
      </w:r>
      <w:proofErr w:type="gramEnd"/>
      <w:r w:rsidRPr="00194A94">
        <w:rPr>
          <w:rFonts w:ascii="Arial" w:hAnsi="Arial" w:cs="Arial"/>
          <w:sz w:val="20"/>
        </w:rPr>
        <w:t xml:space="preserve"> must be submitted.</w:t>
      </w:r>
    </w:p>
    <w:p w14:paraId="5F9C1161" w14:textId="77777777" w:rsidR="008E55EB" w:rsidRPr="00194A94" w:rsidRDefault="008E55EB" w:rsidP="008E55EB">
      <w:pPr>
        <w:autoSpaceDE w:val="0"/>
        <w:autoSpaceDN w:val="0"/>
        <w:adjustRightInd w:val="0"/>
        <w:spacing w:line="360" w:lineRule="auto"/>
        <w:jc w:val="both"/>
        <w:rPr>
          <w:rFonts w:ascii="Arial" w:hAnsi="Arial" w:cs="Arial"/>
          <w:sz w:val="20"/>
        </w:rPr>
      </w:pPr>
    </w:p>
    <w:p w14:paraId="0153AB35" w14:textId="3A27E393" w:rsidR="008E55EB" w:rsidRDefault="008E55EB" w:rsidP="008E55EB">
      <w:pPr>
        <w:autoSpaceDE w:val="0"/>
        <w:autoSpaceDN w:val="0"/>
        <w:adjustRightInd w:val="0"/>
        <w:spacing w:line="360" w:lineRule="auto"/>
        <w:jc w:val="both"/>
        <w:rPr>
          <w:rFonts w:ascii="Arial" w:hAnsi="Arial" w:cs="Arial"/>
          <w:sz w:val="20"/>
        </w:rPr>
      </w:pPr>
      <w:r w:rsidRPr="00194A94">
        <w:rPr>
          <w:rFonts w:ascii="Arial" w:hAnsi="Arial" w:cs="Arial"/>
          <w:sz w:val="20"/>
        </w:rPr>
        <w:t>Subcontracting, in this instance, will be treated as a condition for contract award. A supplier awarded a contract may not subcontract more than 25% of the value of the contract to any other entity that does not have an equal or higher B-BBEE status level of a contributor than the supplier concerned unless the contract is subcontracted to an EME that has the capability and ability to execute the subcontract.</w:t>
      </w:r>
    </w:p>
    <w:p w14:paraId="27525D1D" w14:textId="01A5FA4E" w:rsidR="008E55EB" w:rsidRDefault="008E55EB" w:rsidP="008E55EB">
      <w:pPr>
        <w:autoSpaceDE w:val="0"/>
        <w:autoSpaceDN w:val="0"/>
        <w:adjustRightInd w:val="0"/>
        <w:spacing w:line="360" w:lineRule="auto"/>
        <w:jc w:val="both"/>
        <w:rPr>
          <w:rFonts w:ascii="Arial" w:hAnsi="Arial" w:cs="Arial"/>
          <w:sz w:val="20"/>
        </w:rPr>
      </w:pPr>
    </w:p>
    <w:p w14:paraId="01DBBD97" w14:textId="05055F5B" w:rsidR="008E55EB" w:rsidRPr="00EB6A30" w:rsidRDefault="008E55EB" w:rsidP="008E55EB">
      <w:pPr>
        <w:spacing w:after="200" w:line="276" w:lineRule="auto"/>
        <w:rPr>
          <w:rFonts w:ascii="Arial" w:hAnsi="Arial" w:cs="Arial"/>
          <w:b/>
          <w:sz w:val="22"/>
        </w:rPr>
      </w:pPr>
      <w:bookmarkStart w:id="2" w:name="_Hlk124873330"/>
      <w:bookmarkEnd w:id="1"/>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8E55EB" w:rsidRPr="000C5130" w14:paraId="67D96A29" w14:textId="77777777" w:rsidTr="0036302F">
        <w:tc>
          <w:tcPr>
            <w:tcW w:w="9016" w:type="dxa"/>
            <w:shd w:val="clear" w:color="auto" w:fill="000000" w:themeFill="text1"/>
          </w:tcPr>
          <w:bookmarkEnd w:id="2"/>
          <w:p w14:paraId="6604F936" w14:textId="77777777" w:rsidR="008E55EB" w:rsidRPr="000C5130" w:rsidRDefault="008E55EB" w:rsidP="0036302F">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8E55EB" w:rsidRPr="000C5130" w14:paraId="04EAD17B" w14:textId="77777777" w:rsidTr="0036302F">
        <w:trPr>
          <w:trHeight w:val="2424"/>
        </w:trPr>
        <w:tc>
          <w:tcPr>
            <w:tcW w:w="9016" w:type="dxa"/>
            <w:shd w:val="clear" w:color="auto" w:fill="FFFFFF" w:themeFill="background1"/>
          </w:tcPr>
          <w:p w14:paraId="4B7EB421" w14:textId="77777777" w:rsidR="008F1FC0" w:rsidRDefault="008F1FC0" w:rsidP="008F1FC0">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Pr="00CF781D">
              <w:rPr>
                <w:rFonts w:ascii="Arial" w:hAnsi="Arial" w:cs="Arial"/>
                <w:sz w:val="20"/>
              </w:rPr>
              <w:t xml:space="preserve">All </w:t>
            </w:r>
            <w:r>
              <w:rPr>
                <w:rFonts w:ascii="Arial" w:hAnsi="Arial" w:cs="Arial"/>
                <w:sz w:val="20"/>
              </w:rPr>
              <w:t>tender</w:t>
            </w:r>
            <w:r w:rsidRPr="00CF781D">
              <w:rPr>
                <w:rFonts w:ascii="Arial" w:hAnsi="Arial" w:cs="Arial"/>
                <w:sz w:val="20"/>
              </w:rPr>
              <w:t>ers must at a minimum maintain the</w:t>
            </w:r>
            <w:r>
              <w:rPr>
                <w:rFonts w:ascii="Arial" w:hAnsi="Arial" w:cs="Arial"/>
                <w:sz w:val="20"/>
              </w:rPr>
              <w:t>ir</w:t>
            </w:r>
            <w:r w:rsidRPr="00CF781D">
              <w:rPr>
                <w:rFonts w:ascii="Arial" w:hAnsi="Arial" w:cs="Arial"/>
                <w:sz w:val="20"/>
              </w:rPr>
              <w:t xml:space="preserve"> BBBEE status throughout the contract period:</w:t>
            </w:r>
          </w:p>
          <w:p w14:paraId="56D126C3" w14:textId="77777777" w:rsidR="008F1FC0" w:rsidRPr="00CF781D" w:rsidRDefault="008F1FC0" w:rsidP="008F1FC0">
            <w:pPr>
              <w:tabs>
                <w:tab w:val="left" w:pos="720"/>
              </w:tabs>
              <w:spacing w:line="276" w:lineRule="auto"/>
              <w:ind w:left="360"/>
              <w:jc w:val="both"/>
              <w:rPr>
                <w:rFonts w:ascii="Arial" w:hAnsi="Arial" w:cs="Arial"/>
                <w:b/>
                <w:sz w:val="20"/>
              </w:rPr>
            </w:pPr>
          </w:p>
          <w:p w14:paraId="30C8D956" w14:textId="77777777" w:rsidR="008F1FC0" w:rsidRPr="00D86CD2" w:rsidRDefault="008F1FC0" w:rsidP="008F1FC0">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2446918F" w14:textId="77777777" w:rsidR="008F1FC0" w:rsidRDefault="008F1FC0" w:rsidP="008F1FC0">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424AE235" w14:textId="77777777" w:rsidR="008F1FC0" w:rsidRDefault="008F1FC0" w:rsidP="008F1FC0">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4DD4DB20" w14:textId="77777777" w:rsidR="008F1FC0" w:rsidRDefault="008F1FC0" w:rsidP="008F1FC0">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698"/>
              <w:gridCol w:w="2767"/>
            </w:tblGrid>
            <w:tr w:rsidR="008F1FC0" w14:paraId="74E0E9AA" w14:textId="77777777" w:rsidTr="00BD2D12">
              <w:tc>
                <w:tcPr>
                  <w:tcW w:w="2862" w:type="dxa"/>
                  <w:vMerge w:val="restart"/>
                  <w:tcBorders>
                    <w:top w:val="single" w:sz="4" w:space="0" w:color="auto"/>
                    <w:left w:val="single" w:sz="4" w:space="0" w:color="auto"/>
                    <w:bottom w:val="single" w:sz="4" w:space="0" w:color="auto"/>
                    <w:right w:val="single" w:sz="4" w:space="0" w:color="auto"/>
                  </w:tcBorders>
                  <w:hideMark/>
                </w:tcPr>
                <w:p w14:paraId="79E74C96" w14:textId="77777777" w:rsidR="008F1FC0" w:rsidRDefault="008F1FC0" w:rsidP="008F1FC0">
                  <w:pPr>
                    <w:spacing w:line="276" w:lineRule="auto"/>
                    <w:rPr>
                      <w:rFonts w:ascii="Arial" w:hAnsi="Arial" w:cs="Arial"/>
                      <w:b/>
                      <w:bCs/>
                      <w:color w:val="000000"/>
                      <w:sz w:val="20"/>
                    </w:rPr>
                  </w:pPr>
                  <w:bookmarkStart w:id="3" w:name="_Hlk94539797"/>
                </w:p>
                <w:p w14:paraId="39722143" w14:textId="77777777" w:rsidR="008F1FC0" w:rsidRDefault="008F1FC0" w:rsidP="008F1FC0">
                  <w:pPr>
                    <w:spacing w:line="276" w:lineRule="auto"/>
                    <w:rPr>
                      <w:rFonts w:ascii="Arial" w:hAnsi="Arial" w:cs="Arial"/>
                      <w:b/>
                      <w:sz w:val="20"/>
                    </w:rPr>
                  </w:pPr>
                  <w:r>
                    <w:rPr>
                      <w:rFonts w:ascii="Arial" w:hAnsi="Arial" w:cs="Arial"/>
                      <w:b/>
                      <w:bCs/>
                      <w:color w:val="000000"/>
                      <w:sz w:val="20"/>
                    </w:rPr>
                    <w:t xml:space="preserve">Local Procurement Content </w:t>
                  </w:r>
                </w:p>
              </w:tc>
              <w:tc>
                <w:tcPr>
                  <w:tcW w:w="2698" w:type="dxa"/>
                  <w:tcBorders>
                    <w:top w:val="single" w:sz="4" w:space="0" w:color="auto"/>
                    <w:left w:val="single" w:sz="4" w:space="0" w:color="auto"/>
                    <w:bottom w:val="single" w:sz="4" w:space="0" w:color="auto"/>
                    <w:right w:val="single" w:sz="4" w:space="0" w:color="auto"/>
                  </w:tcBorders>
                </w:tcPr>
                <w:p w14:paraId="6A72CA19" w14:textId="77777777" w:rsidR="008F1FC0" w:rsidRDefault="008F1FC0" w:rsidP="008F1FC0">
                  <w:pPr>
                    <w:spacing w:line="276" w:lineRule="auto"/>
                    <w:jc w:val="center"/>
                    <w:rPr>
                      <w:rFonts w:ascii="Arial" w:hAnsi="Arial" w:cs="Arial"/>
                      <w:b/>
                      <w:sz w:val="20"/>
                    </w:rPr>
                  </w:pPr>
                  <w:r>
                    <w:rPr>
                      <w:rFonts w:ascii="Arial" w:hAnsi="Arial" w:cs="Arial"/>
                      <w:b/>
                      <w:sz w:val="20"/>
                    </w:rPr>
                    <w:t>Eskom target</w:t>
                  </w:r>
                </w:p>
              </w:tc>
              <w:tc>
                <w:tcPr>
                  <w:tcW w:w="2767" w:type="dxa"/>
                  <w:tcBorders>
                    <w:top w:val="single" w:sz="4" w:space="0" w:color="auto"/>
                    <w:left w:val="single" w:sz="4" w:space="0" w:color="auto"/>
                    <w:bottom w:val="single" w:sz="4" w:space="0" w:color="auto"/>
                    <w:right w:val="single" w:sz="4" w:space="0" w:color="auto"/>
                  </w:tcBorders>
                  <w:hideMark/>
                </w:tcPr>
                <w:p w14:paraId="50C01B37" w14:textId="77777777" w:rsidR="008F1FC0" w:rsidRDefault="008F1FC0" w:rsidP="008F1FC0">
                  <w:pPr>
                    <w:spacing w:line="276" w:lineRule="auto"/>
                    <w:jc w:val="center"/>
                    <w:rPr>
                      <w:rFonts w:ascii="Arial" w:hAnsi="Arial" w:cs="Arial"/>
                      <w:b/>
                      <w:sz w:val="20"/>
                    </w:rPr>
                  </w:pPr>
                  <w:r>
                    <w:rPr>
                      <w:rFonts w:ascii="Arial" w:hAnsi="Arial" w:cs="Arial"/>
                      <w:b/>
                      <w:sz w:val="20"/>
                    </w:rPr>
                    <w:t>Tenderer Proposal</w:t>
                  </w:r>
                </w:p>
              </w:tc>
            </w:tr>
            <w:tr w:rsidR="008F1FC0" w14:paraId="5CCF08E6" w14:textId="77777777" w:rsidTr="00BD2D12">
              <w:trPr>
                <w:trHeight w:val="652"/>
              </w:trPr>
              <w:tc>
                <w:tcPr>
                  <w:tcW w:w="2862" w:type="dxa"/>
                  <w:vMerge/>
                  <w:tcBorders>
                    <w:top w:val="single" w:sz="4" w:space="0" w:color="auto"/>
                    <w:left w:val="single" w:sz="4" w:space="0" w:color="auto"/>
                    <w:bottom w:val="single" w:sz="4" w:space="0" w:color="auto"/>
                    <w:right w:val="single" w:sz="4" w:space="0" w:color="auto"/>
                  </w:tcBorders>
                  <w:vAlign w:val="center"/>
                  <w:hideMark/>
                </w:tcPr>
                <w:p w14:paraId="7371130B" w14:textId="77777777" w:rsidR="008F1FC0" w:rsidRDefault="008F1FC0" w:rsidP="008F1FC0">
                  <w:pPr>
                    <w:rPr>
                      <w:rFonts w:ascii="Arial" w:hAnsi="Arial" w:cs="Arial"/>
                      <w:b/>
                      <w:sz w:val="20"/>
                    </w:rPr>
                  </w:pPr>
                </w:p>
              </w:tc>
              <w:tc>
                <w:tcPr>
                  <w:tcW w:w="2698" w:type="dxa"/>
                  <w:tcBorders>
                    <w:top w:val="single" w:sz="4" w:space="0" w:color="auto"/>
                    <w:left w:val="single" w:sz="4" w:space="0" w:color="auto"/>
                    <w:bottom w:val="single" w:sz="4" w:space="0" w:color="auto"/>
                    <w:right w:val="single" w:sz="4" w:space="0" w:color="auto"/>
                  </w:tcBorders>
                </w:tcPr>
                <w:p w14:paraId="53F4899A" w14:textId="77777777" w:rsidR="008F1FC0" w:rsidRDefault="008F1FC0" w:rsidP="008F1FC0">
                  <w:pPr>
                    <w:spacing w:line="276" w:lineRule="auto"/>
                    <w:jc w:val="center"/>
                    <w:rPr>
                      <w:rFonts w:ascii="Arial" w:hAnsi="Arial" w:cs="Arial"/>
                      <w:b/>
                      <w:sz w:val="20"/>
                    </w:rPr>
                  </w:pPr>
                </w:p>
                <w:p w14:paraId="674FB57B" w14:textId="77777777" w:rsidR="008F1FC0" w:rsidRPr="007D4E0A" w:rsidRDefault="008F1FC0" w:rsidP="008F1FC0">
                  <w:pPr>
                    <w:spacing w:line="276" w:lineRule="auto"/>
                    <w:jc w:val="center"/>
                    <w:rPr>
                      <w:rFonts w:ascii="Arial" w:hAnsi="Arial" w:cs="Arial"/>
                      <w:sz w:val="20"/>
                    </w:rPr>
                  </w:pPr>
                  <w:r>
                    <w:rPr>
                      <w:rFonts w:ascii="Arial" w:hAnsi="Arial" w:cs="Arial"/>
                      <w:sz w:val="20"/>
                    </w:rPr>
                    <w:t>30</w:t>
                  </w:r>
                  <w:r w:rsidRPr="007D4E0A">
                    <w:rPr>
                      <w:rFonts w:ascii="Arial" w:hAnsi="Arial" w:cs="Arial"/>
                      <w:sz w:val="20"/>
                    </w:rPr>
                    <w:t>%</w:t>
                  </w:r>
                  <w:r>
                    <w:rPr>
                      <w:rFonts w:ascii="Arial" w:hAnsi="Arial" w:cs="Arial"/>
                      <w:sz w:val="20"/>
                    </w:rPr>
                    <w:t xml:space="preserve"> of contract amount</w:t>
                  </w:r>
                </w:p>
              </w:tc>
              <w:tc>
                <w:tcPr>
                  <w:tcW w:w="2767" w:type="dxa"/>
                  <w:tcBorders>
                    <w:top w:val="single" w:sz="4" w:space="0" w:color="auto"/>
                    <w:left w:val="single" w:sz="4" w:space="0" w:color="auto"/>
                    <w:bottom w:val="single" w:sz="4" w:space="0" w:color="auto"/>
                    <w:right w:val="single" w:sz="4" w:space="0" w:color="auto"/>
                  </w:tcBorders>
                </w:tcPr>
                <w:p w14:paraId="77F21608" w14:textId="77777777" w:rsidR="008F1FC0" w:rsidRDefault="008F1FC0" w:rsidP="008F1FC0">
                  <w:pPr>
                    <w:spacing w:line="276" w:lineRule="auto"/>
                    <w:jc w:val="both"/>
                    <w:rPr>
                      <w:rFonts w:ascii="Arial" w:hAnsi="Arial" w:cs="Arial"/>
                      <w:sz w:val="20"/>
                    </w:rPr>
                  </w:pPr>
                </w:p>
                <w:p w14:paraId="1D4435C2" w14:textId="77777777" w:rsidR="008F1FC0" w:rsidRPr="007D4E0A" w:rsidRDefault="008F1FC0" w:rsidP="008F1FC0">
                  <w:pPr>
                    <w:spacing w:line="276" w:lineRule="auto"/>
                    <w:jc w:val="both"/>
                    <w:rPr>
                      <w:rFonts w:ascii="Arial" w:hAnsi="Arial" w:cs="Arial"/>
                      <w:sz w:val="20"/>
                    </w:rPr>
                  </w:pPr>
                </w:p>
              </w:tc>
            </w:tr>
            <w:bookmarkEnd w:id="3"/>
          </w:tbl>
          <w:p w14:paraId="0D954CF4" w14:textId="77777777" w:rsidR="008F1FC0" w:rsidRDefault="008F1FC0" w:rsidP="008F1FC0">
            <w:pPr>
              <w:tabs>
                <w:tab w:val="left" w:pos="720"/>
              </w:tabs>
              <w:spacing w:line="360" w:lineRule="auto"/>
              <w:ind w:left="360"/>
              <w:jc w:val="both"/>
              <w:rPr>
                <w:rFonts w:ascii="Arial" w:hAnsi="Arial" w:cs="Arial"/>
                <w:b/>
                <w:sz w:val="20"/>
                <w:lang w:val="en-ZA"/>
              </w:rPr>
            </w:pPr>
          </w:p>
          <w:p w14:paraId="33B5E79C" w14:textId="77777777" w:rsidR="008F1FC0" w:rsidRDefault="008F1FC0" w:rsidP="008F1FC0">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 xml:space="preserve">Local to site:  </w:t>
            </w:r>
          </w:p>
          <w:p w14:paraId="648323A3" w14:textId="77777777" w:rsidR="008F1FC0" w:rsidRDefault="008F1FC0" w:rsidP="008F1FC0">
            <w:pPr>
              <w:tabs>
                <w:tab w:val="left" w:pos="720"/>
              </w:tabs>
              <w:spacing w:line="360" w:lineRule="auto"/>
              <w:ind w:left="360"/>
              <w:jc w:val="both"/>
              <w:rPr>
                <w:rFonts w:ascii="Arial" w:hAnsi="Arial" w:cs="Arial"/>
                <w:sz w:val="20"/>
                <w:lang w:val="en-ZA"/>
              </w:rPr>
            </w:pPr>
            <w:r w:rsidRPr="00CA7AEF">
              <w:rPr>
                <w:rFonts w:ascii="Arial" w:hAnsi="Arial" w:cs="Arial"/>
                <w:sz w:val="20"/>
                <w:lang w:val="en-ZA"/>
              </w:rPr>
              <w:t>Local to site refers to provinces</w:t>
            </w:r>
            <w:r>
              <w:rPr>
                <w:rFonts w:ascii="Arial" w:hAnsi="Arial" w:cs="Arial"/>
                <w:sz w:val="20"/>
                <w:lang w:val="en-ZA"/>
              </w:rPr>
              <w:t xml:space="preserve">, </w:t>
            </w:r>
            <w:proofErr w:type="gramStart"/>
            <w:r>
              <w:rPr>
                <w:rFonts w:ascii="Arial" w:hAnsi="Arial" w:cs="Arial"/>
                <w:sz w:val="20"/>
                <w:lang w:val="en-ZA"/>
              </w:rPr>
              <w:t>districts</w:t>
            </w:r>
            <w:proofErr w:type="gramEnd"/>
            <w:r>
              <w:rPr>
                <w:rFonts w:ascii="Arial" w:hAnsi="Arial" w:cs="Arial"/>
                <w:sz w:val="20"/>
                <w:lang w:val="en-ZA"/>
              </w:rPr>
              <w:t xml:space="preserve"> and municipalities</w:t>
            </w:r>
            <w:r w:rsidRPr="00CA7AEF">
              <w:rPr>
                <w:rFonts w:ascii="Arial" w:hAnsi="Arial" w:cs="Arial"/>
                <w:sz w:val="20"/>
                <w:lang w:val="en-ZA"/>
              </w:rPr>
              <w:t xml:space="preserve"> where </w:t>
            </w:r>
            <w:r>
              <w:rPr>
                <w:rFonts w:ascii="Arial" w:hAnsi="Arial" w:cs="Arial"/>
                <w:sz w:val="20"/>
                <w:lang w:val="en-ZA"/>
              </w:rPr>
              <w:t xml:space="preserve">goods and services are supplied to </w:t>
            </w:r>
            <w:r w:rsidRPr="00CA7AEF">
              <w:rPr>
                <w:rFonts w:ascii="Arial" w:hAnsi="Arial" w:cs="Arial"/>
                <w:sz w:val="20"/>
                <w:lang w:val="en-ZA"/>
              </w:rPr>
              <w:t>Eskom.   The aim</w:t>
            </w:r>
            <w:r>
              <w:rPr>
                <w:rFonts w:ascii="Arial" w:hAnsi="Arial" w:cs="Arial"/>
                <w:sz w:val="20"/>
                <w:lang w:val="en-ZA"/>
              </w:rPr>
              <w:t xml:space="preserve"> of measuring local to site</w:t>
            </w:r>
            <w:r w:rsidRPr="00CA7AEF">
              <w:rPr>
                <w:rFonts w:ascii="Arial" w:hAnsi="Arial" w:cs="Arial"/>
                <w:sz w:val="20"/>
                <w:lang w:val="en-ZA"/>
              </w:rPr>
              <w:t xml:space="preserve"> is for </w:t>
            </w:r>
            <w:r>
              <w:rPr>
                <w:rFonts w:ascii="Arial" w:hAnsi="Arial" w:cs="Arial"/>
                <w:sz w:val="20"/>
                <w:lang w:val="en-ZA"/>
              </w:rPr>
              <w:t>tenderer</w:t>
            </w:r>
            <w:r w:rsidRPr="00CA7AEF">
              <w:rPr>
                <w:rFonts w:ascii="Arial" w:hAnsi="Arial" w:cs="Arial"/>
                <w:sz w:val="20"/>
                <w:lang w:val="en-ZA"/>
              </w:rPr>
              <w:t xml:space="preserve">s to spend some of their </w:t>
            </w:r>
            <w:r>
              <w:rPr>
                <w:rFonts w:ascii="Arial" w:hAnsi="Arial" w:cs="Arial"/>
                <w:sz w:val="20"/>
                <w:lang w:val="en-ZA"/>
              </w:rPr>
              <w:t>contract amount</w:t>
            </w:r>
            <w:r w:rsidRPr="00CA7AEF">
              <w:rPr>
                <w:rFonts w:ascii="Arial" w:hAnsi="Arial" w:cs="Arial"/>
                <w:sz w:val="20"/>
                <w:lang w:val="en-ZA"/>
              </w:rPr>
              <w:t xml:space="preserve"> at locations where Eskom is </w:t>
            </w:r>
            <w:r>
              <w:rPr>
                <w:rFonts w:ascii="Arial" w:hAnsi="Arial" w:cs="Arial"/>
                <w:sz w:val="20"/>
                <w:lang w:val="en-ZA"/>
              </w:rPr>
              <w:t>receiving the goods and services</w:t>
            </w:r>
            <w:r w:rsidRPr="00CA7AEF">
              <w:rPr>
                <w:rFonts w:ascii="Arial" w:hAnsi="Arial" w:cs="Arial"/>
                <w:sz w:val="20"/>
                <w:lang w:val="en-ZA"/>
              </w:rPr>
              <w:t xml:space="preserve">.   The expenditure could be a combination of </w:t>
            </w:r>
            <w:r>
              <w:rPr>
                <w:rFonts w:ascii="Arial" w:hAnsi="Arial" w:cs="Arial"/>
                <w:sz w:val="20"/>
                <w:lang w:val="en-ZA"/>
              </w:rPr>
              <w:t>procu</w:t>
            </w:r>
            <w:r w:rsidRPr="00CA7AEF">
              <w:rPr>
                <w:rFonts w:ascii="Arial" w:hAnsi="Arial" w:cs="Arial"/>
                <w:sz w:val="20"/>
                <w:lang w:val="en-ZA"/>
              </w:rPr>
              <w:t>ring (core and non-core services) from local-to-site suppliers, recruiting employees and developing skills of candidates selected from the local-to-site regions</w:t>
            </w:r>
            <w:r>
              <w:rPr>
                <w:rFonts w:ascii="Arial" w:hAnsi="Arial" w:cs="Arial"/>
                <w:sz w:val="20"/>
                <w:lang w:val="en-ZA"/>
              </w:rPr>
              <w:t>.</w:t>
            </w:r>
          </w:p>
          <w:p w14:paraId="15FB077F" w14:textId="77777777" w:rsidR="008F1FC0" w:rsidRDefault="008F1FC0" w:rsidP="008F1FC0">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2698"/>
              <w:gridCol w:w="2767"/>
            </w:tblGrid>
            <w:tr w:rsidR="008F1FC0" w14:paraId="672A1DEB" w14:textId="77777777" w:rsidTr="00BD2D12">
              <w:tc>
                <w:tcPr>
                  <w:tcW w:w="2862" w:type="dxa"/>
                  <w:vMerge w:val="restart"/>
                  <w:tcBorders>
                    <w:top w:val="single" w:sz="4" w:space="0" w:color="auto"/>
                    <w:left w:val="single" w:sz="4" w:space="0" w:color="auto"/>
                    <w:bottom w:val="single" w:sz="4" w:space="0" w:color="auto"/>
                    <w:right w:val="single" w:sz="4" w:space="0" w:color="auto"/>
                  </w:tcBorders>
                  <w:hideMark/>
                </w:tcPr>
                <w:p w14:paraId="5A5B6076" w14:textId="77777777" w:rsidR="008F1FC0" w:rsidRDefault="008F1FC0" w:rsidP="008F1FC0">
                  <w:pPr>
                    <w:spacing w:line="276" w:lineRule="auto"/>
                    <w:rPr>
                      <w:rFonts w:ascii="Arial" w:hAnsi="Arial" w:cs="Arial"/>
                      <w:b/>
                      <w:bCs/>
                      <w:color w:val="000000"/>
                      <w:sz w:val="20"/>
                    </w:rPr>
                  </w:pPr>
                </w:p>
                <w:p w14:paraId="7E907A16" w14:textId="77777777" w:rsidR="008F1FC0" w:rsidRDefault="008F1FC0" w:rsidP="008F1FC0">
                  <w:pPr>
                    <w:spacing w:line="276" w:lineRule="auto"/>
                    <w:rPr>
                      <w:rFonts w:ascii="Arial" w:hAnsi="Arial" w:cs="Arial"/>
                      <w:b/>
                      <w:sz w:val="20"/>
                    </w:rPr>
                  </w:pPr>
                  <w:r>
                    <w:rPr>
                      <w:rFonts w:ascii="Arial" w:hAnsi="Arial" w:cs="Arial"/>
                      <w:b/>
                      <w:bCs/>
                      <w:color w:val="000000"/>
                      <w:sz w:val="20"/>
                    </w:rPr>
                    <w:t xml:space="preserve">Local to site </w:t>
                  </w:r>
                </w:p>
              </w:tc>
              <w:tc>
                <w:tcPr>
                  <w:tcW w:w="2698" w:type="dxa"/>
                  <w:tcBorders>
                    <w:top w:val="single" w:sz="4" w:space="0" w:color="auto"/>
                    <w:left w:val="single" w:sz="4" w:space="0" w:color="auto"/>
                    <w:bottom w:val="single" w:sz="4" w:space="0" w:color="auto"/>
                    <w:right w:val="single" w:sz="4" w:space="0" w:color="auto"/>
                  </w:tcBorders>
                </w:tcPr>
                <w:p w14:paraId="07A89B6D" w14:textId="77777777" w:rsidR="008F1FC0" w:rsidRDefault="008F1FC0" w:rsidP="008F1FC0">
                  <w:pPr>
                    <w:spacing w:line="276" w:lineRule="auto"/>
                    <w:jc w:val="center"/>
                    <w:rPr>
                      <w:rFonts w:ascii="Arial" w:hAnsi="Arial" w:cs="Arial"/>
                      <w:b/>
                      <w:sz w:val="20"/>
                    </w:rPr>
                  </w:pPr>
                  <w:r>
                    <w:rPr>
                      <w:rFonts w:ascii="Arial" w:hAnsi="Arial" w:cs="Arial"/>
                      <w:b/>
                      <w:sz w:val="20"/>
                    </w:rPr>
                    <w:t>Eskom target</w:t>
                  </w:r>
                </w:p>
              </w:tc>
              <w:tc>
                <w:tcPr>
                  <w:tcW w:w="2767" w:type="dxa"/>
                  <w:tcBorders>
                    <w:top w:val="single" w:sz="4" w:space="0" w:color="auto"/>
                    <w:left w:val="single" w:sz="4" w:space="0" w:color="auto"/>
                    <w:bottom w:val="single" w:sz="4" w:space="0" w:color="auto"/>
                    <w:right w:val="single" w:sz="4" w:space="0" w:color="auto"/>
                  </w:tcBorders>
                  <w:hideMark/>
                </w:tcPr>
                <w:p w14:paraId="6A5F5AC5" w14:textId="77777777" w:rsidR="008F1FC0" w:rsidRDefault="008F1FC0" w:rsidP="008F1FC0">
                  <w:pPr>
                    <w:spacing w:line="276" w:lineRule="auto"/>
                    <w:jc w:val="center"/>
                    <w:rPr>
                      <w:rFonts w:ascii="Arial" w:hAnsi="Arial" w:cs="Arial"/>
                      <w:b/>
                      <w:sz w:val="20"/>
                    </w:rPr>
                  </w:pPr>
                  <w:r>
                    <w:rPr>
                      <w:rFonts w:ascii="Arial" w:hAnsi="Arial" w:cs="Arial"/>
                      <w:b/>
                      <w:sz w:val="20"/>
                    </w:rPr>
                    <w:t>Tenderer Proposal</w:t>
                  </w:r>
                </w:p>
              </w:tc>
            </w:tr>
            <w:tr w:rsidR="008F1FC0" w14:paraId="22A49533" w14:textId="77777777" w:rsidTr="00BD2D12">
              <w:trPr>
                <w:trHeight w:val="652"/>
              </w:trPr>
              <w:tc>
                <w:tcPr>
                  <w:tcW w:w="2862" w:type="dxa"/>
                  <w:vMerge/>
                  <w:tcBorders>
                    <w:top w:val="single" w:sz="4" w:space="0" w:color="auto"/>
                    <w:left w:val="single" w:sz="4" w:space="0" w:color="auto"/>
                    <w:bottom w:val="single" w:sz="4" w:space="0" w:color="auto"/>
                    <w:right w:val="single" w:sz="4" w:space="0" w:color="auto"/>
                  </w:tcBorders>
                  <w:vAlign w:val="center"/>
                  <w:hideMark/>
                </w:tcPr>
                <w:p w14:paraId="55CA9EDB" w14:textId="77777777" w:rsidR="008F1FC0" w:rsidRDefault="008F1FC0" w:rsidP="008F1FC0">
                  <w:pPr>
                    <w:rPr>
                      <w:rFonts w:ascii="Arial" w:hAnsi="Arial" w:cs="Arial"/>
                      <w:b/>
                      <w:sz w:val="20"/>
                    </w:rPr>
                  </w:pPr>
                </w:p>
              </w:tc>
              <w:tc>
                <w:tcPr>
                  <w:tcW w:w="2698" w:type="dxa"/>
                  <w:tcBorders>
                    <w:top w:val="single" w:sz="4" w:space="0" w:color="auto"/>
                    <w:left w:val="single" w:sz="4" w:space="0" w:color="auto"/>
                    <w:bottom w:val="single" w:sz="4" w:space="0" w:color="auto"/>
                    <w:right w:val="single" w:sz="4" w:space="0" w:color="auto"/>
                  </w:tcBorders>
                </w:tcPr>
                <w:p w14:paraId="593D1345" w14:textId="77777777" w:rsidR="008F1FC0" w:rsidRDefault="008F1FC0" w:rsidP="008F1FC0">
                  <w:pPr>
                    <w:spacing w:line="276" w:lineRule="auto"/>
                    <w:jc w:val="center"/>
                    <w:rPr>
                      <w:rFonts w:ascii="Arial" w:hAnsi="Arial" w:cs="Arial"/>
                      <w:b/>
                      <w:sz w:val="20"/>
                    </w:rPr>
                  </w:pPr>
                </w:p>
                <w:p w14:paraId="1719247F" w14:textId="77777777" w:rsidR="008F1FC0" w:rsidRPr="007D4E0A" w:rsidRDefault="008F1FC0" w:rsidP="008F1FC0">
                  <w:pPr>
                    <w:spacing w:line="276" w:lineRule="auto"/>
                    <w:jc w:val="center"/>
                    <w:rPr>
                      <w:rFonts w:ascii="Arial" w:hAnsi="Arial" w:cs="Arial"/>
                      <w:sz w:val="20"/>
                    </w:rPr>
                  </w:pPr>
                  <w:r>
                    <w:rPr>
                      <w:rFonts w:ascii="Arial" w:hAnsi="Arial" w:cs="Arial"/>
                      <w:sz w:val="20"/>
                    </w:rPr>
                    <w:t>5</w:t>
                  </w:r>
                  <w:r w:rsidRPr="007D4E0A">
                    <w:rPr>
                      <w:rFonts w:ascii="Arial" w:hAnsi="Arial" w:cs="Arial"/>
                      <w:sz w:val="20"/>
                    </w:rPr>
                    <w:t>%</w:t>
                  </w:r>
                  <w:r>
                    <w:rPr>
                      <w:rFonts w:ascii="Arial" w:hAnsi="Arial" w:cs="Arial"/>
                      <w:sz w:val="20"/>
                    </w:rPr>
                    <w:t xml:space="preserve"> of contract amount</w:t>
                  </w:r>
                </w:p>
              </w:tc>
              <w:tc>
                <w:tcPr>
                  <w:tcW w:w="2767" w:type="dxa"/>
                  <w:tcBorders>
                    <w:top w:val="single" w:sz="4" w:space="0" w:color="auto"/>
                    <w:left w:val="single" w:sz="4" w:space="0" w:color="auto"/>
                    <w:bottom w:val="single" w:sz="4" w:space="0" w:color="auto"/>
                    <w:right w:val="single" w:sz="4" w:space="0" w:color="auto"/>
                  </w:tcBorders>
                </w:tcPr>
                <w:p w14:paraId="3A99DB3A" w14:textId="77777777" w:rsidR="008F1FC0" w:rsidRDefault="008F1FC0" w:rsidP="008F1FC0">
                  <w:pPr>
                    <w:spacing w:line="276" w:lineRule="auto"/>
                    <w:jc w:val="both"/>
                    <w:rPr>
                      <w:rFonts w:ascii="Arial" w:hAnsi="Arial" w:cs="Arial"/>
                      <w:sz w:val="20"/>
                    </w:rPr>
                  </w:pPr>
                </w:p>
                <w:p w14:paraId="3B7C17A9" w14:textId="77777777" w:rsidR="008F1FC0" w:rsidRPr="007D4E0A" w:rsidRDefault="008F1FC0" w:rsidP="008F1FC0">
                  <w:pPr>
                    <w:spacing w:line="276" w:lineRule="auto"/>
                    <w:jc w:val="both"/>
                    <w:rPr>
                      <w:rFonts w:ascii="Arial" w:hAnsi="Arial" w:cs="Arial"/>
                      <w:sz w:val="20"/>
                    </w:rPr>
                  </w:pPr>
                </w:p>
              </w:tc>
            </w:tr>
          </w:tbl>
          <w:p w14:paraId="1EFC8119" w14:textId="77777777" w:rsidR="008F1FC0" w:rsidRDefault="008F1FC0" w:rsidP="008F1FC0">
            <w:pPr>
              <w:pStyle w:val="ListParagraph"/>
              <w:rPr>
                <w:rFonts w:ascii="Arial" w:hAnsi="Arial" w:cs="Arial"/>
                <w:sz w:val="20"/>
                <w:lang w:val="en-ZA"/>
              </w:rPr>
            </w:pPr>
          </w:p>
          <w:p w14:paraId="57F15F11" w14:textId="77777777" w:rsidR="008F1FC0" w:rsidRPr="00861BE0" w:rsidRDefault="008F1FC0" w:rsidP="008F1FC0">
            <w:pPr>
              <w:tabs>
                <w:tab w:val="left" w:pos="720"/>
              </w:tabs>
              <w:spacing w:line="276" w:lineRule="auto"/>
              <w:jc w:val="both"/>
              <w:rPr>
                <w:rFonts w:ascii="Arial" w:hAnsi="Arial" w:cs="Arial"/>
                <w:sz w:val="20"/>
                <w:lang w:val="en-ZA"/>
              </w:rPr>
            </w:pPr>
          </w:p>
          <w:p w14:paraId="61D8F7D9" w14:textId="77777777" w:rsidR="008F1FC0" w:rsidRPr="000263D8" w:rsidRDefault="008F1FC0" w:rsidP="008F1FC0">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Pr>
                <w:rFonts w:ascii="Arial" w:hAnsi="Arial" w:cs="Arial"/>
                <w:sz w:val="20"/>
                <w:lang w:val="en-ZA"/>
              </w:rPr>
              <w:t>Tenderers are required to submit proposals for the type and number of jobs that will be created and retained in South Africa as a direct result of being awarded a contract.</w:t>
            </w:r>
          </w:p>
          <w:p w14:paraId="5BA93684" w14:textId="77777777" w:rsidR="008F1FC0" w:rsidRPr="00FA31B2" w:rsidRDefault="008F1FC0" w:rsidP="008F1FC0">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8F1FC0" w:rsidRPr="000C5130" w14:paraId="6B11BA06" w14:textId="77777777" w:rsidTr="00BD2D12">
              <w:trPr>
                <w:trHeight w:val="323"/>
              </w:trPr>
              <w:tc>
                <w:tcPr>
                  <w:tcW w:w="3783" w:type="dxa"/>
                  <w:shd w:val="clear" w:color="auto" w:fill="D9D9D9" w:themeFill="background1" w:themeFillShade="D9"/>
                </w:tcPr>
                <w:p w14:paraId="059D5B5F" w14:textId="77777777" w:rsidR="008F1FC0" w:rsidRPr="000C5130" w:rsidRDefault="008F1FC0" w:rsidP="008F1FC0">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783" w:type="dxa"/>
                  <w:shd w:val="clear" w:color="auto" w:fill="D9D9D9" w:themeFill="background1" w:themeFillShade="D9"/>
                </w:tcPr>
                <w:p w14:paraId="00C6F0D5" w14:textId="77777777" w:rsidR="008F1FC0" w:rsidRPr="000C5130" w:rsidRDefault="008F1FC0" w:rsidP="008F1FC0">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8F1FC0" w:rsidRPr="000C5130" w14:paraId="067DF199" w14:textId="77777777" w:rsidTr="00BD2D12">
              <w:trPr>
                <w:trHeight w:val="340"/>
              </w:trPr>
              <w:tc>
                <w:tcPr>
                  <w:tcW w:w="3783" w:type="dxa"/>
                  <w:shd w:val="clear" w:color="auto" w:fill="auto"/>
                </w:tcPr>
                <w:p w14:paraId="221A5D30" w14:textId="77777777" w:rsidR="008F1FC0" w:rsidRPr="000C5130" w:rsidRDefault="008F1FC0" w:rsidP="008F1FC0">
                  <w:pPr>
                    <w:tabs>
                      <w:tab w:val="left" w:pos="720"/>
                    </w:tabs>
                    <w:spacing w:line="276" w:lineRule="auto"/>
                    <w:jc w:val="both"/>
                    <w:rPr>
                      <w:rFonts w:ascii="Arial" w:hAnsi="Arial" w:cs="Arial"/>
                      <w:sz w:val="20"/>
                    </w:rPr>
                  </w:pPr>
                </w:p>
              </w:tc>
              <w:tc>
                <w:tcPr>
                  <w:tcW w:w="3783" w:type="dxa"/>
                  <w:shd w:val="clear" w:color="auto" w:fill="auto"/>
                </w:tcPr>
                <w:p w14:paraId="6875B3C1" w14:textId="77777777" w:rsidR="008F1FC0" w:rsidRPr="000C5130" w:rsidRDefault="008F1FC0" w:rsidP="008F1FC0">
                  <w:pPr>
                    <w:tabs>
                      <w:tab w:val="left" w:pos="720"/>
                    </w:tabs>
                    <w:spacing w:line="276" w:lineRule="auto"/>
                    <w:jc w:val="both"/>
                    <w:rPr>
                      <w:rFonts w:ascii="Arial" w:hAnsi="Arial" w:cs="Arial"/>
                      <w:sz w:val="20"/>
                    </w:rPr>
                  </w:pPr>
                </w:p>
              </w:tc>
            </w:tr>
          </w:tbl>
          <w:p w14:paraId="28AA1F13" w14:textId="77777777" w:rsidR="008F1FC0" w:rsidRDefault="008F1FC0" w:rsidP="008F1FC0">
            <w:pPr>
              <w:tabs>
                <w:tab w:val="left" w:pos="720"/>
              </w:tabs>
              <w:spacing w:line="360" w:lineRule="auto"/>
              <w:ind w:left="360"/>
              <w:jc w:val="both"/>
              <w:rPr>
                <w:rFonts w:ascii="Arial" w:hAnsi="Arial" w:cs="Arial"/>
                <w:b/>
                <w:sz w:val="20"/>
                <w:lang w:val="en-ZA"/>
              </w:rPr>
            </w:pPr>
          </w:p>
          <w:p w14:paraId="2176E0FD" w14:textId="77777777" w:rsidR="008F1FC0" w:rsidRPr="006E4F88" w:rsidRDefault="008F1FC0" w:rsidP="008F1FC0">
            <w:pPr>
              <w:tabs>
                <w:tab w:val="left" w:pos="720"/>
              </w:tabs>
              <w:spacing w:line="360" w:lineRule="auto"/>
              <w:ind w:left="360"/>
              <w:jc w:val="both"/>
              <w:rPr>
                <w:rFonts w:ascii="Arial" w:hAnsi="Arial" w:cs="Arial"/>
                <w:b/>
                <w:sz w:val="20"/>
                <w:lang w:val="en-ZA"/>
              </w:rPr>
            </w:pPr>
          </w:p>
          <w:p w14:paraId="68A20F84" w14:textId="77777777" w:rsidR="008F1FC0" w:rsidRDefault="008F1FC0" w:rsidP="008F1FC0">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8F1FC0" w:rsidRPr="000C5130" w14:paraId="0A09579B" w14:textId="77777777" w:rsidTr="00BD2D12">
              <w:trPr>
                <w:trHeight w:val="323"/>
              </w:trPr>
              <w:tc>
                <w:tcPr>
                  <w:tcW w:w="3783" w:type="dxa"/>
                  <w:shd w:val="clear" w:color="auto" w:fill="D9D9D9" w:themeFill="background1" w:themeFillShade="D9"/>
                </w:tcPr>
                <w:p w14:paraId="2C3A3157" w14:textId="77777777" w:rsidR="008F1FC0" w:rsidRPr="000C5130" w:rsidRDefault="008F1FC0" w:rsidP="008F1FC0">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783" w:type="dxa"/>
                  <w:shd w:val="clear" w:color="auto" w:fill="D9D9D9" w:themeFill="background1" w:themeFillShade="D9"/>
                </w:tcPr>
                <w:p w14:paraId="4F83B025" w14:textId="77777777" w:rsidR="008F1FC0" w:rsidRPr="000C5130" w:rsidRDefault="008F1FC0" w:rsidP="008F1FC0">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8F1FC0" w:rsidRPr="000C5130" w14:paraId="6391DC4A" w14:textId="77777777" w:rsidTr="00BD2D12">
              <w:trPr>
                <w:trHeight w:val="340"/>
              </w:trPr>
              <w:tc>
                <w:tcPr>
                  <w:tcW w:w="3783" w:type="dxa"/>
                  <w:shd w:val="clear" w:color="auto" w:fill="auto"/>
                </w:tcPr>
                <w:p w14:paraId="237298D2" w14:textId="77777777" w:rsidR="008F1FC0" w:rsidRPr="000C5130" w:rsidRDefault="008F1FC0" w:rsidP="008F1FC0">
                  <w:pPr>
                    <w:tabs>
                      <w:tab w:val="left" w:pos="720"/>
                    </w:tabs>
                    <w:spacing w:line="276" w:lineRule="auto"/>
                    <w:jc w:val="both"/>
                    <w:rPr>
                      <w:rFonts w:ascii="Arial" w:hAnsi="Arial" w:cs="Arial"/>
                      <w:sz w:val="20"/>
                    </w:rPr>
                  </w:pPr>
                </w:p>
              </w:tc>
              <w:tc>
                <w:tcPr>
                  <w:tcW w:w="3783" w:type="dxa"/>
                  <w:shd w:val="clear" w:color="auto" w:fill="auto"/>
                </w:tcPr>
                <w:p w14:paraId="7E5D7D03" w14:textId="77777777" w:rsidR="008F1FC0" w:rsidRPr="000C5130" w:rsidRDefault="008F1FC0" w:rsidP="008F1FC0">
                  <w:pPr>
                    <w:tabs>
                      <w:tab w:val="left" w:pos="720"/>
                    </w:tabs>
                    <w:spacing w:line="276" w:lineRule="auto"/>
                    <w:jc w:val="both"/>
                    <w:rPr>
                      <w:rFonts w:ascii="Arial" w:hAnsi="Arial" w:cs="Arial"/>
                      <w:sz w:val="20"/>
                    </w:rPr>
                  </w:pPr>
                </w:p>
              </w:tc>
            </w:tr>
          </w:tbl>
          <w:p w14:paraId="6DBCFAFE" w14:textId="77777777" w:rsidR="008F1FC0" w:rsidRDefault="008F1FC0" w:rsidP="008F1FC0">
            <w:pPr>
              <w:pStyle w:val="ListParagraph"/>
              <w:rPr>
                <w:rFonts w:ascii="Arial" w:hAnsi="Arial" w:cs="Arial"/>
                <w:b/>
                <w:sz w:val="20"/>
                <w:lang w:val="en-ZA"/>
              </w:rPr>
            </w:pPr>
          </w:p>
          <w:p w14:paraId="05F5C2A3" w14:textId="77777777" w:rsidR="008F1FC0" w:rsidRDefault="008F1FC0" w:rsidP="008F1FC0">
            <w:pPr>
              <w:pStyle w:val="ListParagraph"/>
              <w:rPr>
                <w:rFonts w:ascii="Arial" w:hAnsi="Arial" w:cs="Arial"/>
                <w:b/>
                <w:sz w:val="20"/>
                <w:lang w:val="en-ZA"/>
              </w:rPr>
            </w:pPr>
          </w:p>
          <w:p w14:paraId="40388B1B" w14:textId="77777777" w:rsidR="008F1FC0" w:rsidRDefault="008F1FC0" w:rsidP="008F1FC0">
            <w:pPr>
              <w:pStyle w:val="ListParagraph"/>
              <w:rPr>
                <w:rFonts w:ascii="Arial" w:hAnsi="Arial" w:cs="Arial"/>
                <w:b/>
                <w:sz w:val="20"/>
                <w:lang w:val="en-ZA"/>
              </w:rPr>
            </w:pPr>
          </w:p>
          <w:p w14:paraId="543D64DF" w14:textId="77777777" w:rsidR="008F1FC0" w:rsidRDefault="008F1FC0" w:rsidP="008F1FC0">
            <w:pPr>
              <w:tabs>
                <w:tab w:val="left" w:pos="720"/>
              </w:tabs>
              <w:spacing w:line="276" w:lineRule="auto"/>
              <w:jc w:val="both"/>
              <w:rPr>
                <w:rFonts w:ascii="Arial" w:hAnsi="Arial" w:cs="Arial"/>
                <w:b/>
                <w:sz w:val="20"/>
                <w:lang w:val="en-ZA"/>
              </w:rPr>
            </w:pPr>
          </w:p>
          <w:p w14:paraId="5253A596" w14:textId="77777777" w:rsidR="008F1FC0" w:rsidRDefault="008F1FC0" w:rsidP="008F1FC0">
            <w:pPr>
              <w:tabs>
                <w:tab w:val="left" w:pos="720"/>
              </w:tabs>
              <w:spacing w:line="276" w:lineRule="auto"/>
              <w:ind w:left="360"/>
              <w:jc w:val="both"/>
              <w:rPr>
                <w:rFonts w:ascii="Arial" w:hAnsi="Arial" w:cs="Arial"/>
                <w:b/>
                <w:sz w:val="20"/>
                <w:lang w:val="en-ZA"/>
              </w:rPr>
            </w:pPr>
          </w:p>
          <w:p w14:paraId="6E045EE1" w14:textId="77777777" w:rsidR="008F1FC0" w:rsidRPr="006E4F88" w:rsidRDefault="008F1FC0" w:rsidP="008F1FC0">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38B8D374" w14:textId="77777777" w:rsidR="008F1FC0" w:rsidRDefault="008F1FC0" w:rsidP="008F1FC0">
            <w:pPr>
              <w:tabs>
                <w:tab w:val="left" w:pos="720"/>
              </w:tabs>
              <w:jc w:val="both"/>
              <w:rPr>
                <w:rFonts w:ascii="Arial" w:hAnsi="Arial" w:cs="Arial"/>
                <w:sz w:val="20"/>
              </w:rPr>
            </w:pPr>
          </w:p>
          <w:p w14:paraId="2594CA68" w14:textId="77777777" w:rsidR="008F1FC0" w:rsidRPr="000C5130" w:rsidRDefault="008F1FC0" w:rsidP="008F1FC0">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the </w:t>
            </w:r>
            <w:proofErr w:type="spellStart"/>
            <w:r>
              <w:rPr>
                <w:rFonts w:ascii="Arial" w:hAnsi="Arial" w:cs="Arial"/>
                <w:sz w:val="20"/>
              </w:rPr>
              <w:t>Mict</w:t>
            </w:r>
            <w:r w:rsidRPr="002232D4">
              <w:rPr>
                <w:rFonts w:ascii="Arial" w:hAnsi="Arial" w:cs="Arial"/>
                <w:sz w:val="20"/>
              </w:rPr>
              <w:t>SETA</w:t>
            </w:r>
            <w:proofErr w:type="spellEnd"/>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p w14:paraId="5825B346" w14:textId="77777777" w:rsidR="008F1FC0" w:rsidRDefault="008F1FC0" w:rsidP="008F1FC0">
            <w:pPr>
              <w:tabs>
                <w:tab w:val="left" w:pos="720"/>
              </w:tabs>
              <w:jc w:val="both"/>
              <w:rPr>
                <w:rFonts w:ascii="Arial" w:hAnsi="Arial" w:cs="Arial"/>
                <w:sz w:val="20"/>
                <w:lang w:val="en-ZA"/>
              </w:rPr>
            </w:pPr>
          </w:p>
          <w:p w14:paraId="395B66D0" w14:textId="77777777" w:rsidR="008F1FC0" w:rsidRDefault="008F1FC0" w:rsidP="008F1FC0">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2330"/>
              <w:gridCol w:w="2431"/>
            </w:tblGrid>
            <w:tr w:rsidR="008F1FC0" w:rsidRPr="000C5130" w14:paraId="0D9A071A" w14:textId="77777777" w:rsidTr="00BD2D12">
              <w:trPr>
                <w:trHeight w:val="359"/>
              </w:trPr>
              <w:tc>
                <w:tcPr>
                  <w:tcW w:w="3422" w:type="dxa"/>
                  <w:shd w:val="clear" w:color="auto" w:fill="D9D9D9" w:themeFill="background1" w:themeFillShade="D9"/>
                </w:tcPr>
                <w:p w14:paraId="02840000" w14:textId="77777777" w:rsidR="008F1FC0" w:rsidRPr="000C5130" w:rsidRDefault="008F1FC0" w:rsidP="008F1FC0">
                  <w:pPr>
                    <w:tabs>
                      <w:tab w:val="left" w:pos="720"/>
                    </w:tabs>
                    <w:jc w:val="center"/>
                    <w:rPr>
                      <w:rFonts w:ascii="Arial" w:hAnsi="Arial" w:cs="Arial"/>
                      <w:b/>
                      <w:sz w:val="20"/>
                    </w:rPr>
                  </w:pPr>
                  <w:r>
                    <w:rPr>
                      <w:rFonts w:ascii="Arial" w:hAnsi="Arial" w:cs="Arial"/>
                      <w:b/>
                      <w:sz w:val="20"/>
                    </w:rPr>
                    <w:t>Skill type / Occupation</w:t>
                  </w:r>
                </w:p>
              </w:tc>
              <w:tc>
                <w:tcPr>
                  <w:tcW w:w="2330" w:type="dxa"/>
                  <w:shd w:val="clear" w:color="auto" w:fill="D9D9D9" w:themeFill="background1" w:themeFillShade="D9"/>
                </w:tcPr>
                <w:p w14:paraId="1D00A996" w14:textId="77777777" w:rsidR="008F1FC0" w:rsidRDefault="008F1FC0" w:rsidP="008F1FC0">
                  <w:pPr>
                    <w:tabs>
                      <w:tab w:val="left" w:pos="720"/>
                    </w:tabs>
                    <w:jc w:val="center"/>
                    <w:rPr>
                      <w:rFonts w:ascii="Arial" w:hAnsi="Arial" w:cs="Arial"/>
                      <w:b/>
                      <w:sz w:val="20"/>
                    </w:rPr>
                  </w:pPr>
                  <w:r>
                    <w:rPr>
                      <w:rFonts w:ascii="Arial" w:hAnsi="Arial" w:cs="Arial"/>
                      <w:b/>
                      <w:sz w:val="20"/>
                    </w:rPr>
                    <w:t>Eskom target</w:t>
                  </w:r>
                </w:p>
              </w:tc>
              <w:tc>
                <w:tcPr>
                  <w:tcW w:w="2431" w:type="dxa"/>
                  <w:shd w:val="clear" w:color="auto" w:fill="D9D9D9" w:themeFill="background1" w:themeFillShade="D9"/>
                </w:tcPr>
                <w:p w14:paraId="3D76B211" w14:textId="77777777" w:rsidR="008F1FC0" w:rsidRPr="000C5130" w:rsidRDefault="008F1FC0" w:rsidP="008F1FC0">
                  <w:pPr>
                    <w:tabs>
                      <w:tab w:val="left" w:pos="720"/>
                    </w:tabs>
                    <w:jc w:val="center"/>
                    <w:rPr>
                      <w:rFonts w:ascii="Arial" w:hAnsi="Arial" w:cs="Arial"/>
                      <w:b/>
                      <w:sz w:val="20"/>
                    </w:rPr>
                  </w:pPr>
                  <w:r>
                    <w:rPr>
                      <w:rFonts w:ascii="Arial" w:hAnsi="Arial" w:cs="Arial"/>
                      <w:b/>
                      <w:sz w:val="20"/>
                    </w:rPr>
                    <w:t>Proposed Number of Candidates</w:t>
                  </w:r>
                </w:p>
              </w:tc>
            </w:tr>
            <w:tr w:rsidR="008F1FC0" w:rsidRPr="000C5130" w14:paraId="0548E10F" w14:textId="77777777" w:rsidTr="00BD2D12">
              <w:trPr>
                <w:trHeight w:val="359"/>
              </w:trPr>
              <w:tc>
                <w:tcPr>
                  <w:tcW w:w="3422" w:type="dxa"/>
                  <w:shd w:val="clear" w:color="auto" w:fill="auto"/>
                </w:tcPr>
                <w:p w14:paraId="690F2A83" w14:textId="77777777" w:rsidR="008F1FC0" w:rsidRDefault="008F1FC0" w:rsidP="008F1FC0">
                  <w:pPr>
                    <w:jc w:val="both"/>
                    <w:rPr>
                      <w:rFonts w:ascii="Arial" w:hAnsi="Arial" w:cs="Arial"/>
                      <w:sz w:val="20"/>
                    </w:rPr>
                  </w:pPr>
                  <w:r>
                    <w:rPr>
                      <w:rFonts w:ascii="Arial" w:hAnsi="Arial" w:cs="Arial"/>
                      <w:sz w:val="20"/>
                    </w:rPr>
                    <w:t>Comp TIA A+</w:t>
                  </w:r>
                </w:p>
              </w:tc>
              <w:tc>
                <w:tcPr>
                  <w:tcW w:w="2330" w:type="dxa"/>
                </w:tcPr>
                <w:p w14:paraId="05DEDB08" w14:textId="77777777" w:rsidR="008F1FC0" w:rsidRDefault="008F1FC0" w:rsidP="008F1FC0">
                  <w:pPr>
                    <w:jc w:val="center"/>
                    <w:rPr>
                      <w:rFonts w:ascii="Arial" w:hAnsi="Arial" w:cs="Arial"/>
                      <w:sz w:val="20"/>
                    </w:rPr>
                  </w:pPr>
                  <w:r>
                    <w:rPr>
                      <w:rFonts w:ascii="Arial" w:hAnsi="Arial" w:cs="Arial"/>
                      <w:sz w:val="20"/>
                    </w:rPr>
                    <w:t>180</w:t>
                  </w:r>
                </w:p>
              </w:tc>
              <w:tc>
                <w:tcPr>
                  <w:tcW w:w="2431" w:type="dxa"/>
                </w:tcPr>
                <w:p w14:paraId="5185638C" w14:textId="77777777" w:rsidR="008F1FC0" w:rsidRDefault="008F1FC0" w:rsidP="008F1FC0">
                  <w:pPr>
                    <w:jc w:val="center"/>
                    <w:rPr>
                      <w:rFonts w:ascii="Arial" w:hAnsi="Arial" w:cs="Arial"/>
                      <w:sz w:val="20"/>
                    </w:rPr>
                  </w:pPr>
                </w:p>
              </w:tc>
            </w:tr>
            <w:tr w:rsidR="008F1FC0" w:rsidRPr="000C5130" w14:paraId="33A76513" w14:textId="77777777" w:rsidTr="00BD2D12">
              <w:trPr>
                <w:trHeight w:val="359"/>
              </w:trPr>
              <w:tc>
                <w:tcPr>
                  <w:tcW w:w="3422" w:type="dxa"/>
                  <w:shd w:val="clear" w:color="auto" w:fill="auto"/>
                </w:tcPr>
                <w:p w14:paraId="57EE9ED7" w14:textId="77777777" w:rsidR="008F1FC0" w:rsidRDefault="008F1FC0" w:rsidP="008F1FC0">
                  <w:pPr>
                    <w:jc w:val="both"/>
                    <w:rPr>
                      <w:rFonts w:ascii="Arial" w:hAnsi="Arial" w:cs="Arial"/>
                      <w:sz w:val="20"/>
                    </w:rPr>
                  </w:pPr>
                  <w:r>
                    <w:rPr>
                      <w:rFonts w:ascii="Arial" w:hAnsi="Arial" w:cs="Arial"/>
                      <w:sz w:val="20"/>
                    </w:rPr>
                    <w:t>Microsoft certified fundamentals (Azure, power platform, 365)</w:t>
                  </w:r>
                </w:p>
              </w:tc>
              <w:tc>
                <w:tcPr>
                  <w:tcW w:w="2330" w:type="dxa"/>
                </w:tcPr>
                <w:p w14:paraId="78508641" w14:textId="77777777" w:rsidR="008F1FC0" w:rsidRDefault="008F1FC0" w:rsidP="008F1FC0">
                  <w:pPr>
                    <w:jc w:val="center"/>
                    <w:rPr>
                      <w:rFonts w:ascii="Arial" w:hAnsi="Arial" w:cs="Arial"/>
                      <w:sz w:val="20"/>
                    </w:rPr>
                  </w:pPr>
                  <w:r>
                    <w:rPr>
                      <w:rFonts w:ascii="Arial" w:hAnsi="Arial" w:cs="Arial"/>
                      <w:sz w:val="20"/>
                    </w:rPr>
                    <w:t>70</w:t>
                  </w:r>
                </w:p>
              </w:tc>
              <w:tc>
                <w:tcPr>
                  <w:tcW w:w="2431" w:type="dxa"/>
                </w:tcPr>
                <w:p w14:paraId="443B57E2" w14:textId="77777777" w:rsidR="008F1FC0" w:rsidRDefault="008F1FC0" w:rsidP="008F1FC0">
                  <w:pPr>
                    <w:jc w:val="center"/>
                    <w:rPr>
                      <w:rFonts w:ascii="Arial" w:hAnsi="Arial" w:cs="Arial"/>
                      <w:sz w:val="20"/>
                    </w:rPr>
                  </w:pPr>
                </w:p>
              </w:tc>
            </w:tr>
          </w:tbl>
          <w:p w14:paraId="37DD59ED" w14:textId="77777777" w:rsidR="008F1FC0" w:rsidRDefault="008F1FC0" w:rsidP="008F1FC0">
            <w:pPr>
              <w:tabs>
                <w:tab w:val="left" w:pos="720"/>
              </w:tabs>
              <w:ind w:left="720"/>
              <w:jc w:val="both"/>
              <w:rPr>
                <w:rFonts w:ascii="Arial" w:hAnsi="Arial" w:cs="Arial"/>
                <w:sz w:val="20"/>
                <w:lang w:val="en-ZA"/>
              </w:rPr>
            </w:pPr>
          </w:p>
          <w:p w14:paraId="41CFB2A3" w14:textId="77777777" w:rsidR="008F1FC0" w:rsidRDefault="008F1FC0" w:rsidP="008F1FC0">
            <w:pPr>
              <w:tabs>
                <w:tab w:val="left" w:pos="720"/>
              </w:tabs>
              <w:jc w:val="both"/>
              <w:rPr>
                <w:rFonts w:ascii="Arial" w:hAnsi="Arial" w:cs="Arial"/>
                <w:sz w:val="20"/>
                <w:lang w:val="en-ZA"/>
              </w:rPr>
            </w:pPr>
          </w:p>
          <w:p w14:paraId="5804F360" w14:textId="77777777" w:rsidR="008F1FC0" w:rsidRPr="004D5F75" w:rsidRDefault="008F1FC0" w:rsidP="008F1FC0">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 xml:space="preserve">The process of developing these skills shall involve the participation by tenderers directly </w:t>
            </w:r>
            <w:proofErr w:type="gramStart"/>
            <w:r w:rsidRPr="004D5F75">
              <w:rPr>
                <w:rFonts w:ascii="Arial" w:eastAsia="Calibri" w:hAnsi="Arial" w:cs="Arial"/>
                <w:sz w:val="20"/>
                <w:szCs w:val="22"/>
                <w:lang w:val="en-ZA"/>
              </w:rPr>
              <w:t>and  through</w:t>
            </w:r>
            <w:proofErr w:type="gramEnd"/>
            <w:r w:rsidRPr="004D5F75">
              <w:rPr>
                <w:rFonts w:ascii="Arial" w:eastAsia="Calibri" w:hAnsi="Arial" w:cs="Arial"/>
                <w:sz w:val="20"/>
                <w:szCs w:val="22"/>
                <w:lang w:val="en-ZA"/>
              </w:rPr>
              <w:t xml:space="preserve">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50F993BF" w14:textId="77777777" w:rsidR="008F1FC0" w:rsidRPr="004D5F75" w:rsidRDefault="008F1FC0" w:rsidP="008F1FC0">
            <w:pPr>
              <w:spacing w:after="200" w:line="360" w:lineRule="auto"/>
              <w:ind w:left="360"/>
              <w:contextualSpacing/>
              <w:jc w:val="both"/>
              <w:rPr>
                <w:rFonts w:ascii="Arial" w:eastAsia="Calibri" w:hAnsi="Arial" w:cs="Arial"/>
                <w:sz w:val="20"/>
                <w:szCs w:val="22"/>
                <w:lang w:val="en-ZA"/>
              </w:rPr>
            </w:pPr>
          </w:p>
          <w:p w14:paraId="27E12F93" w14:textId="11A5F97B" w:rsidR="008E55EB" w:rsidRPr="000C5130" w:rsidRDefault="008F1FC0" w:rsidP="008F1FC0">
            <w:pPr>
              <w:tabs>
                <w:tab w:val="left" w:pos="720"/>
              </w:tabs>
              <w:spacing w:line="360" w:lineRule="auto"/>
              <w:jc w:val="both"/>
              <w:rPr>
                <w:rFonts w:ascii="Arial" w:hAnsi="Arial" w:cs="Arial"/>
                <w:sz w:val="20"/>
              </w:rPr>
            </w:pPr>
            <w:r w:rsidRPr="004D5F75">
              <w:rPr>
                <w:rFonts w:ascii="Arial" w:eastAsia="Calibri" w:hAnsi="Arial" w:cs="Arial"/>
                <w:sz w:val="20"/>
                <w:szCs w:val="22"/>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tc>
      </w:tr>
    </w:tbl>
    <w:p w14:paraId="4ED5D03F" w14:textId="77777777" w:rsidR="004D785D" w:rsidRDefault="004D785D" w:rsidP="00EB6A30">
      <w:pPr>
        <w:spacing w:after="120" w:line="276" w:lineRule="auto"/>
        <w:rPr>
          <w:rFonts w:ascii="Arial" w:hAnsi="Arial" w:cs="Arial"/>
          <w:b/>
          <w:sz w:val="22"/>
        </w:rPr>
      </w:pPr>
    </w:p>
    <w:p w14:paraId="14951245" w14:textId="5592392D" w:rsidR="0039219D" w:rsidRPr="00506A41" w:rsidRDefault="0039219D" w:rsidP="00EB6A30">
      <w:pPr>
        <w:spacing w:after="120" w:line="276" w:lineRule="auto"/>
        <w:rPr>
          <w:rFonts w:ascii="Arial" w:hAnsi="Arial" w:cs="Arial"/>
          <w:b/>
          <w:sz w:val="22"/>
        </w:rPr>
      </w:pPr>
      <w:r w:rsidRPr="00506A41">
        <w:rPr>
          <w:rFonts w:ascii="Arial" w:hAnsi="Arial" w:cs="Arial"/>
          <w:b/>
          <w:sz w:val="22"/>
        </w:rPr>
        <w:t>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Default="00EF4E0F" w:rsidP="00AF6824">
            <w:pPr>
              <w:spacing w:line="360" w:lineRule="auto"/>
              <w:contextualSpacing/>
              <w:jc w:val="both"/>
              <w:rPr>
                <w:rFonts w:ascii="Arial" w:eastAsia="Calibri" w:hAnsi="Arial" w:cs="Arial"/>
                <w:sz w:val="20"/>
                <w:szCs w:val="22"/>
                <w:lang w:val="en-ZA"/>
              </w:rPr>
            </w:pPr>
          </w:p>
          <w:p w14:paraId="17136A1E"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384BD7D7" w14:textId="77777777" w:rsidR="00A500C7" w:rsidRDefault="00A500C7" w:rsidP="00C7656D">
      <w:pPr>
        <w:spacing w:after="200" w:line="276" w:lineRule="auto"/>
        <w:rPr>
          <w:rFonts w:ascii="Arial" w:hAnsi="Arial" w:cs="Arial"/>
          <w:b/>
          <w:sz w:val="22"/>
        </w:rPr>
      </w:pPr>
    </w:p>
    <w:p w14:paraId="35DAD45A" w14:textId="51FB7F34" w:rsidR="00990864" w:rsidRPr="00816D48" w:rsidRDefault="00990864" w:rsidP="00C7656D">
      <w:pPr>
        <w:spacing w:after="200" w:line="276" w:lineRule="auto"/>
        <w:rPr>
          <w:rFonts w:ascii="Arial" w:hAnsi="Arial" w:cs="Arial"/>
          <w:b/>
          <w:sz w:val="22"/>
        </w:rPr>
      </w:pPr>
      <w:r>
        <w:rPr>
          <w:rFonts w:ascii="Arial" w:hAnsi="Arial" w:cs="Arial"/>
          <w:b/>
          <w:sz w:val="22"/>
        </w:rPr>
        <w:t>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A505B">
        <w:trPr>
          <w:trHeight w:val="1536"/>
        </w:trPr>
        <w:tc>
          <w:tcPr>
            <w:tcW w:w="9050" w:type="dxa"/>
            <w:shd w:val="clear" w:color="auto" w:fill="DDD9C3" w:themeFill="background2" w:themeFillShade="E6"/>
          </w:tcPr>
          <w:p w14:paraId="3F64373D"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4"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4"/>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27A03FE5" w14:textId="24A44E35" w:rsidR="00990864" w:rsidRPr="001A505B" w:rsidRDefault="00990864" w:rsidP="001A505B">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67F54BEC" w14:textId="77777777" w:rsidR="00140917" w:rsidRDefault="00140917" w:rsidP="00EB6A30">
      <w:pPr>
        <w:spacing w:after="120" w:line="276" w:lineRule="auto"/>
        <w:rPr>
          <w:rFonts w:ascii="Arial" w:hAnsi="Arial" w:cs="Arial"/>
          <w:b/>
          <w:sz w:val="22"/>
        </w:rPr>
      </w:pPr>
    </w:p>
    <w:p w14:paraId="5C6D2EAA" w14:textId="3C332979" w:rsidR="00D45AEE" w:rsidRPr="00EB6A30" w:rsidRDefault="00874A63" w:rsidP="00EB6A30">
      <w:pPr>
        <w:spacing w:before="120" w:after="120" w:line="276" w:lineRule="auto"/>
        <w:rPr>
          <w:rFonts w:ascii="Arial" w:hAnsi="Arial" w:cs="Arial"/>
          <w:b/>
          <w:sz w:val="22"/>
        </w:rPr>
      </w:pPr>
      <w:r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2B5972D" w14:textId="77777777" w:rsidR="00412242" w:rsidRDefault="00412242" w:rsidP="006E4F88">
            <w:pPr>
              <w:tabs>
                <w:tab w:val="left" w:pos="720"/>
              </w:tabs>
              <w:jc w:val="both"/>
              <w:rPr>
                <w:rFonts w:ascii="Arial" w:hAnsi="Arial" w:cs="Arial"/>
                <w:sz w:val="20"/>
              </w:rPr>
            </w:pPr>
          </w:p>
          <w:p w14:paraId="776322B8" w14:textId="73F5E3FE" w:rsidR="00637D14" w:rsidRDefault="008103CB" w:rsidP="006E4F88">
            <w:pPr>
              <w:tabs>
                <w:tab w:val="left" w:pos="720"/>
              </w:tabs>
              <w:jc w:val="both"/>
              <w:rPr>
                <w:rFonts w:ascii="Arial" w:hAnsi="Arial" w:cs="Arial"/>
                <w:sz w:val="20"/>
              </w:rPr>
            </w:pPr>
            <w:r>
              <w:rPr>
                <w:rFonts w:ascii="Arial" w:hAnsi="Arial" w:cs="Arial"/>
                <w:sz w:val="20"/>
              </w:rPr>
              <w:t xml:space="preserve">Name of </w:t>
            </w:r>
            <w:r w:rsidR="00D62379">
              <w:rPr>
                <w:rFonts w:ascii="Arial" w:hAnsi="Arial" w:cs="Arial"/>
                <w:sz w:val="20"/>
              </w:rPr>
              <w:t xml:space="preserve">the </w:t>
            </w:r>
            <w:r>
              <w:rPr>
                <w:rFonts w:ascii="Arial" w:hAnsi="Arial" w:cs="Arial"/>
                <w:sz w:val="20"/>
              </w:rPr>
              <w:t>bidder</w:t>
            </w:r>
            <w:r w:rsidR="00637D14" w:rsidRPr="000C5130">
              <w:rPr>
                <w:rFonts w:ascii="Arial" w:hAnsi="Arial" w:cs="Arial"/>
                <w:sz w:val="20"/>
              </w:rPr>
              <w:t>:</w:t>
            </w:r>
            <w:r w:rsidR="00637D14">
              <w:rPr>
                <w:rFonts w:ascii="Arial" w:hAnsi="Arial" w:cs="Arial"/>
                <w:sz w:val="20"/>
              </w:rPr>
              <w:t xml:space="preserve"> </w:t>
            </w: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402CB897" w14:textId="7681FF8E" w:rsidR="008103CB" w:rsidRDefault="008103CB" w:rsidP="00AC3774">
            <w:pPr>
              <w:tabs>
                <w:tab w:val="left" w:pos="720"/>
              </w:tabs>
              <w:jc w:val="both"/>
              <w:rPr>
                <w:rFonts w:ascii="Arial" w:hAnsi="Arial" w:cs="Arial"/>
                <w:sz w:val="20"/>
              </w:rPr>
            </w:pPr>
          </w:p>
          <w:p w14:paraId="7435EDEF" w14:textId="0D603F3A" w:rsidR="008103CB" w:rsidRDefault="008103CB" w:rsidP="00AC3774">
            <w:pPr>
              <w:tabs>
                <w:tab w:val="left" w:pos="720"/>
              </w:tabs>
              <w:jc w:val="both"/>
              <w:rPr>
                <w:rFonts w:ascii="Arial" w:hAnsi="Arial" w:cs="Arial"/>
                <w:sz w:val="20"/>
              </w:rPr>
            </w:pPr>
            <w:r>
              <w:rPr>
                <w:rFonts w:ascii="Arial" w:hAnsi="Arial" w:cs="Arial"/>
                <w:sz w:val="20"/>
              </w:rPr>
              <w:t>Bidder representative:</w:t>
            </w:r>
          </w:p>
          <w:p w14:paraId="406654A9" w14:textId="77777777" w:rsidR="008103CB" w:rsidRDefault="008103CB" w:rsidP="00AC3774">
            <w:pPr>
              <w:tabs>
                <w:tab w:val="left" w:pos="720"/>
              </w:tabs>
              <w:jc w:val="both"/>
              <w:rPr>
                <w:rFonts w:ascii="Arial" w:hAnsi="Arial" w:cs="Arial"/>
                <w:sz w:val="20"/>
              </w:rPr>
            </w:pPr>
          </w:p>
          <w:p w14:paraId="1D722807" w14:textId="4EA81147" w:rsidR="00637D14" w:rsidRPr="00AC3774" w:rsidRDefault="008103CB" w:rsidP="00AC3774">
            <w:pPr>
              <w:tabs>
                <w:tab w:val="left" w:pos="720"/>
              </w:tabs>
              <w:jc w:val="both"/>
              <w:rPr>
                <w:rFonts w:ascii="Arial" w:hAnsi="Arial" w:cs="Arial"/>
                <w:sz w:val="20"/>
              </w:rPr>
            </w:pPr>
            <w:r>
              <w:rPr>
                <w:rFonts w:ascii="Arial" w:hAnsi="Arial" w:cs="Arial"/>
                <w:sz w:val="20"/>
              </w:rPr>
              <w:t>Representative signature:</w:t>
            </w: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637D14" w:rsidRPr="00AC3774" w14:paraId="1A86FEC1" w14:textId="77777777" w:rsidTr="00637D14">
        <w:tc>
          <w:tcPr>
            <w:tcW w:w="4508" w:type="dxa"/>
          </w:tcPr>
          <w:p w14:paraId="6C4BC943" w14:textId="62B9CF22" w:rsidR="00637D14" w:rsidRPr="00AC3774" w:rsidRDefault="00637D14" w:rsidP="006E4F88">
            <w:pPr>
              <w:tabs>
                <w:tab w:val="left" w:pos="720"/>
              </w:tabs>
              <w:jc w:val="both"/>
              <w:rPr>
                <w:rFonts w:ascii="Arial" w:hAnsi="Arial" w:cs="Arial"/>
                <w:sz w:val="20"/>
              </w:rPr>
            </w:pPr>
          </w:p>
        </w:tc>
        <w:tc>
          <w:tcPr>
            <w:tcW w:w="4508" w:type="dxa"/>
          </w:tcPr>
          <w:p w14:paraId="3275055A" w14:textId="77777777" w:rsidR="00637D14" w:rsidRPr="00AC3774" w:rsidRDefault="00637D14" w:rsidP="00750B4A">
            <w:pPr>
              <w:tabs>
                <w:tab w:val="left" w:pos="720"/>
              </w:tabs>
              <w:jc w:val="both"/>
              <w:rPr>
                <w:rFonts w:ascii="Arial" w:hAnsi="Arial" w:cs="Arial"/>
                <w:sz w:val="20"/>
              </w:rPr>
            </w:pPr>
          </w:p>
        </w:tc>
        <w:tc>
          <w:tcPr>
            <w:tcW w:w="4508" w:type="dxa"/>
          </w:tcPr>
          <w:p w14:paraId="4E5B2AD5" w14:textId="77777777" w:rsidR="00637D14" w:rsidRPr="00AC3774" w:rsidRDefault="00637D14" w:rsidP="00304117">
            <w:pPr>
              <w:tabs>
                <w:tab w:val="left" w:pos="720"/>
              </w:tabs>
              <w:jc w:val="both"/>
              <w:rPr>
                <w:rFonts w:ascii="Arial" w:hAnsi="Arial" w:cs="Arial"/>
                <w:sz w:val="20"/>
              </w:rPr>
            </w:pPr>
          </w:p>
        </w:tc>
      </w:tr>
      <w:tr w:rsidR="00637D14" w14:paraId="04D52B15" w14:textId="77777777" w:rsidTr="00637D14">
        <w:tc>
          <w:tcPr>
            <w:tcW w:w="4508" w:type="dxa"/>
          </w:tcPr>
          <w:p w14:paraId="47E7EFA1" w14:textId="77777777" w:rsidR="00637D14" w:rsidRPr="00AC3774" w:rsidRDefault="00637D14" w:rsidP="00304117">
            <w:pPr>
              <w:tabs>
                <w:tab w:val="left" w:pos="720"/>
              </w:tabs>
              <w:jc w:val="both"/>
              <w:rPr>
                <w:rFonts w:ascii="Arial" w:hAnsi="Arial" w:cs="Arial"/>
                <w:sz w:val="20"/>
              </w:rPr>
            </w:pPr>
          </w:p>
          <w:p w14:paraId="27E0D233" w14:textId="11CAD436" w:rsidR="00637D14" w:rsidRPr="00AC3774" w:rsidRDefault="00CB4DCA" w:rsidP="00FB1E51">
            <w:pPr>
              <w:tabs>
                <w:tab w:val="left" w:pos="720"/>
              </w:tabs>
              <w:jc w:val="both"/>
              <w:rPr>
                <w:rFonts w:ascii="Arial" w:hAnsi="Arial" w:cs="Arial"/>
                <w:sz w:val="20"/>
              </w:rPr>
            </w:pPr>
            <w:r>
              <w:rPr>
                <w:rFonts w:ascii="Arial" w:hAnsi="Arial" w:cs="Arial"/>
                <w:sz w:val="20"/>
              </w:rPr>
              <w:t>Date:</w:t>
            </w:r>
            <w:r w:rsidR="00FB1E51">
              <w:rPr>
                <w:rFonts w:ascii="Arial" w:hAnsi="Arial" w:cs="Arial"/>
                <w:sz w:val="20"/>
              </w:rPr>
              <w:t xml:space="preserve"> </w:t>
            </w:r>
          </w:p>
        </w:tc>
        <w:tc>
          <w:tcPr>
            <w:tcW w:w="4508" w:type="dxa"/>
          </w:tcPr>
          <w:p w14:paraId="76ECB8C7" w14:textId="77777777" w:rsidR="00637D14" w:rsidRPr="00AC3774" w:rsidRDefault="00637D14" w:rsidP="00637D14">
            <w:pPr>
              <w:tabs>
                <w:tab w:val="left" w:pos="720"/>
              </w:tabs>
              <w:jc w:val="both"/>
              <w:rPr>
                <w:rFonts w:ascii="Arial" w:hAnsi="Arial" w:cs="Arial"/>
                <w:sz w:val="20"/>
              </w:rPr>
            </w:pPr>
          </w:p>
        </w:tc>
        <w:tc>
          <w:tcPr>
            <w:tcW w:w="4508" w:type="dxa"/>
          </w:tcPr>
          <w:p w14:paraId="7279AAB8" w14:textId="77777777" w:rsidR="00637D14" w:rsidRPr="00AC3774" w:rsidRDefault="00637D14" w:rsidP="00304117">
            <w:pPr>
              <w:tabs>
                <w:tab w:val="left" w:pos="720"/>
              </w:tabs>
              <w:jc w:val="both"/>
              <w:rPr>
                <w:rFonts w:ascii="Arial" w:hAnsi="Arial" w:cs="Arial"/>
                <w:sz w:val="20"/>
              </w:rPr>
            </w:pPr>
          </w:p>
          <w:p w14:paraId="40973B92"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FB119" w14:textId="77777777" w:rsidR="001E5C13" w:rsidRDefault="001E5C13" w:rsidP="00201A98">
      <w:r>
        <w:separator/>
      </w:r>
    </w:p>
  </w:endnote>
  <w:endnote w:type="continuationSeparator" w:id="0">
    <w:p w14:paraId="7EE453EE" w14:textId="77777777" w:rsidR="001E5C13" w:rsidRDefault="001E5C1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53EB" w14:textId="77777777" w:rsidR="001E5C13" w:rsidRDefault="001E5C13" w:rsidP="00201A98">
      <w:r>
        <w:separator/>
      </w:r>
    </w:p>
  </w:footnote>
  <w:footnote w:type="continuationSeparator" w:id="0">
    <w:p w14:paraId="3980E0CA" w14:textId="77777777" w:rsidR="001E5C13" w:rsidRDefault="001E5C1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1E5C13"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7365984" r:id="rId2"/>
            </w:object>
          </w:r>
        </w:p>
      </w:tc>
      <w:tc>
        <w:tcPr>
          <w:tcW w:w="3544" w:type="dxa"/>
          <w:vMerge w:val="restart"/>
          <w:vAlign w:val="center"/>
        </w:tcPr>
        <w:p w14:paraId="51058E85" w14:textId="07962FC1"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sidR="00B1357B">
            <w:rPr>
              <w:rFonts w:ascii="Arial" w:hAnsi="Arial" w:cs="Arial"/>
              <w:b/>
              <w:szCs w:val="24"/>
              <w:lang w:val="en-ZA" w:eastAsia="en-ZA"/>
            </w:rPr>
            <w:t>Bidder</w:t>
          </w:r>
          <w:r>
            <w:rPr>
              <w:rFonts w:ascii="Arial" w:hAnsi="Arial" w:cs="Arial"/>
              <w:b/>
              <w:szCs w:val="24"/>
              <w:lang w:val="en-ZA" w:eastAsia="en-ZA"/>
            </w:rPr>
            <w:t xml:space="preserve">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61221763" w:rsidR="00304117" w:rsidRPr="00105474" w:rsidRDefault="00304117" w:rsidP="003113D9">
          <w:pPr>
            <w:rPr>
              <w:rFonts w:ascii="Arial" w:hAnsi="Arial"/>
              <w:sz w:val="16"/>
              <w:lang w:val="en-GB"/>
            </w:rPr>
          </w:pP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3E81511" w:rsidR="00304117" w:rsidRPr="00105474" w:rsidRDefault="00304117" w:rsidP="003113D9">
          <w:pPr>
            <w:rPr>
              <w:rFonts w:ascii="Arial" w:hAnsi="Arial"/>
              <w:sz w:val="16"/>
              <w:lang w:val="en-GB"/>
            </w:rPr>
          </w:pP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27B2A361" w:rsidR="00B3212E" w:rsidRPr="00105474" w:rsidRDefault="00B3212E" w:rsidP="00EA1B3D">
          <w:pPr>
            <w:rPr>
              <w:rFonts w:ascii="Arial" w:hAnsi="Arial"/>
              <w:sz w:val="16"/>
              <w:lang w:val="en-GB"/>
            </w:rPr>
          </w:pP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297D20CB" w:rsidR="00B3212E" w:rsidRPr="00105474" w:rsidRDefault="00B3212E" w:rsidP="0088295E">
          <w:pPr>
            <w:rPr>
              <w:rFonts w:ascii="Arial" w:hAnsi="Arial"/>
              <w:sz w:val="16"/>
              <w:lang w:val="en-GB"/>
            </w:rPr>
          </w:pP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0B3296C9" w:rsidR="00B3212E" w:rsidRPr="00105474" w:rsidRDefault="00B3212E" w:rsidP="00B3212E">
          <w:pPr>
            <w:rPr>
              <w:rFonts w:ascii="Arial" w:hAnsi="Arial"/>
              <w:sz w:val="16"/>
              <w:lang w:val="en-GB"/>
            </w:rPr>
          </w:pP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2ECF48A1" w:rsidR="00B3212E" w:rsidRPr="00105474" w:rsidRDefault="00B3212E" w:rsidP="00B3212E">
          <w:pPr>
            <w:rPr>
              <w:rFonts w:ascii="Arial" w:hAnsi="Arial"/>
              <w:sz w:val="16"/>
              <w:lang w:val="en-GB"/>
            </w:rPr>
          </w:pP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9F23379"/>
    <w:multiLevelType w:val="hybridMultilevel"/>
    <w:tmpl w:val="EB9C4FC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6"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7"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8"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1"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2"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80957531">
    <w:abstractNumId w:val="6"/>
  </w:num>
  <w:num w:numId="2" w16cid:durableId="1526400688">
    <w:abstractNumId w:val="27"/>
  </w:num>
  <w:num w:numId="3" w16cid:durableId="576091951">
    <w:abstractNumId w:val="28"/>
  </w:num>
  <w:num w:numId="4" w16cid:durableId="1000045163">
    <w:abstractNumId w:val="1"/>
  </w:num>
  <w:num w:numId="5" w16cid:durableId="1931815276">
    <w:abstractNumId w:val="11"/>
  </w:num>
  <w:num w:numId="6" w16cid:durableId="1558125398">
    <w:abstractNumId w:val="15"/>
  </w:num>
  <w:num w:numId="7" w16cid:durableId="1774931348">
    <w:abstractNumId w:val="33"/>
  </w:num>
  <w:num w:numId="8" w16cid:durableId="130638899">
    <w:abstractNumId w:val="3"/>
  </w:num>
  <w:num w:numId="9" w16cid:durableId="1081606811">
    <w:abstractNumId w:val="19"/>
  </w:num>
  <w:num w:numId="10" w16cid:durableId="1139490707">
    <w:abstractNumId w:val="25"/>
  </w:num>
  <w:num w:numId="11" w16cid:durableId="572005573">
    <w:abstractNumId w:val="31"/>
  </w:num>
  <w:num w:numId="12" w16cid:durableId="2100366496">
    <w:abstractNumId w:val="9"/>
  </w:num>
  <w:num w:numId="13" w16cid:durableId="1053698173">
    <w:abstractNumId w:val="21"/>
  </w:num>
  <w:num w:numId="14" w16cid:durableId="612713669">
    <w:abstractNumId w:val="13"/>
  </w:num>
  <w:num w:numId="15" w16cid:durableId="851456169">
    <w:abstractNumId w:val="14"/>
  </w:num>
  <w:num w:numId="16" w16cid:durableId="1132091462">
    <w:abstractNumId w:val="0"/>
  </w:num>
  <w:num w:numId="17" w16cid:durableId="201745478">
    <w:abstractNumId w:val="17"/>
  </w:num>
  <w:num w:numId="18" w16cid:durableId="203448126">
    <w:abstractNumId w:val="4"/>
  </w:num>
  <w:num w:numId="19" w16cid:durableId="184178118">
    <w:abstractNumId w:val="26"/>
  </w:num>
  <w:num w:numId="20" w16cid:durableId="1946571464">
    <w:abstractNumId w:val="10"/>
  </w:num>
  <w:num w:numId="21" w16cid:durableId="106320860">
    <w:abstractNumId w:val="22"/>
  </w:num>
  <w:num w:numId="22" w16cid:durableId="1730683849">
    <w:abstractNumId w:val="12"/>
  </w:num>
  <w:num w:numId="23" w16cid:durableId="477110511">
    <w:abstractNumId w:val="32"/>
  </w:num>
  <w:num w:numId="24" w16cid:durableId="1150825146">
    <w:abstractNumId w:val="18"/>
  </w:num>
  <w:num w:numId="25" w16cid:durableId="370805956">
    <w:abstractNumId w:val="8"/>
  </w:num>
  <w:num w:numId="26" w16cid:durableId="1938169620">
    <w:abstractNumId w:val="10"/>
  </w:num>
  <w:num w:numId="27" w16cid:durableId="109863772">
    <w:abstractNumId w:val="36"/>
  </w:num>
  <w:num w:numId="28" w16cid:durableId="1839998473">
    <w:abstractNumId w:val="23"/>
  </w:num>
  <w:num w:numId="29" w16cid:durableId="79450963">
    <w:abstractNumId w:val="2"/>
  </w:num>
  <w:num w:numId="30" w16cid:durableId="849562566">
    <w:abstractNumId w:val="29"/>
  </w:num>
  <w:num w:numId="31" w16cid:durableId="1127704350">
    <w:abstractNumId w:val="38"/>
  </w:num>
  <w:num w:numId="32" w16cid:durableId="453445019">
    <w:abstractNumId w:val="34"/>
  </w:num>
  <w:num w:numId="33" w16cid:durableId="1067724889">
    <w:abstractNumId w:val="30"/>
  </w:num>
  <w:num w:numId="34" w16cid:durableId="175508650">
    <w:abstractNumId w:val="37"/>
  </w:num>
  <w:num w:numId="35" w16cid:durableId="611791188">
    <w:abstractNumId w:val="16"/>
  </w:num>
  <w:num w:numId="36" w16cid:durableId="969555816">
    <w:abstractNumId w:val="35"/>
  </w:num>
  <w:num w:numId="37" w16cid:durableId="119350450">
    <w:abstractNumId w:val="5"/>
  </w:num>
  <w:num w:numId="38" w16cid:durableId="17497709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6135459">
    <w:abstractNumId w:val="24"/>
  </w:num>
  <w:num w:numId="40" w16cid:durableId="20398902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52B94"/>
    <w:rsid w:val="00067DC9"/>
    <w:rsid w:val="00074C17"/>
    <w:rsid w:val="00077A57"/>
    <w:rsid w:val="00081B26"/>
    <w:rsid w:val="00097047"/>
    <w:rsid w:val="000A01FA"/>
    <w:rsid w:val="000A386C"/>
    <w:rsid w:val="000A6283"/>
    <w:rsid w:val="000A648D"/>
    <w:rsid w:val="000B165C"/>
    <w:rsid w:val="000B28F1"/>
    <w:rsid w:val="000B6B22"/>
    <w:rsid w:val="000B7D6D"/>
    <w:rsid w:val="000C33EB"/>
    <w:rsid w:val="000C6C73"/>
    <w:rsid w:val="000D4357"/>
    <w:rsid w:val="000E1AB5"/>
    <w:rsid w:val="001022DD"/>
    <w:rsid w:val="00105474"/>
    <w:rsid w:val="00106D46"/>
    <w:rsid w:val="00115ECC"/>
    <w:rsid w:val="00131C74"/>
    <w:rsid w:val="00140917"/>
    <w:rsid w:val="001477A3"/>
    <w:rsid w:val="001521AD"/>
    <w:rsid w:val="00154240"/>
    <w:rsid w:val="00155040"/>
    <w:rsid w:val="00155248"/>
    <w:rsid w:val="001645BF"/>
    <w:rsid w:val="00167124"/>
    <w:rsid w:val="00173BE4"/>
    <w:rsid w:val="001829A7"/>
    <w:rsid w:val="001A408A"/>
    <w:rsid w:val="001A505B"/>
    <w:rsid w:val="001A57D9"/>
    <w:rsid w:val="001B2323"/>
    <w:rsid w:val="001B31AF"/>
    <w:rsid w:val="001B3B2A"/>
    <w:rsid w:val="001C599B"/>
    <w:rsid w:val="001C61B6"/>
    <w:rsid w:val="001D0409"/>
    <w:rsid w:val="001D042C"/>
    <w:rsid w:val="001D1614"/>
    <w:rsid w:val="001D391D"/>
    <w:rsid w:val="001D3F40"/>
    <w:rsid w:val="001E5C13"/>
    <w:rsid w:val="001E64BB"/>
    <w:rsid w:val="00201A98"/>
    <w:rsid w:val="00220B4E"/>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D4F6F"/>
    <w:rsid w:val="002E453E"/>
    <w:rsid w:val="002F4F5C"/>
    <w:rsid w:val="00304117"/>
    <w:rsid w:val="003113D9"/>
    <w:rsid w:val="003127C7"/>
    <w:rsid w:val="00313051"/>
    <w:rsid w:val="00317372"/>
    <w:rsid w:val="0032593D"/>
    <w:rsid w:val="00325B6F"/>
    <w:rsid w:val="003317CA"/>
    <w:rsid w:val="00331900"/>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D2961"/>
    <w:rsid w:val="003D48B8"/>
    <w:rsid w:val="003D66FA"/>
    <w:rsid w:val="003D78F9"/>
    <w:rsid w:val="003E052A"/>
    <w:rsid w:val="003E4D3F"/>
    <w:rsid w:val="003F2387"/>
    <w:rsid w:val="003F3E07"/>
    <w:rsid w:val="003F59CF"/>
    <w:rsid w:val="003F7B1E"/>
    <w:rsid w:val="0040264E"/>
    <w:rsid w:val="00404772"/>
    <w:rsid w:val="00412242"/>
    <w:rsid w:val="004251A4"/>
    <w:rsid w:val="004364AE"/>
    <w:rsid w:val="00457274"/>
    <w:rsid w:val="00460577"/>
    <w:rsid w:val="00470A92"/>
    <w:rsid w:val="004857A1"/>
    <w:rsid w:val="004954EB"/>
    <w:rsid w:val="004C3176"/>
    <w:rsid w:val="004C38A6"/>
    <w:rsid w:val="004C7864"/>
    <w:rsid w:val="004D00A8"/>
    <w:rsid w:val="004D1602"/>
    <w:rsid w:val="004D785D"/>
    <w:rsid w:val="004E19F4"/>
    <w:rsid w:val="004E6C33"/>
    <w:rsid w:val="004E77C0"/>
    <w:rsid w:val="004F07CB"/>
    <w:rsid w:val="004F117E"/>
    <w:rsid w:val="004F578D"/>
    <w:rsid w:val="00504CE2"/>
    <w:rsid w:val="00506A41"/>
    <w:rsid w:val="005125A6"/>
    <w:rsid w:val="0051409A"/>
    <w:rsid w:val="00514EB4"/>
    <w:rsid w:val="00534A84"/>
    <w:rsid w:val="005358BE"/>
    <w:rsid w:val="00541E88"/>
    <w:rsid w:val="00550760"/>
    <w:rsid w:val="0055643A"/>
    <w:rsid w:val="00557071"/>
    <w:rsid w:val="00560EDB"/>
    <w:rsid w:val="00563AC1"/>
    <w:rsid w:val="0057210F"/>
    <w:rsid w:val="005765A0"/>
    <w:rsid w:val="00586532"/>
    <w:rsid w:val="005908DD"/>
    <w:rsid w:val="0059543E"/>
    <w:rsid w:val="0059553F"/>
    <w:rsid w:val="00596B3A"/>
    <w:rsid w:val="005A39B7"/>
    <w:rsid w:val="005A62CE"/>
    <w:rsid w:val="005A63F7"/>
    <w:rsid w:val="005B1915"/>
    <w:rsid w:val="005C2E51"/>
    <w:rsid w:val="005D7F0D"/>
    <w:rsid w:val="005E0073"/>
    <w:rsid w:val="005E3BE0"/>
    <w:rsid w:val="005E6044"/>
    <w:rsid w:val="006007BE"/>
    <w:rsid w:val="00602047"/>
    <w:rsid w:val="006067AC"/>
    <w:rsid w:val="00607D65"/>
    <w:rsid w:val="0061034B"/>
    <w:rsid w:val="0061527A"/>
    <w:rsid w:val="006260D8"/>
    <w:rsid w:val="00627923"/>
    <w:rsid w:val="00633969"/>
    <w:rsid w:val="00633B8B"/>
    <w:rsid w:val="0063746A"/>
    <w:rsid w:val="00637900"/>
    <w:rsid w:val="00637D14"/>
    <w:rsid w:val="0064741D"/>
    <w:rsid w:val="00655FCF"/>
    <w:rsid w:val="00657B8A"/>
    <w:rsid w:val="00670DD5"/>
    <w:rsid w:val="00686AD4"/>
    <w:rsid w:val="00692B80"/>
    <w:rsid w:val="006A1569"/>
    <w:rsid w:val="006A443E"/>
    <w:rsid w:val="006A55C5"/>
    <w:rsid w:val="006A73A5"/>
    <w:rsid w:val="006B0DF7"/>
    <w:rsid w:val="006B3FA2"/>
    <w:rsid w:val="006B57DF"/>
    <w:rsid w:val="006D07D5"/>
    <w:rsid w:val="006D6104"/>
    <w:rsid w:val="006E0940"/>
    <w:rsid w:val="006E14B5"/>
    <w:rsid w:val="006E1BFE"/>
    <w:rsid w:val="006E4F88"/>
    <w:rsid w:val="006E52BA"/>
    <w:rsid w:val="006F5D0A"/>
    <w:rsid w:val="00702C96"/>
    <w:rsid w:val="00705512"/>
    <w:rsid w:val="00713E63"/>
    <w:rsid w:val="00730262"/>
    <w:rsid w:val="00732A3F"/>
    <w:rsid w:val="00732BC4"/>
    <w:rsid w:val="00733FE1"/>
    <w:rsid w:val="00761BE3"/>
    <w:rsid w:val="00766FB1"/>
    <w:rsid w:val="00766FE5"/>
    <w:rsid w:val="00784A54"/>
    <w:rsid w:val="00785295"/>
    <w:rsid w:val="00791C9C"/>
    <w:rsid w:val="00792F32"/>
    <w:rsid w:val="0079769C"/>
    <w:rsid w:val="007A3B1F"/>
    <w:rsid w:val="007A6DC8"/>
    <w:rsid w:val="007A6F13"/>
    <w:rsid w:val="007B57E6"/>
    <w:rsid w:val="007C0A56"/>
    <w:rsid w:val="007D4E0A"/>
    <w:rsid w:val="007E0CE5"/>
    <w:rsid w:val="007F15E3"/>
    <w:rsid w:val="008103CB"/>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757B"/>
    <w:rsid w:val="008A3FC8"/>
    <w:rsid w:val="008A66CD"/>
    <w:rsid w:val="008B5871"/>
    <w:rsid w:val="008C01CF"/>
    <w:rsid w:val="008C0E9E"/>
    <w:rsid w:val="008E55EB"/>
    <w:rsid w:val="008F1FC0"/>
    <w:rsid w:val="008F5BEC"/>
    <w:rsid w:val="009017B9"/>
    <w:rsid w:val="00903604"/>
    <w:rsid w:val="00914474"/>
    <w:rsid w:val="009214A0"/>
    <w:rsid w:val="00924E22"/>
    <w:rsid w:val="00944D59"/>
    <w:rsid w:val="0095525E"/>
    <w:rsid w:val="00965504"/>
    <w:rsid w:val="00970379"/>
    <w:rsid w:val="00977B70"/>
    <w:rsid w:val="009801BA"/>
    <w:rsid w:val="00990864"/>
    <w:rsid w:val="009A6724"/>
    <w:rsid w:val="009A77EC"/>
    <w:rsid w:val="009D7FF3"/>
    <w:rsid w:val="009F3555"/>
    <w:rsid w:val="00A05C1D"/>
    <w:rsid w:val="00A111DA"/>
    <w:rsid w:val="00A22EF4"/>
    <w:rsid w:val="00A256F9"/>
    <w:rsid w:val="00A346F0"/>
    <w:rsid w:val="00A4460B"/>
    <w:rsid w:val="00A473FA"/>
    <w:rsid w:val="00A500C7"/>
    <w:rsid w:val="00A532EE"/>
    <w:rsid w:val="00A651E0"/>
    <w:rsid w:val="00A6602E"/>
    <w:rsid w:val="00A67C16"/>
    <w:rsid w:val="00A72491"/>
    <w:rsid w:val="00A72A16"/>
    <w:rsid w:val="00A91CB3"/>
    <w:rsid w:val="00AA16F4"/>
    <w:rsid w:val="00AA403D"/>
    <w:rsid w:val="00AB4D3B"/>
    <w:rsid w:val="00AB54B6"/>
    <w:rsid w:val="00AB64E3"/>
    <w:rsid w:val="00AB650A"/>
    <w:rsid w:val="00AC3774"/>
    <w:rsid w:val="00AD784B"/>
    <w:rsid w:val="00AE7139"/>
    <w:rsid w:val="00AF35DE"/>
    <w:rsid w:val="00AF6824"/>
    <w:rsid w:val="00B0566F"/>
    <w:rsid w:val="00B1357B"/>
    <w:rsid w:val="00B16C39"/>
    <w:rsid w:val="00B263C0"/>
    <w:rsid w:val="00B3212E"/>
    <w:rsid w:val="00B32FC7"/>
    <w:rsid w:val="00B35AA2"/>
    <w:rsid w:val="00B44389"/>
    <w:rsid w:val="00B44B30"/>
    <w:rsid w:val="00B47EA0"/>
    <w:rsid w:val="00B54B80"/>
    <w:rsid w:val="00B57DBD"/>
    <w:rsid w:val="00B70E33"/>
    <w:rsid w:val="00B729B9"/>
    <w:rsid w:val="00B85F6B"/>
    <w:rsid w:val="00B93602"/>
    <w:rsid w:val="00B97875"/>
    <w:rsid w:val="00BA5C88"/>
    <w:rsid w:val="00BB6D00"/>
    <w:rsid w:val="00BC6F34"/>
    <w:rsid w:val="00BC7452"/>
    <w:rsid w:val="00BD2863"/>
    <w:rsid w:val="00BD65E2"/>
    <w:rsid w:val="00BE0CD8"/>
    <w:rsid w:val="00BE3DBD"/>
    <w:rsid w:val="00BE56E8"/>
    <w:rsid w:val="00BE6D5F"/>
    <w:rsid w:val="00BF476B"/>
    <w:rsid w:val="00C12D3D"/>
    <w:rsid w:val="00C17242"/>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1A55"/>
    <w:rsid w:val="00D5588B"/>
    <w:rsid w:val="00D60523"/>
    <w:rsid w:val="00D62379"/>
    <w:rsid w:val="00D71719"/>
    <w:rsid w:val="00D754CB"/>
    <w:rsid w:val="00D817F7"/>
    <w:rsid w:val="00D86CD2"/>
    <w:rsid w:val="00DA1B06"/>
    <w:rsid w:val="00DA3954"/>
    <w:rsid w:val="00DB22F3"/>
    <w:rsid w:val="00DB6A92"/>
    <w:rsid w:val="00DC3353"/>
    <w:rsid w:val="00DC6795"/>
    <w:rsid w:val="00DD5408"/>
    <w:rsid w:val="00DD7B12"/>
    <w:rsid w:val="00DE2368"/>
    <w:rsid w:val="00DF46B0"/>
    <w:rsid w:val="00E2355B"/>
    <w:rsid w:val="00E238C2"/>
    <w:rsid w:val="00E30830"/>
    <w:rsid w:val="00E35EB0"/>
    <w:rsid w:val="00E3774F"/>
    <w:rsid w:val="00E45FB6"/>
    <w:rsid w:val="00E500CF"/>
    <w:rsid w:val="00E534E2"/>
    <w:rsid w:val="00E71288"/>
    <w:rsid w:val="00E71A93"/>
    <w:rsid w:val="00E74D52"/>
    <w:rsid w:val="00E90B24"/>
    <w:rsid w:val="00EA1B3D"/>
    <w:rsid w:val="00EA320B"/>
    <w:rsid w:val="00EA4206"/>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032D"/>
    <w:rsid w:val="00F22D6B"/>
    <w:rsid w:val="00F274B7"/>
    <w:rsid w:val="00F3247D"/>
    <w:rsid w:val="00F337F6"/>
    <w:rsid w:val="00F34D36"/>
    <w:rsid w:val="00F41FDE"/>
    <w:rsid w:val="00F43E37"/>
    <w:rsid w:val="00F45833"/>
    <w:rsid w:val="00F53FC5"/>
    <w:rsid w:val="00F64443"/>
    <w:rsid w:val="00F73FDF"/>
    <w:rsid w:val="00F819D3"/>
    <w:rsid w:val="00F82F21"/>
    <w:rsid w:val="00F908E6"/>
    <w:rsid w:val="00F92697"/>
    <w:rsid w:val="00F9323F"/>
    <w:rsid w:val="00F9702A"/>
    <w:rsid w:val="00FA1238"/>
    <w:rsid w:val="00FA31B2"/>
    <w:rsid w:val="00FB1E51"/>
    <w:rsid w:val="00FB2E48"/>
    <w:rsid w:val="00FB3F38"/>
    <w:rsid w:val="00FC0343"/>
    <w:rsid w:val="00FD73A1"/>
    <w:rsid w:val="00FE27D9"/>
    <w:rsid w:val="00FE505E"/>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22286471">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2022-12-01T12:56:00Z</cp:lastPrinted>
  <dcterms:created xsi:type="dcterms:W3CDTF">2023-02-08T10:53:00Z</dcterms:created>
  <dcterms:modified xsi:type="dcterms:W3CDTF">2023-02-08T10:53:00Z</dcterms:modified>
</cp:coreProperties>
</file>