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3C72DB76" w:rsidR="009B6299" w:rsidRPr="00911B44" w:rsidRDefault="00187B46" w:rsidP="001A799E">
            <w:pPr>
              <w:spacing w:line="276" w:lineRule="auto"/>
              <w:rPr>
                <w:rFonts w:cstheme="minorHAnsi"/>
                <w:b/>
                <w:sz w:val="24"/>
                <w:szCs w:val="24"/>
              </w:rPr>
            </w:pPr>
            <w:r>
              <w:rPr>
                <w:rFonts w:cstheme="minorHAnsi"/>
                <w:b/>
                <w:sz w:val="24"/>
                <w:szCs w:val="24"/>
              </w:rPr>
              <w:t>NLA-RFQ-004</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6B60E484" w:rsidR="002F70F7" w:rsidRPr="00911B44" w:rsidRDefault="002D3270" w:rsidP="00330780">
            <w:pPr>
              <w:spacing w:line="276" w:lineRule="auto"/>
              <w:rPr>
                <w:rFonts w:cstheme="minorHAnsi"/>
                <w:b/>
                <w:sz w:val="24"/>
                <w:szCs w:val="24"/>
              </w:rPr>
            </w:pPr>
            <w:r>
              <w:rPr>
                <w:rFonts w:cstheme="minorHAnsi"/>
                <w:b/>
                <w:sz w:val="24"/>
                <w:szCs w:val="24"/>
              </w:rPr>
              <w:t>0</w:t>
            </w:r>
            <w:r w:rsidR="00E840A3">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6D495534"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187B46">
              <w:rPr>
                <w:rFonts w:cstheme="minorHAnsi"/>
                <w:b/>
                <w:sz w:val="24"/>
                <w:szCs w:val="24"/>
              </w:rPr>
              <w:t>–</w:t>
            </w:r>
            <w:r w:rsidR="00A77A3D">
              <w:rPr>
                <w:rFonts w:cstheme="minorHAnsi"/>
                <w:b/>
                <w:sz w:val="24"/>
                <w:szCs w:val="24"/>
              </w:rPr>
              <w:t xml:space="preserve"> </w:t>
            </w:r>
            <w:r w:rsidR="00187B46">
              <w:rPr>
                <w:rFonts w:cstheme="minorHAnsi"/>
                <w:b/>
                <w:sz w:val="24"/>
                <w:szCs w:val="24"/>
              </w:rPr>
              <w:t xml:space="preserve">Polokwane </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The South African Nuclear Energy Corporation Limited (</w:t>
      </w:r>
      <w:proofErr w:type="spellStart"/>
      <w:r w:rsidRPr="00911B44">
        <w:rPr>
          <w:rFonts w:asciiTheme="minorHAnsi" w:hAnsiTheme="minorHAnsi" w:cstheme="minorHAnsi"/>
          <w:sz w:val="24"/>
          <w:szCs w:val="24"/>
        </w:rPr>
        <w:t>Necsa</w:t>
      </w:r>
      <w:proofErr w:type="spellEnd"/>
      <w:r w:rsidRPr="00911B44">
        <w:rPr>
          <w:rFonts w:asciiTheme="minorHAnsi" w:hAnsiTheme="minorHAnsi" w:cstheme="minorHAnsi"/>
          <w:sz w:val="24"/>
          <w:szCs w:val="24"/>
        </w:rPr>
        <w:t xml:space="preserve">)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w:t>
      </w:r>
      <w:proofErr w:type="spellStart"/>
      <w:r w:rsidRPr="00911B44">
        <w:rPr>
          <w:rFonts w:asciiTheme="minorHAnsi" w:hAnsiTheme="minorHAnsi" w:cstheme="minorHAnsi"/>
          <w:sz w:val="24"/>
          <w:szCs w:val="24"/>
        </w:rPr>
        <w:t>Necsa</w:t>
      </w:r>
      <w:proofErr w:type="spellEnd"/>
      <w:r w:rsidRPr="00911B44">
        <w:rPr>
          <w:rFonts w:asciiTheme="minorHAnsi" w:hAnsiTheme="minorHAnsi" w:cstheme="minorHAnsi"/>
          <w:sz w:val="24"/>
          <w:szCs w:val="24"/>
        </w:rPr>
        <w:t xml:space="preserve">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w:t>
      </w:r>
      <w:proofErr w:type="spellStart"/>
      <w:r w:rsidRPr="00911B44">
        <w:rPr>
          <w:rFonts w:asciiTheme="minorHAnsi" w:hAnsiTheme="minorHAnsi" w:cstheme="minorHAnsi"/>
          <w:sz w:val="24"/>
          <w:szCs w:val="24"/>
        </w:rPr>
        <w:t>Pelchem</w:t>
      </w:r>
      <w:proofErr w:type="spellEnd"/>
      <w:r w:rsidRPr="00911B44">
        <w:rPr>
          <w:rFonts w:asciiTheme="minorHAnsi" w:hAnsiTheme="minorHAnsi" w:cstheme="minorHAnsi"/>
          <w:sz w:val="24"/>
          <w:szCs w:val="24"/>
        </w:rPr>
        <w:t xml:space="preserve"> SOC Ltd (</w:t>
      </w:r>
      <w:proofErr w:type="spellStart"/>
      <w:r w:rsidRPr="00911B44">
        <w:rPr>
          <w:rFonts w:asciiTheme="minorHAnsi" w:hAnsiTheme="minorHAnsi" w:cstheme="minorHAnsi"/>
          <w:sz w:val="24"/>
          <w:szCs w:val="24"/>
        </w:rPr>
        <w:t>Pelchem</w:t>
      </w:r>
      <w:proofErr w:type="spellEnd"/>
      <w:r w:rsidRPr="00911B44">
        <w:rPr>
          <w:rFonts w:asciiTheme="minorHAnsi" w:hAnsiTheme="minorHAnsi" w:cstheme="minorHAnsi"/>
          <w:sz w:val="24"/>
          <w:szCs w:val="24"/>
        </w:rPr>
        <w:t>),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proofErr w:type="spellStart"/>
      <w:r w:rsidRPr="00911B44">
        <w:rPr>
          <w:rFonts w:asciiTheme="minorHAnsi" w:hAnsiTheme="minorHAnsi" w:cstheme="minorHAnsi"/>
          <w:sz w:val="24"/>
          <w:szCs w:val="24"/>
        </w:rPr>
        <w:t>Necsa’s</w:t>
      </w:r>
      <w:proofErr w:type="spellEnd"/>
      <w:r w:rsidRPr="00911B44">
        <w:rPr>
          <w:rFonts w:asciiTheme="minorHAnsi" w:hAnsiTheme="minorHAnsi" w:cstheme="minorHAnsi"/>
          <w:sz w:val="24"/>
          <w:szCs w:val="24"/>
        </w:rP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proofErr w:type="spellStart"/>
      <w:r w:rsidRPr="00911B44">
        <w:rPr>
          <w:rFonts w:asciiTheme="minorHAnsi" w:hAnsiTheme="minorHAnsi" w:cstheme="minorHAnsi"/>
          <w:sz w:val="24"/>
          <w:szCs w:val="24"/>
        </w:rPr>
        <w:t>Necsa</w:t>
      </w:r>
      <w:proofErr w:type="spellEnd"/>
      <w:r w:rsidRPr="00911B44">
        <w:rPr>
          <w:rFonts w:asciiTheme="minorHAnsi" w:hAnsiTheme="minorHAnsi" w:cstheme="minorHAnsi"/>
          <w:sz w:val="24"/>
          <w:szCs w:val="24"/>
        </w:rPr>
        <w:t xml:space="preserve">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w:t>
      </w:r>
      <w:proofErr w:type="spellStart"/>
      <w:r w:rsidRPr="006E34BF">
        <w:rPr>
          <w:rFonts w:eastAsia="Times New Roman" w:cstheme="minorHAnsi"/>
          <w:color w:val="000000"/>
          <w:sz w:val="24"/>
          <w:szCs w:val="24"/>
        </w:rPr>
        <w:t>Necsa</w:t>
      </w:r>
      <w:proofErr w:type="spellEnd"/>
      <w:r w:rsidRPr="006E34BF">
        <w:rPr>
          <w:rFonts w:eastAsia="Times New Roman" w:cstheme="minorHAnsi"/>
          <w:color w:val="000000"/>
          <w:sz w:val="24"/>
          <w:szCs w:val="24"/>
        </w:rPr>
        <w:t xml:space="preserve">,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roofErr w:type="spellStart"/>
      <w:r w:rsidRPr="00331897">
        <w:rPr>
          <w:rFonts w:eastAsia="Times New Roman" w:cstheme="minorHAnsi"/>
          <w:bCs/>
          <w:color w:val="000000"/>
          <w:w w:val="101"/>
          <w:sz w:val="24"/>
          <w:szCs w:val="24"/>
        </w:rPr>
        <w:t>Necsa</w:t>
      </w:r>
      <w:proofErr w:type="spellEnd"/>
      <w:r w:rsidRPr="00331897">
        <w:rPr>
          <w:rFonts w:eastAsia="Times New Roman" w:cstheme="minorHAnsi"/>
          <w:bCs/>
          <w:color w:val="000000"/>
          <w:w w:val="101"/>
          <w:sz w:val="24"/>
          <w:szCs w:val="24"/>
        </w:rPr>
        <w:t xml:space="preserve"> Learning Academy has leaners to be placed at the below different locations for working experience/</w:t>
      </w:r>
      <w:proofErr w:type="spellStart"/>
      <w:r w:rsidRPr="00331897">
        <w:rPr>
          <w:rFonts w:eastAsia="Times New Roman" w:cstheme="minorHAnsi"/>
          <w:bCs/>
          <w:color w:val="000000"/>
          <w:w w:val="101"/>
          <w:sz w:val="24"/>
          <w:szCs w:val="24"/>
        </w:rPr>
        <w:t>practicals</w:t>
      </w:r>
      <w:proofErr w:type="spellEnd"/>
      <w:r w:rsidRPr="00331897">
        <w:rPr>
          <w:rFonts w:eastAsia="Times New Roman" w:cstheme="minorHAnsi"/>
          <w:bCs/>
          <w:color w:val="000000"/>
          <w:w w:val="101"/>
          <w:sz w:val="24"/>
          <w:szCs w:val="24"/>
        </w:rPr>
        <w:t xml:space="preserve">. As such, </w:t>
      </w:r>
      <w:proofErr w:type="spellStart"/>
      <w:r w:rsidRPr="00331897">
        <w:rPr>
          <w:rFonts w:eastAsia="Times New Roman" w:cstheme="minorHAnsi"/>
          <w:bCs/>
          <w:color w:val="000000"/>
          <w:w w:val="101"/>
          <w:sz w:val="24"/>
          <w:szCs w:val="24"/>
        </w:rPr>
        <w:t>Necsa</w:t>
      </w:r>
      <w:proofErr w:type="spellEnd"/>
      <w:r w:rsidRPr="00331897">
        <w:rPr>
          <w:rFonts w:eastAsia="Times New Roman" w:cstheme="minorHAnsi"/>
          <w:bCs/>
          <w:color w:val="000000"/>
          <w:w w:val="101"/>
          <w:sz w:val="24"/>
          <w:szCs w:val="24"/>
        </w:rPr>
        <w:t xml:space="preserve">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1E0978FB"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leaners is </w:t>
      </w:r>
      <w:r w:rsidR="00187B46">
        <w:rPr>
          <w:rFonts w:eastAsia="Times New Roman" w:cstheme="minorHAnsi"/>
          <w:bCs/>
          <w:color w:val="000000"/>
          <w:w w:val="101"/>
          <w:sz w:val="24"/>
          <w:szCs w:val="24"/>
        </w:rPr>
        <w:t>4</w:t>
      </w:r>
      <w:r w:rsidR="005A307B" w:rsidRPr="00331897">
        <w:rPr>
          <w:rFonts w:eastAsia="Times New Roman" w:cstheme="minorHAnsi"/>
          <w:bCs/>
          <w:color w:val="000000"/>
          <w:w w:val="101"/>
          <w:sz w:val="24"/>
          <w:szCs w:val="24"/>
        </w:rPr>
        <w:t>.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540DA2AB"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2AB3E06D" w14:textId="1E745E12" w:rsidR="00BF7A4B" w:rsidRPr="00BF7A4B" w:rsidRDefault="005A307B" w:rsidP="00BF7A4B">
            <w:pPr>
              <w:spacing w:after="0" w:line="240" w:lineRule="auto"/>
              <w:rPr>
                <w:rFonts w:ascii="Calibri" w:eastAsia="Times New Roman" w:hAnsi="Calibri" w:cs="Calibri"/>
                <w:color w:val="000000"/>
              </w:rPr>
            </w:pPr>
            <w:r w:rsidRPr="00331897">
              <w:rPr>
                <w:rFonts w:ascii="Calibri" w:eastAsia="Times New Roman" w:hAnsi="Calibri" w:cs="Calibri"/>
                <w:color w:val="000000"/>
              </w:rPr>
              <w:t>0</w:t>
            </w:r>
            <w:r w:rsidR="00BF7A4B" w:rsidRPr="00BF7A4B">
              <w:rPr>
                <w:rFonts w:ascii="Calibri" w:eastAsia="Times New Roman" w:hAnsi="Calibri" w:cs="Calibri"/>
                <w:color w:val="000000"/>
              </w:rPr>
              <w:t>1 Female</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51B58159" w14:textId="0A065FA3"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Polokwane</w:t>
            </w:r>
            <w:r w:rsidR="00331897">
              <w:rPr>
                <w:rFonts w:ascii="Calibri" w:eastAsia="Times New Roman" w:hAnsi="Calibri" w:cs="Calibri"/>
                <w:color w:val="000000"/>
              </w:rPr>
              <w:t xml:space="preserve"> 02</w:t>
            </w:r>
          </w:p>
        </w:tc>
        <w:tc>
          <w:tcPr>
            <w:tcW w:w="5997" w:type="dxa"/>
            <w:vMerge w:val="restart"/>
            <w:tcBorders>
              <w:top w:val="nil"/>
              <w:left w:val="single" w:sz="4" w:space="0" w:color="auto"/>
              <w:bottom w:val="single" w:sz="4" w:space="0" w:color="000000"/>
              <w:right w:val="single" w:sz="4" w:space="0" w:color="auto"/>
            </w:tcBorders>
            <w:vAlign w:val="center"/>
            <w:hideMark/>
          </w:tcPr>
          <w:p w14:paraId="3B3025A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xml:space="preserve">6 </w:t>
            </w:r>
            <w:proofErr w:type="spellStart"/>
            <w:r w:rsidRPr="00BF7A4B">
              <w:rPr>
                <w:rFonts w:ascii="Calibri" w:eastAsia="Times New Roman" w:hAnsi="Calibri" w:cs="Calibri"/>
                <w:color w:val="000000"/>
              </w:rPr>
              <w:t>Kalsiet</w:t>
            </w:r>
            <w:proofErr w:type="spellEnd"/>
            <w:r w:rsidRPr="00BF7A4B">
              <w:rPr>
                <w:rFonts w:ascii="Calibri" w:eastAsia="Times New Roman" w:hAnsi="Calibri" w:cs="Calibri"/>
                <w:color w:val="000000"/>
              </w:rPr>
              <w:t xml:space="preserve"> Street, Magna Via, Polokwane</w:t>
            </w:r>
          </w:p>
        </w:tc>
        <w:tc>
          <w:tcPr>
            <w:tcW w:w="1005" w:type="dxa"/>
            <w:vMerge w:val="restart"/>
            <w:tcBorders>
              <w:top w:val="nil"/>
              <w:left w:val="single" w:sz="4" w:space="0" w:color="auto"/>
              <w:bottom w:val="single" w:sz="4" w:space="0" w:color="000000"/>
              <w:right w:val="single" w:sz="4" w:space="0" w:color="auto"/>
            </w:tcBorders>
            <w:vAlign w:val="center"/>
            <w:hideMark/>
          </w:tcPr>
          <w:p w14:paraId="4122185E" w14:textId="46B1FDA9" w:rsidR="00BF7A4B" w:rsidRPr="00BF7A4B" w:rsidRDefault="00187B46" w:rsidP="00BF7A4B">
            <w:pPr>
              <w:spacing w:after="0" w:line="240" w:lineRule="auto"/>
              <w:rPr>
                <w:rFonts w:ascii="Calibri" w:eastAsia="Times New Roman" w:hAnsi="Calibri" w:cs="Calibri"/>
                <w:color w:val="000000"/>
              </w:rPr>
            </w:pPr>
            <w:r>
              <w:rPr>
                <w:rFonts w:ascii="Calibri" w:eastAsia="Times New Roman" w:hAnsi="Calibri" w:cs="Calibri"/>
                <w:color w:val="000000"/>
              </w:rPr>
              <w:t xml:space="preserve">12 Months </w:t>
            </w:r>
          </w:p>
        </w:tc>
      </w:tr>
      <w:tr w:rsidR="00BF7A4B" w:rsidRPr="00BF7A4B" w14:paraId="0BF7B7E0"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2A264FC4" w14:textId="71499F6B" w:rsidR="00BF7A4B" w:rsidRPr="00BF7A4B" w:rsidRDefault="005A307B" w:rsidP="00BF7A4B">
            <w:pPr>
              <w:spacing w:after="0" w:line="240" w:lineRule="auto"/>
              <w:rPr>
                <w:rFonts w:ascii="Calibri" w:eastAsia="Times New Roman" w:hAnsi="Calibri" w:cs="Calibri"/>
                <w:color w:val="000000"/>
              </w:rPr>
            </w:pPr>
            <w:r w:rsidRPr="00331897">
              <w:rPr>
                <w:rFonts w:ascii="Calibri" w:eastAsia="Times New Roman" w:hAnsi="Calibri" w:cs="Calibri"/>
                <w:color w:val="000000"/>
              </w:rPr>
              <w:t>0</w:t>
            </w:r>
            <w:r w:rsidR="00BF7A4B" w:rsidRPr="00BF7A4B">
              <w:rPr>
                <w:rFonts w:ascii="Calibri" w:eastAsia="Times New Roman" w:hAnsi="Calibri" w:cs="Calibri"/>
                <w:color w:val="000000"/>
              </w:rPr>
              <w:t>3 Male</w:t>
            </w:r>
          </w:p>
        </w:tc>
        <w:tc>
          <w:tcPr>
            <w:tcW w:w="1276" w:type="dxa"/>
            <w:vMerge/>
            <w:tcBorders>
              <w:top w:val="nil"/>
              <w:left w:val="single" w:sz="4" w:space="0" w:color="auto"/>
              <w:bottom w:val="single" w:sz="4" w:space="0" w:color="000000"/>
              <w:right w:val="single" w:sz="4" w:space="0" w:color="auto"/>
            </w:tcBorders>
            <w:vAlign w:val="center"/>
            <w:hideMark/>
          </w:tcPr>
          <w:p w14:paraId="1ACEDD49" w14:textId="77777777" w:rsidR="00BF7A4B" w:rsidRPr="00BF7A4B" w:rsidRDefault="00BF7A4B" w:rsidP="00BF7A4B">
            <w:pPr>
              <w:spacing w:after="0" w:line="240" w:lineRule="auto"/>
              <w:rPr>
                <w:rFonts w:ascii="Calibri" w:eastAsia="Times New Roman" w:hAnsi="Calibri" w:cs="Calibri"/>
                <w:color w:val="000000"/>
              </w:rPr>
            </w:pPr>
          </w:p>
        </w:tc>
        <w:tc>
          <w:tcPr>
            <w:tcW w:w="5997" w:type="dxa"/>
            <w:vMerge/>
            <w:tcBorders>
              <w:top w:val="nil"/>
              <w:left w:val="single" w:sz="4" w:space="0" w:color="auto"/>
              <w:bottom w:val="single" w:sz="4" w:space="0" w:color="000000"/>
              <w:right w:val="single" w:sz="4" w:space="0" w:color="auto"/>
            </w:tcBorders>
            <w:vAlign w:val="center"/>
            <w:hideMark/>
          </w:tcPr>
          <w:p w14:paraId="0D0BED26" w14:textId="77777777" w:rsidR="00BF7A4B" w:rsidRPr="00BF7A4B" w:rsidRDefault="00BF7A4B" w:rsidP="00BF7A4B">
            <w:pPr>
              <w:spacing w:after="0" w:line="240" w:lineRule="auto"/>
              <w:rPr>
                <w:rFonts w:ascii="Calibri" w:eastAsia="Times New Roman" w:hAnsi="Calibri" w:cs="Calibri"/>
                <w:color w:val="000000"/>
              </w:rPr>
            </w:pPr>
          </w:p>
        </w:tc>
        <w:tc>
          <w:tcPr>
            <w:tcW w:w="1005" w:type="dxa"/>
            <w:vMerge/>
            <w:tcBorders>
              <w:top w:val="nil"/>
              <w:left w:val="single" w:sz="4" w:space="0" w:color="auto"/>
              <w:bottom w:val="single" w:sz="4" w:space="0" w:color="000000"/>
              <w:right w:val="single" w:sz="4" w:space="0" w:color="auto"/>
            </w:tcBorders>
            <w:vAlign w:val="center"/>
            <w:hideMark/>
          </w:tcPr>
          <w:p w14:paraId="1D95840D"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 xml:space="preserve">Payment will be according to </w:t>
      </w:r>
      <w:proofErr w:type="spellStart"/>
      <w:r w:rsidRPr="006E34BF">
        <w:rPr>
          <w:rFonts w:eastAsia="Times New Roman" w:cstheme="minorHAnsi"/>
          <w:color w:val="000000"/>
          <w:w w:val="105"/>
          <w:sz w:val="24"/>
          <w:szCs w:val="24"/>
        </w:rPr>
        <w:t>Necsa’s</w:t>
      </w:r>
      <w:proofErr w:type="spellEnd"/>
      <w:r w:rsidRPr="006E34BF">
        <w:rPr>
          <w:rFonts w:eastAsia="Times New Roman" w:cstheme="minorHAnsi"/>
          <w:color w:val="000000"/>
          <w:w w:val="105"/>
          <w:sz w:val="24"/>
          <w:szCs w:val="24"/>
        </w:rPr>
        <w:t xml:space="preserve">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 xml:space="preserve">Orders above R 30 000 will be evaluated according to the PPPFA 80/20-point system and a functionality scorecard where applicable and the ones above R 1 </w:t>
      </w:r>
      <w:proofErr w:type="gramStart"/>
      <w:r w:rsidRPr="00331B52">
        <w:rPr>
          <w:rFonts w:cstheme="minorHAnsi"/>
          <w:bCs/>
          <w:sz w:val="24"/>
          <w:szCs w:val="24"/>
        </w:rPr>
        <w:t>Million</w:t>
      </w:r>
      <w:proofErr w:type="gramEnd"/>
      <w:r w:rsidRPr="00331B52">
        <w:rPr>
          <w:rFonts w:cstheme="minorHAnsi"/>
          <w:bCs/>
          <w:sz w:val="24"/>
          <w:szCs w:val="24"/>
        </w:rPr>
        <w:t xml:space="preserve">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proofErr w:type="spellStart"/>
      <w:r w:rsidRPr="00331B52">
        <w:rPr>
          <w:rFonts w:cstheme="minorHAnsi"/>
          <w:bCs/>
          <w:sz w:val="24"/>
          <w:szCs w:val="24"/>
        </w:rPr>
        <w:t>Necsa’s</w:t>
      </w:r>
      <w:proofErr w:type="spellEnd"/>
      <w:r w:rsidRPr="00331B52">
        <w:rPr>
          <w:rFonts w:cstheme="minorHAnsi"/>
          <w:bCs/>
          <w:sz w:val="24"/>
          <w:szCs w:val="24"/>
        </w:rPr>
        <w:t xml:space="preserve">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 xml:space="preserve">y claim </w:t>
      </w:r>
      <w:proofErr w:type="gramStart"/>
      <w:r w:rsidR="00703016" w:rsidRPr="00331B52">
        <w:rPr>
          <w:rFonts w:cstheme="minorHAnsi"/>
          <w:bCs/>
          <w:color w:val="000000"/>
          <w:sz w:val="24"/>
          <w:szCs w:val="24"/>
        </w:rPr>
        <w:t>in regard to</w:t>
      </w:r>
      <w:proofErr w:type="gramEnd"/>
      <w:r w:rsidR="00703016" w:rsidRPr="00331B52">
        <w:rPr>
          <w:rFonts w:cstheme="minorHAnsi"/>
          <w:bCs/>
          <w:color w:val="000000"/>
          <w:sz w:val="24"/>
          <w:szCs w:val="24"/>
        </w:rPr>
        <w:t xml:space="preserve">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w:t>
      </w:r>
      <w:proofErr w:type="gramStart"/>
      <w:r w:rsidRPr="00331B52">
        <w:rPr>
          <w:rFonts w:eastAsiaTheme="minorEastAsia" w:cstheme="minorHAnsi"/>
          <w:bCs/>
          <w:sz w:val="24"/>
          <w:szCs w:val="24"/>
        </w:rPr>
        <w:t>refer</w:t>
      </w:r>
      <w:proofErr w:type="gramEnd"/>
      <w:r w:rsidRPr="00331B52">
        <w:rPr>
          <w:rFonts w:eastAsiaTheme="minorEastAsia" w:cstheme="minorHAnsi"/>
          <w:bCs/>
          <w:sz w:val="24"/>
          <w:szCs w:val="24"/>
        </w:rPr>
        <w:t xml:space="preserve"> queries, in writing, to the contact details provided above. Under no circumstances may any other employee within </w:t>
      </w:r>
      <w:proofErr w:type="spellStart"/>
      <w:r w:rsidR="00703016" w:rsidRPr="00331B52">
        <w:rPr>
          <w:rFonts w:eastAsiaTheme="minorEastAsia" w:cstheme="minorHAnsi"/>
          <w:bCs/>
          <w:sz w:val="24"/>
          <w:szCs w:val="24"/>
        </w:rPr>
        <w:t>Necsa</w:t>
      </w:r>
      <w:proofErr w:type="spellEnd"/>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 xml:space="preserve">vices should be delivered to </w:t>
      </w:r>
      <w:proofErr w:type="spellStart"/>
      <w:r w:rsidR="00703016" w:rsidRPr="00331B52">
        <w:rPr>
          <w:rFonts w:cstheme="minorHAnsi"/>
          <w:bCs/>
          <w:sz w:val="24"/>
          <w:szCs w:val="24"/>
        </w:rPr>
        <w:t>Necsa</w:t>
      </w:r>
      <w:proofErr w:type="spellEnd"/>
      <w:r w:rsidR="00703016" w:rsidRPr="00331B52">
        <w:rPr>
          <w:rFonts w:cstheme="minorHAnsi"/>
          <w:bCs/>
          <w:sz w:val="24"/>
          <w:szCs w:val="24"/>
        </w:rPr>
        <w:t xml:space="preserve"> without an official </w:t>
      </w:r>
      <w:proofErr w:type="spellStart"/>
      <w:r w:rsidR="00703016" w:rsidRPr="00331B52">
        <w:rPr>
          <w:rFonts w:cstheme="minorHAnsi"/>
          <w:bCs/>
          <w:sz w:val="24"/>
          <w:szCs w:val="24"/>
        </w:rPr>
        <w:t>Necsa</w:t>
      </w:r>
      <w:proofErr w:type="spellEnd"/>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proofErr w:type="spellStart"/>
      <w:r w:rsidR="00703016" w:rsidRPr="00331B52">
        <w:rPr>
          <w:rFonts w:eastAsiaTheme="minorEastAsia" w:cstheme="minorHAnsi"/>
          <w:bCs/>
          <w:sz w:val="24"/>
          <w:szCs w:val="24"/>
        </w:rPr>
        <w:t>Necsa</w:t>
      </w:r>
      <w:proofErr w:type="spellEnd"/>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proofErr w:type="spellStart"/>
      <w:r>
        <w:rPr>
          <w:rFonts w:eastAsiaTheme="minorEastAsia" w:cstheme="minorHAnsi"/>
          <w:bCs/>
          <w:sz w:val="24"/>
          <w:szCs w:val="24"/>
        </w:rPr>
        <w:t>Necsa</w:t>
      </w:r>
      <w:proofErr w:type="spellEnd"/>
      <w:r>
        <w:rPr>
          <w:rFonts w:eastAsiaTheme="minorEastAsia" w:cstheme="minorHAnsi"/>
          <w:bCs/>
          <w:sz w:val="24"/>
          <w:szCs w:val="24"/>
        </w:rPr>
        <w:t xml:space="preserve">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w:t>
      </w:r>
      <w:proofErr w:type="spellStart"/>
      <w:r w:rsidR="00703016" w:rsidRPr="00331B52">
        <w:rPr>
          <w:rFonts w:cstheme="minorHAnsi"/>
          <w:bCs/>
          <w:sz w:val="24"/>
          <w:szCs w:val="24"/>
        </w:rPr>
        <w:t>Necsa</w:t>
      </w:r>
      <w:proofErr w:type="spellEnd"/>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 xml:space="preserve">ch of the Agreement and the </w:t>
      </w:r>
      <w:proofErr w:type="spellStart"/>
      <w:r w:rsidR="00703016" w:rsidRPr="00331B52">
        <w:rPr>
          <w:rFonts w:cstheme="minorHAnsi"/>
          <w:bCs/>
          <w:sz w:val="24"/>
          <w:szCs w:val="24"/>
        </w:rPr>
        <w:t>Necsa</w:t>
      </w:r>
      <w:proofErr w:type="spellEnd"/>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proofErr w:type="spellStart"/>
      <w:r w:rsidRPr="00331B52">
        <w:rPr>
          <w:rFonts w:cstheme="minorHAnsi"/>
          <w:bCs/>
          <w:sz w:val="24"/>
          <w:szCs w:val="24"/>
        </w:rPr>
        <w:t>Necsa’s</w:t>
      </w:r>
      <w:proofErr w:type="spellEnd"/>
      <w:r w:rsidRPr="00331B52">
        <w:rPr>
          <w:rFonts w:cstheme="minorHAnsi"/>
          <w:bCs/>
          <w:sz w:val="24"/>
          <w:szCs w:val="24"/>
        </w:rPr>
        <w:t xml:space="preserve">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068"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87B46"/>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B17CE"/>
    <w:rsid w:val="002C1C0C"/>
    <w:rsid w:val="002D3270"/>
    <w:rsid w:val="002F70F7"/>
    <w:rsid w:val="00302A0A"/>
    <w:rsid w:val="00311D93"/>
    <w:rsid w:val="00320717"/>
    <w:rsid w:val="00320C38"/>
    <w:rsid w:val="003304A0"/>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7AC5"/>
    <w:rsid w:val="006C0D15"/>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D649C"/>
    <w:rsid w:val="0080596B"/>
    <w:rsid w:val="00807E6D"/>
    <w:rsid w:val="00842345"/>
    <w:rsid w:val="00877161"/>
    <w:rsid w:val="00883ADB"/>
    <w:rsid w:val="00883C4E"/>
    <w:rsid w:val="008947FB"/>
    <w:rsid w:val="0089720E"/>
    <w:rsid w:val="008C5A9B"/>
    <w:rsid w:val="008E0775"/>
    <w:rsid w:val="008E4B98"/>
    <w:rsid w:val="008F1551"/>
    <w:rsid w:val="008F2A30"/>
    <w:rsid w:val="00900B50"/>
    <w:rsid w:val="009033BD"/>
    <w:rsid w:val="00905F6E"/>
    <w:rsid w:val="00911B44"/>
    <w:rsid w:val="00916503"/>
    <w:rsid w:val="0093123C"/>
    <w:rsid w:val="0093528D"/>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86CE9"/>
    <w:rsid w:val="00D91A92"/>
    <w:rsid w:val="00DA2400"/>
    <w:rsid w:val="00DB17BB"/>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6CBE"/>
    <w:rsid w:val="00E73129"/>
    <w:rsid w:val="00E75686"/>
    <w:rsid w:val="00E81AE6"/>
    <w:rsid w:val="00E840A3"/>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4</cp:revision>
  <cp:lastPrinted>2021-07-16T10:07:00Z</cp:lastPrinted>
  <dcterms:created xsi:type="dcterms:W3CDTF">2025-09-09T07:59:00Z</dcterms:created>
  <dcterms:modified xsi:type="dcterms:W3CDTF">2025-09-09T08:48:00Z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