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397"/>
        <w:gridCol w:w="5619"/>
      </w:tblGrid>
      <w:tr w:rsidR="009B6299" w:rsidRPr="00BB0A82" w14:paraId="5A39E0BF" w14:textId="77777777" w:rsidTr="00BB0A82">
        <w:tc>
          <w:tcPr>
            <w:tcW w:w="1884" w:type="pct"/>
          </w:tcPr>
          <w:p w14:paraId="580C242F" w14:textId="77777777" w:rsidR="009B6299" w:rsidRPr="00BB0A82" w:rsidRDefault="002F70F7" w:rsidP="001A799E">
            <w:pPr>
              <w:spacing w:line="276" w:lineRule="auto"/>
              <w:rPr>
                <w:rFonts w:ascii="Arial" w:hAnsi="Arial" w:cs="Arial"/>
                <w:b/>
              </w:rPr>
            </w:pPr>
            <w:r w:rsidRPr="00BB0A82">
              <w:rPr>
                <w:rFonts w:ascii="Arial" w:hAnsi="Arial" w:cs="Arial"/>
                <w:b/>
              </w:rPr>
              <w:t>RFQ Number</w:t>
            </w:r>
          </w:p>
        </w:tc>
        <w:tc>
          <w:tcPr>
            <w:tcW w:w="3116" w:type="pct"/>
          </w:tcPr>
          <w:p w14:paraId="64D4FEA5" w14:textId="00D2CD69" w:rsidR="009B6299" w:rsidRPr="00BB0A82" w:rsidRDefault="00193FB2" w:rsidP="00BB4DF3">
            <w:pPr>
              <w:spacing w:line="276" w:lineRule="auto"/>
              <w:rPr>
                <w:rFonts w:ascii="Arial" w:hAnsi="Arial" w:cs="Arial"/>
                <w:b/>
              </w:rPr>
            </w:pPr>
            <w:r w:rsidRPr="00193FB2">
              <w:rPr>
                <w:rFonts w:ascii="Arial" w:hAnsi="Arial" w:cs="Arial"/>
                <w:b/>
              </w:rPr>
              <w:t>NLM-QUO-25/119</w:t>
            </w:r>
          </w:p>
        </w:tc>
      </w:tr>
      <w:tr w:rsidR="002F70F7" w:rsidRPr="00BB0A82" w14:paraId="5E03DF83" w14:textId="77777777" w:rsidTr="00BB0A82">
        <w:tc>
          <w:tcPr>
            <w:tcW w:w="1884" w:type="pct"/>
          </w:tcPr>
          <w:p w14:paraId="796FF34C" w14:textId="77777777" w:rsidR="002F70F7" w:rsidRPr="00BB0A82" w:rsidRDefault="002F70F7" w:rsidP="001A799E">
            <w:pPr>
              <w:spacing w:line="276" w:lineRule="auto"/>
              <w:rPr>
                <w:rFonts w:ascii="Arial" w:hAnsi="Arial" w:cs="Arial"/>
                <w:b/>
              </w:rPr>
            </w:pPr>
            <w:r w:rsidRPr="00BB0A82">
              <w:rPr>
                <w:rFonts w:ascii="Arial" w:hAnsi="Arial" w:cs="Arial"/>
                <w:b/>
              </w:rPr>
              <w:t>Request for Quotation Date</w:t>
            </w:r>
          </w:p>
        </w:tc>
        <w:tc>
          <w:tcPr>
            <w:tcW w:w="3116" w:type="pct"/>
          </w:tcPr>
          <w:p w14:paraId="56D5AABC" w14:textId="0D321C39" w:rsidR="002F70F7" w:rsidRPr="00BB0A82" w:rsidRDefault="00C9581D" w:rsidP="001A799E">
            <w:pPr>
              <w:spacing w:line="276" w:lineRule="auto"/>
              <w:rPr>
                <w:rFonts w:ascii="Arial" w:hAnsi="Arial" w:cs="Arial"/>
                <w:b/>
              </w:rPr>
            </w:pPr>
            <w:r>
              <w:rPr>
                <w:rFonts w:ascii="Arial" w:hAnsi="Arial" w:cs="Arial"/>
                <w:b/>
              </w:rPr>
              <w:t>11</w:t>
            </w:r>
            <w:r w:rsidR="00160B04" w:rsidRPr="00BB0A82">
              <w:rPr>
                <w:rFonts w:ascii="Arial" w:hAnsi="Arial" w:cs="Arial"/>
                <w:b/>
              </w:rPr>
              <w:t xml:space="preserve"> </w:t>
            </w:r>
            <w:r>
              <w:rPr>
                <w:rFonts w:ascii="Arial" w:hAnsi="Arial" w:cs="Arial"/>
                <w:b/>
              </w:rPr>
              <w:t>November</w:t>
            </w:r>
            <w:r w:rsidR="00BB4DF3" w:rsidRPr="00BB0A82">
              <w:rPr>
                <w:rFonts w:ascii="Arial" w:hAnsi="Arial" w:cs="Arial"/>
                <w:b/>
              </w:rPr>
              <w:t xml:space="preserve"> 202</w:t>
            </w:r>
            <w:r w:rsidR="00584D42" w:rsidRPr="00BB0A82">
              <w:rPr>
                <w:rFonts w:ascii="Arial" w:hAnsi="Arial" w:cs="Arial"/>
                <w:b/>
              </w:rPr>
              <w:t>5</w:t>
            </w:r>
          </w:p>
        </w:tc>
      </w:tr>
      <w:tr w:rsidR="00584D42" w:rsidRPr="00BB0A82" w14:paraId="3E763B8C" w14:textId="77777777" w:rsidTr="00BB0A82">
        <w:tc>
          <w:tcPr>
            <w:tcW w:w="1884" w:type="pct"/>
          </w:tcPr>
          <w:p w14:paraId="55A29009" w14:textId="227E74F8" w:rsidR="00584D42" w:rsidRPr="00BB0A82" w:rsidRDefault="00160B04" w:rsidP="00584D42">
            <w:pPr>
              <w:spacing w:line="276" w:lineRule="auto"/>
              <w:rPr>
                <w:rFonts w:ascii="Arial" w:hAnsi="Arial" w:cs="Arial"/>
                <w:b/>
              </w:rPr>
            </w:pPr>
            <w:r w:rsidRPr="00BB0A82">
              <w:rPr>
                <w:rFonts w:ascii="Arial" w:hAnsi="Arial" w:cs="Arial"/>
                <w:b/>
              </w:rPr>
              <w:t>RFQ Closing Date</w:t>
            </w:r>
          </w:p>
        </w:tc>
        <w:tc>
          <w:tcPr>
            <w:tcW w:w="3116" w:type="pct"/>
          </w:tcPr>
          <w:p w14:paraId="587C953D" w14:textId="634497BA" w:rsidR="00584D42" w:rsidRPr="00BB0A82" w:rsidRDefault="00C9581D" w:rsidP="00584D42">
            <w:pPr>
              <w:spacing w:line="276" w:lineRule="auto"/>
              <w:rPr>
                <w:rFonts w:ascii="Arial" w:hAnsi="Arial" w:cs="Arial"/>
                <w:b/>
              </w:rPr>
            </w:pPr>
            <w:r>
              <w:rPr>
                <w:rFonts w:ascii="Arial" w:hAnsi="Arial" w:cs="Arial"/>
                <w:b/>
              </w:rPr>
              <w:t>1</w:t>
            </w:r>
            <w:r w:rsidR="00DC0ABA">
              <w:rPr>
                <w:rFonts w:ascii="Arial" w:hAnsi="Arial" w:cs="Arial"/>
                <w:b/>
              </w:rPr>
              <w:t>4</w:t>
            </w:r>
            <w:r>
              <w:rPr>
                <w:rFonts w:ascii="Arial" w:hAnsi="Arial" w:cs="Arial"/>
                <w:b/>
              </w:rPr>
              <w:t xml:space="preserve"> November</w:t>
            </w:r>
            <w:r w:rsidR="00584D42" w:rsidRPr="00BB0A82">
              <w:rPr>
                <w:rFonts w:ascii="Arial" w:hAnsi="Arial" w:cs="Arial"/>
                <w:b/>
              </w:rPr>
              <w:t xml:space="preserve"> 2025</w:t>
            </w:r>
          </w:p>
        </w:tc>
      </w:tr>
      <w:tr w:rsidR="002F70F7" w:rsidRPr="00BB0A82" w14:paraId="4C4733DB" w14:textId="77777777" w:rsidTr="00BB0A82">
        <w:tc>
          <w:tcPr>
            <w:tcW w:w="1884" w:type="pct"/>
          </w:tcPr>
          <w:p w14:paraId="58D74366" w14:textId="77777777" w:rsidR="002F70F7" w:rsidRPr="00BB0A82" w:rsidRDefault="002F70F7" w:rsidP="001A799E">
            <w:pPr>
              <w:spacing w:line="276" w:lineRule="auto"/>
              <w:rPr>
                <w:rFonts w:ascii="Arial" w:hAnsi="Arial" w:cs="Arial"/>
                <w:b/>
              </w:rPr>
            </w:pPr>
            <w:r w:rsidRPr="00BB0A82">
              <w:rPr>
                <w:rFonts w:ascii="Arial" w:hAnsi="Arial" w:cs="Arial"/>
                <w:b/>
              </w:rPr>
              <w:t>RFQ Closing Time</w:t>
            </w:r>
          </w:p>
        </w:tc>
        <w:tc>
          <w:tcPr>
            <w:tcW w:w="3116" w:type="pct"/>
          </w:tcPr>
          <w:p w14:paraId="55417C37" w14:textId="1CE74FD1" w:rsidR="002F70F7" w:rsidRPr="00BB0A82" w:rsidRDefault="00160B04" w:rsidP="001A799E">
            <w:pPr>
              <w:spacing w:line="276" w:lineRule="auto"/>
              <w:rPr>
                <w:rFonts w:ascii="Arial" w:hAnsi="Arial" w:cs="Arial"/>
                <w:b/>
              </w:rPr>
            </w:pPr>
            <w:r w:rsidRPr="00BB0A82">
              <w:rPr>
                <w:rFonts w:ascii="Arial" w:hAnsi="Arial" w:cs="Arial"/>
                <w:b/>
              </w:rPr>
              <w:t>12</w:t>
            </w:r>
            <w:r w:rsidR="007C4B50" w:rsidRPr="00BB0A82">
              <w:rPr>
                <w:rFonts w:ascii="Arial" w:hAnsi="Arial" w:cs="Arial"/>
                <w:b/>
              </w:rPr>
              <w:t>:00</w:t>
            </w:r>
          </w:p>
        </w:tc>
      </w:tr>
      <w:tr w:rsidR="00E52A7E" w:rsidRPr="00BB0A82" w14:paraId="076E0A19" w14:textId="77777777" w:rsidTr="00BB0A82">
        <w:tc>
          <w:tcPr>
            <w:tcW w:w="1884" w:type="pct"/>
          </w:tcPr>
          <w:p w14:paraId="629D2549" w14:textId="77777777" w:rsidR="00E52A7E" w:rsidRPr="00BB0A82" w:rsidRDefault="00E52A7E" w:rsidP="001A799E">
            <w:pPr>
              <w:spacing w:line="276" w:lineRule="auto"/>
              <w:rPr>
                <w:rFonts w:ascii="Arial" w:hAnsi="Arial" w:cs="Arial"/>
                <w:b/>
              </w:rPr>
            </w:pPr>
            <w:r w:rsidRPr="00BB0A82">
              <w:rPr>
                <w:rFonts w:ascii="Arial" w:hAnsi="Arial" w:cs="Arial"/>
                <w:b/>
              </w:rPr>
              <w:t>Compulsory Site Briefing</w:t>
            </w:r>
          </w:p>
        </w:tc>
        <w:tc>
          <w:tcPr>
            <w:tcW w:w="3116" w:type="pct"/>
          </w:tcPr>
          <w:p w14:paraId="41AC3B5C" w14:textId="77777777" w:rsidR="00E52A7E" w:rsidRPr="00BB0A82" w:rsidRDefault="000E07D2" w:rsidP="001A799E">
            <w:pPr>
              <w:spacing w:line="276" w:lineRule="auto"/>
              <w:rPr>
                <w:rFonts w:ascii="Arial" w:hAnsi="Arial" w:cs="Arial"/>
                <w:b/>
              </w:rPr>
            </w:pPr>
            <w:r w:rsidRPr="00BB0A82">
              <w:rPr>
                <w:rFonts w:ascii="Arial" w:hAnsi="Arial" w:cs="Arial"/>
                <w:b/>
              </w:rPr>
              <w:t xml:space="preserve">Not compulsory but </w:t>
            </w:r>
            <w:r w:rsidR="00957BB2" w:rsidRPr="00BB0A82">
              <w:rPr>
                <w:rFonts w:ascii="Arial" w:hAnsi="Arial" w:cs="Arial"/>
                <w:b/>
              </w:rPr>
              <w:t xml:space="preserve">if more information required can be arranged </w:t>
            </w:r>
          </w:p>
        </w:tc>
      </w:tr>
      <w:tr w:rsidR="002F70F7" w:rsidRPr="00BB0A82" w14:paraId="4352C8CF" w14:textId="77777777" w:rsidTr="00BB0A82">
        <w:tc>
          <w:tcPr>
            <w:tcW w:w="1884" w:type="pct"/>
          </w:tcPr>
          <w:p w14:paraId="2386141C" w14:textId="77777777" w:rsidR="002F70F7" w:rsidRPr="00BB0A82" w:rsidRDefault="002F70F7" w:rsidP="001A799E">
            <w:pPr>
              <w:spacing w:line="276" w:lineRule="auto"/>
              <w:rPr>
                <w:rFonts w:ascii="Arial" w:hAnsi="Arial" w:cs="Arial"/>
                <w:b/>
              </w:rPr>
            </w:pPr>
            <w:r w:rsidRPr="00BB0A82">
              <w:rPr>
                <w:rFonts w:ascii="Arial" w:hAnsi="Arial" w:cs="Arial"/>
                <w:b/>
              </w:rPr>
              <w:t>Contact Person</w:t>
            </w:r>
          </w:p>
        </w:tc>
        <w:tc>
          <w:tcPr>
            <w:tcW w:w="3116" w:type="pct"/>
          </w:tcPr>
          <w:p w14:paraId="69BE4465" w14:textId="2C023380" w:rsidR="002F70F7" w:rsidRPr="00BB0A82" w:rsidRDefault="00193FB2" w:rsidP="001A799E">
            <w:pPr>
              <w:spacing w:line="276" w:lineRule="auto"/>
              <w:rPr>
                <w:rFonts w:ascii="Arial" w:hAnsi="Arial" w:cs="Arial"/>
                <w:b/>
              </w:rPr>
            </w:pPr>
            <w:r>
              <w:rPr>
                <w:rFonts w:ascii="Arial" w:hAnsi="Arial" w:cs="Arial"/>
                <w:b/>
              </w:rPr>
              <w:t>Thulile Sokhela</w:t>
            </w:r>
          </w:p>
        </w:tc>
      </w:tr>
      <w:tr w:rsidR="00E52A7E" w:rsidRPr="00BB0A82" w14:paraId="4D626FF4" w14:textId="77777777" w:rsidTr="00BB0A82">
        <w:tc>
          <w:tcPr>
            <w:tcW w:w="1884" w:type="pct"/>
          </w:tcPr>
          <w:p w14:paraId="59EE792D" w14:textId="77777777" w:rsidR="00E52A7E" w:rsidRPr="00BB0A82" w:rsidRDefault="00E52A7E" w:rsidP="001A799E">
            <w:pPr>
              <w:spacing w:line="276" w:lineRule="auto"/>
              <w:rPr>
                <w:rFonts w:ascii="Arial" w:hAnsi="Arial" w:cs="Arial"/>
                <w:b/>
              </w:rPr>
            </w:pPr>
            <w:r w:rsidRPr="00BB0A82">
              <w:rPr>
                <w:rFonts w:ascii="Arial" w:hAnsi="Arial" w:cs="Arial"/>
                <w:b/>
              </w:rPr>
              <w:t>Quotation Validity</w:t>
            </w:r>
          </w:p>
        </w:tc>
        <w:tc>
          <w:tcPr>
            <w:tcW w:w="3116" w:type="pct"/>
          </w:tcPr>
          <w:p w14:paraId="2CAB943B" w14:textId="6B7E805A" w:rsidR="00E52A7E" w:rsidRPr="00BB0A82" w:rsidRDefault="00193FB2" w:rsidP="00957BB2">
            <w:pPr>
              <w:spacing w:line="276" w:lineRule="auto"/>
              <w:rPr>
                <w:rFonts w:ascii="Arial" w:hAnsi="Arial" w:cs="Arial"/>
                <w:b/>
              </w:rPr>
            </w:pPr>
            <w:r>
              <w:rPr>
                <w:rFonts w:ascii="Arial" w:hAnsi="Arial" w:cs="Arial"/>
                <w:b/>
              </w:rPr>
              <w:t>9</w:t>
            </w:r>
            <w:r w:rsidR="00957BB2" w:rsidRPr="00BB0A82">
              <w:rPr>
                <w:rFonts w:ascii="Arial" w:hAnsi="Arial" w:cs="Arial"/>
                <w:b/>
              </w:rPr>
              <w:t>0</w:t>
            </w:r>
            <w:r w:rsidR="00E52A7E" w:rsidRPr="00BB0A82">
              <w:rPr>
                <w:rFonts w:ascii="Arial" w:hAnsi="Arial" w:cs="Arial"/>
                <w:b/>
              </w:rPr>
              <w:t xml:space="preserve"> Days from the closing date</w:t>
            </w:r>
          </w:p>
        </w:tc>
      </w:tr>
      <w:tr w:rsidR="002F70F7" w:rsidRPr="00BB0A82" w14:paraId="70097BA5" w14:textId="77777777" w:rsidTr="00BB0A82">
        <w:tc>
          <w:tcPr>
            <w:tcW w:w="1884" w:type="pct"/>
          </w:tcPr>
          <w:p w14:paraId="546DB948" w14:textId="77777777" w:rsidR="002F70F7" w:rsidRPr="00BB0A82" w:rsidRDefault="002F70F7" w:rsidP="001A799E">
            <w:pPr>
              <w:spacing w:line="276" w:lineRule="auto"/>
              <w:rPr>
                <w:rFonts w:ascii="Arial" w:hAnsi="Arial" w:cs="Arial"/>
                <w:b/>
              </w:rPr>
            </w:pPr>
            <w:r w:rsidRPr="00BB0A82">
              <w:rPr>
                <w:rFonts w:ascii="Arial" w:hAnsi="Arial" w:cs="Arial"/>
                <w:b/>
              </w:rPr>
              <w:t>Submission Details</w:t>
            </w:r>
          </w:p>
        </w:tc>
        <w:tc>
          <w:tcPr>
            <w:tcW w:w="3116" w:type="pct"/>
          </w:tcPr>
          <w:p w14:paraId="4B3FF792" w14:textId="3B9AC794" w:rsidR="007C4B50" w:rsidRPr="00BB0A82" w:rsidRDefault="002F70F7" w:rsidP="001A799E">
            <w:pPr>
              <w:spacing w:line="276" w:lineRule="auto"/>
              <w:rPr>
                <w:rFonts w:ascii="Arial" w:hAnsi="Arial" w:cs="Arial"/>
                <w:b/>
              </w:rPr>
            </w:pPr>
            <w:r w:rsidRPr="00BB0A82">
              <w:rPr>
                <w:rFonts w:ascii="Arial" w:hAnsi="Arial" w:cs="Arial"/>
                <w:b/>
              </w:rPr>
              <w:t xml:space="preserve">RFQ Response must be sent to: </w:t>
            </w:r>
            <w:hyperlink r:id="rId8" w:history="1">
              <w:r w:rsidR="00193FB2" w:rsidRPr="000043C4">
                <w:rPr>
                  <w:rStyle w:val="Hyperlink"/>
                  <w:rFonts w:ascii="Arial" w:hAnsi="Arial" w:cs="Arial"/>
                  <w:b/>
                </w:rPr>
                <w:t>thulile.sokhela@necsa.co.za</w:t>
              </w:r>
            </w:hyperlink>
          </w:p>
        </w:tc>
      </w:tr>
      <w:tr w:rsidR="002F70F7" w:rsidRPr="00BB0A82" w14:paraId="1CDE507B" w14:textId="77777777" w:rsidTr="00BB0A82">
        <w:tc>
          <w:tcPr>
            <w:tcW w:w="1884" w:type="pct"/>
          </w:tcPr>
          <w:p w14:paraId="36D96074" w14:textId="77777777" w:rsidR="002F70F7" w:rsidRPr="00BB0A82" w:rsidRDefault="002F70F7" w:rsidP="001A799E">
            <w:pPr>
              <w:spacing w:line="276" w:lineRule="auto"/>
              <w:rPr>
                <w:rFonts w:ascii="Arial" w:hAnsi="Arial" w:cs="Arial"/>
                <w:b/>
              </w:rPr>
            </w:pPr>
            <w:r w:rsidRPr="00BB0A82">
              <w:rPr>
                <w:rFonts w:ascii="Arial" w:hAnsi="Arial" w:cs="Arial"/>
                <w:b/>
              </w:rPr>
              <w:t>RFQ Description</w:t>
            </w:r>
          </w:p>
        </w:tc>
        <w:tc>
          <w:tcPr>
            <w:tcW w:w="3116" w:type="pct"/>
          </w:tcPr>
          <w:p w14:paraId="4C561131" w14:textId="307777F7" w:rsidR="00D7771C" w:rsidRPr="00D7771C" w:rsidRDefault="00067040" w:rsidP="0051572B">
            <w:pPr>
              <w:pStyle w:val="Default"/>
              <w:rPr>
                <w:rFonts w:ascii="Arial" w:hAnsi="Arial" w:cs="Arial"/>
                <w:sz w:val="22"/>
                <w:szCs w:val="22"/>
              </w:rPr>
            </w:pPr>
            <w:r w:rsidRPr="00D7771C">
              <w:rPr>
                <w:rFonts w:ascii="Arial" w:hAnsi="Arial" w:cs="Arial"/>
                <w:sz w:val="22"/>
                <w:szCs w:val="22"/>
              </w:rPr>
              <w:t xml:space="preserve">To supply </w:t>
            </w:r>
            <w:r w:rsidR="00373606" w:rsidRPr="00D7771C">
              <w:rPr>
                <w:rFonts w:ascii="Arial" w:hAnsi="Arial" w:cs="Arial"/>
                <w:sz w:val="22"/>
                <w:szCs w:val="22"/>
              </w:rPr>
              <w:t xml:space="preserve">pneumatic </w:t>
            </w:r>
            <w:r w:rsidR="00120F01" w:rsidRPr="00D7771C">
              <w:rPr>
                <w:rFonts w:ascii="Arial" w:hAnsi="Arial" w:cs="Arial"/>
                <w:sz w:val="22"/>
                <w:szCs w:val="22"/>
              </w:rPr>
              <w:t xml:space="preserve">diaphragm </w:t>
            </w:r>
            <w:r w:rsidR="00240CE3" w:rsidRPr="00D7771C">
              <w:rPr>
                <w:rFonts w:ascii="Arial" w:hAnsi="Arial" w:cs="Arial"/>
                <w:sz w:val="22"/>
                <w:szCs w:val="22"/>
              </w:rPr>
              <w:t>pump</w:t>
            </w:r>
            <w:r w:rsidR="00120F01" w:rsidRPr="00D7771C">
              <w:rPr>
                <w:rFonts w:ascii="Arial" w:hAnsi="Arial" w:cs="Arial"/>
                <w:sz w:val="22"/>
                <w:szCs w:val="22"/>
              </w:rPr>
              <w:t>s</w:t>
            </w:r>
            <w:r w:rsidR="00240CE3" w:rsidRPr="00D7771C">
              <w:rPr>
                <w:rFonts w:ascii="Arial" w:hAnsi="Arial" w:cs="Arial"/>
                <w:sz w:val="22"/>
                <w:szCs w:val="22"/>
              </w:rPr>
              <w:t xml:space="preserve"> </w:t>
            </w:r>
            <w:r w:rsidR="008E2BB3" w:rsidRPr="00D7771C">
              <w:rPr>
                <w:rFonts w:ascii="Arial" w:hAnsi="Arial" w:cs="Arial"/>
                <w:sz w:val="22"/>
                <w:szCs w:val="22"/>
              </w:rPr>
              <w:t>as per t</w:t>
            </w:r>
            <w:r w:rsidR="00230A95" w:rsidRPr="00D7771C">
              <w:rPr>
                <w:rFonts w:ascii="Arial" w:hAnsi="Arial" w:cs="Arial"/>
                <w:sz w:val="22"/>
                <w:szCs w:val="22"/>
              </w:rPr>
              <w:t>he attached specification sheet</w:t>
            </w:r>
            <w:r w:rsidR="00833150" w:rsidRPr="00D7771C">
              <w:rPr>
                <w:rFonts w:ascii="Arial" w:hAnsi="Arial" w:cs="Arial"/>
                <w:sz w:val="22"/>
                <w:szCs w:val="22"/>
              </w:rPr>
              <w:t>s</w:t>
            </w:r>
            <w:r w:rsidR="00D7771C">
              <w:rPr>
                <w:rFonts w:ascii="Arial" w:hAnsi="Arial" w:cs="Arial"/>
                <w:sz w:val="22"/>
                <w:szCs w:val="22"/>
              </w:rPr>
              <w:t>.</w:t>
            </w:r>
          </w:p>
        </w:tc>
      </w:tr>
    </w:tbl>
    <w:p w14:paraId="17C243B2" w14:textId="77777777" w:rsidR="009B6299" w:rsidRPr="00BB0A82" w:rsidRDefault="009B6299" w:rsidP="001A799E">
      <w:pPr>
        <w:spacing w:after="0"/>
        <w:rPr>
          <w:rFonts w:ascii="Arial" w:hAnsi="Arial" w:cs="Arial"/>
          <w:b/>
        </w:rPr>
      </w:pPr>
    </w:p>
    <w:p w14:paraId="12ABC24F" w14:textId="6A729A56" w:rsidR="005D3EA3" w:rsidRPr="00D7771C" w:rsidRDefault="009B6299" w:rsidP="001A799E">
      <w:pPr>
        <w:spacing w:after="0"/>
        <w:jc w:val="both"/>
        <w:rPr>
          <w:rFonts w:ascii="Arial" w:hAnsi="Arial" w:cs="Arial"/>
        </w:rPr>
      </w:pPr>
      <w:r w:rsidRPr="00D7771C">
        <w:rPr>
          <w:rFonts w:ascii="Arial" w:hAnsi="Arial" w:cs="Arial"/>
        </w:rPr>
        <w:t xml:space="preserve">Dear </w:t>
      </w:r>
      <w:r w:rsidR="00026653" w:rsidRPr="00D7771C">
        <w:rPr>
          <w:rFonts w:ascii="Arial" w:hAnsi="Arial" w:cs="Arial"/>
        </w:rPr>
        <w:t>Service Provider</w:t>
      </w:r>
    </w:p>
    <w:p w14:paraId="4997B2D4" w14:textId="77777777" w:rsidR="0028213E" w:rsidRPr="00D7771C" w:rsidRDefault="0028213E" w:rsidP="001A799E">
      <w:pPr>
        <w:spacing w:after="0"/>
        <w:jc w:val="both"/>
        <w:rPr>
          <w:rFonts w:ascii="Arial" w:hAnsi="Arial" w:cs="Arial"/>
        </w:rPr>
      </w:pPr>
    </w:p>
    <w:p w14:paraId="4BB48DD9" w14:textId="37B34CE4" w:rsidR="009B6299" w:rsidRPr="00D7771C" w:rsidRDefault="00A97702" w:rsidP="001A799E">
      <w:pPr>
        <w:spacing w:after="0"/>
        <w:jc w:val="both"/>
        <w:rPr>
          <w:rFonts w:ascii="Arial" w:hAnsi="Arial" w:cs="Arial"/>
        </w:rPr>
      </w:pPr>
      <w:r w:rsidRPr="00D7771C">
        <w:rPr>
          <w:rFonts w:ascii="Arial" w:hAnsi="Arial" w:cs="Arial"/>
        </w:rPr>
        <w:t xml:space="preserve">Kindly provide a quotation for goods and or services as outlined in section </w:t>
      </w:r>
      <w:r w:rsidR="00263297">
        <w:rPr>
          <w:rFonts w:ascii="Arial" w:hAnsi="Arial" w:cs="Arial"/>
        </w:rPr>
        <w:t>3</w:t>
      </w:r>
      <w:r w:rsidRPr="00D7771C">
        <w:rPr>
          <w:rFonts w:ascii="Arial" w:hAnsi="Arial" w:cs="Arial"/>
        </w:rPr>
        <w:t xml:space="preserve"> of this document.</w:t>
      </w:r>
    </w:p>
    <w:p w14:paraId="68B29D83" w14:textId="77777777" w:rsidR="00155894" w:rsidRPr="00BB0A82" w:rsidRDefault="00155894" w:rsidP="001A799E">
      <w:pPr>
        <w:widowControl w:val="0"/>
        <w:autoSpaceDE w:val="0"/>
        <w:autoSpaceDN w:val="0"/>
        <w:adjustRightInd w:val="0"/>
        <w:spacing w:after="0"/>
        <w:ind w:left="1800" w:hanging="99"/>
        <w:jc w:val="both"/>
        <w:rPr>
          <w:rFonts w:ascii="Arial" w:eastAsia="Times New Roman" w:hAnsi="Arial" w:cs="Arial"/>
          <w:b/>
          <w:color w:val="000000"/>
          <w:spacing w:val="-3"/>
        </w:rPr>
      </w:pPr>
      <w:bookmarkStart w:id="0" w:name="Pg2"/>
      <w:bookmarkEnd w:id="0"/>
    </w:p>
    <w:p w14:paraId="2751A912" w14:textId="77777777" w:rsidR="00155894" w:rsidRPr="00BB0A82"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sz w:val="24"/>
          <w:szCs w:val="24"/>
          <w:u w:val="single"/>
        </w:rPr>
      </w:pPr>
      <w:r w:rsidRPr="00BB0A82">
        <w:rPr>
          <w:rFonts w:ascii="Arial" w:eastAsia="Times New Roman" w:hAnsi="Arial" w:cs="Arial"/>
          <w:b/>
          <w:color w:val="000000"/>
          <w:spacing w:val="-3"/>
          <w:sz w:val="24"/>
          <w:szCs w:val="24"/>
          <w:u w:val="single"/>
        </w:rPr>
        <w:t>Introduction</w:t>
      </w:r>
    </w:p>
    <w:p w14:paraId="7C2D01C6" w14:textId="5C9B88C4" w:rsidR="003B5BB2" w:rsidRPr="00BB0A82"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sz w:val="24"/>
          <w:szCs w:val="24"/>
          <w:u w:val="single"/>
        </w:rPr>
      </w:pPr>
    </w:p>
    <w:p w14:paraId="65A9F4E7" w14:textId="77777777" w:rsidR="003B5BB2" w:rsidRPr="00D7771C" w:rsidRDefault="003B5BB2" w:rsidP="003B5BB2">
      <w:pPr>
        <w:pStyle w:val="1Paragraph"/>
        <w:ind w:left="0"/>
      </w:pPr>
      <w:r w:rsidRPr="00D7771C">
        <w:t xml:space="preserve">The South African Nuclear Energy Corporation Limited (Necsa) is a state-owned public company (SOC), registered in terms of the Companies Act, (Act No. 61 of 1973), registration number 2000/003735/06. </w:t>
      </w:r>
    </w:p>
    <w:p w14:paraId="442528F2" w14:textId="77777777" w:rsidR="003B5BB2" w:rsidRPr="00D7771C" w:rsidRDefault="003B5BB2" w:rsidP="003B5BB2">
      <w:pPr>
        <w:pStyle w:val="1Paragraph"/>
        <w:ind w:left="0"/>
      </w:pPr>
      <w:r w:rsidRPr="00D7771C">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rsidRPr="00D7771C">
        <w:t>Pelchem</w:t>
      </w:r>
      <w:proofErr w:type="spellEnd"/>
      <w:r w:rsidRPr="00D7771C">
        <w:t xml:space="preserve"> SOC Ltd (</w:t>
      </w:r>
      <w:proofErr w:type="spellStart"/>
      <w:r w:rsidRPr="00D7771C">
        <w:t>Pelchem</w:t>
      </w:r>
      <w:proofErr w:type="spellEnd"/>
      <w:r w:rsidRPr="00D7771C">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A09C63" w14:textId="77777777" w:rsidR="003B5BB2" w:rsidRPr="00D7771C" w:rsidRDefault="003B5BB2" w:rsidP="003B5BB2">
      <w:pPr>
        <w:pStyle w:val="1Paragraph"/>
        <w:ind w:left="0"/>
      </w:pPr>
      <w:proofErr w:type="spellStart"/>
      <w:r w:rsidRPr="00D7771C">
        <w:t>Necsa’s</w:t>
      </w:r>
      <w:proofErr w:type="spellEnd"/>
      <w:r w:rsidRPr="00D7771C">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65F37A13" w14:textId="0E7067EF" w:rsidR="003B5BB2" w:rsidRPr="00D7771C" w:rsidRDefault="003B5BB2" w:rsidP="005A0E84">
      <w:pPr>
        <w:pStyle w:val="1Paragraph"/>
        <w:ind w:left="0"/>
      </w:pPr>
      <w:r w:rsidRPr="00D7771C">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w:t>
      </w:r>
      <w:r w:rsidR="005A0E84" w:rsidRPr="00D7771C">
        <w:t xml:space="preserve"> knowledge to improve our world.</w:t>
      </w:r>
    </w:p>
    <w:p w14:paraId="598DFACD" w14:textId="70EDB63A" w:rsidR="005A0E84" w:rsidRPr="00D7771C" w:rsidRDefault="003B5BB2" w:rsidP="001A799E">
      <w:pPr>
        <w:autoSpaceDE w:val="0"/>
        <w:autoSpaceDN w:val="0"/>
        <w:adjustRightInd w:val="0"/>
        <w:jc w:val="both"/>
        <w:rPr>
          <w:rStyle w:val="Hyperlink"/>
          <w:rFonts w:ascii="Arial" w:eastAsia="Times New Roman" w:hAnsi="Arial" w:cs="Arial"/>
        </w:rPr>
      </w:pPr>
      <w:r w:rsidRPr="00D7771C">
        <w:rPr>
          <w:rFonts w:ascii="Arial" w:eastAsia="Times New Roman" w:hAnsi="Arial" w:cs="Arial"/>
          <w:color w:val="000000"/>
        </w:rPr>
        <w:t xml:space="preserve">For more information on </w:t>
      </w:r>
      <w:proofErr w:type="spellStart"/>
      <w:r w:rsidRPr="00D7771C">
        <w:rPr>
          <w:rFonts w:ascii="Arial" w:eastAsia="Times New Roman" w:hAnsi="Arial" w:cs="Arial"/>
          <w:color w:val="000000"/>
        </w:rPr>
        <w:t>Necsa</w:t>
      </w:r>
      <w:proofErr w:type="spellEnd"/>
      <w:r w:rsidRPr="00D7771C">
        <w:rPr>
          <w:rFonts w:ascii="Arial" w:eastAsia="Times New Roman" w:hAnsi="Arial" w:cs="Arial"/>
          <w:color w:val="000000"/>
        </w:rPr>
        <w:t xml:space="preserve">, please visit: </w:t>
      </w:r>
      <w:hyperlink r:id="rId9" w:history="1">
        <w:r w:rsidR="00D7771C" w:rsidRPr="00D7771C">
          <w:rPr>
            <w:rStyle w:val="Hyperlink"/>
            <w:rFonts w:ascii="Arial" w:eastAsia="Times New Roman" w:hAnsi="Arial" w:cs="Arial"/>
          </w:rPr>
          <w:t>www.necsa.co.za</w:t>
        </w:r>
      </w:hyperlink>
    </w:p>
    <w:p w14:paraId="030B6ADA" w14:textId="4D9CF892" w:rsidR="00B30CDC" w:rsidRPr="00D7771C"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D7771C">
        <w:rPr>
          <w:rFonts w:ascii="Arial" w:eastAsia="Times New Roman" w:hAnsi="Arial" w:cs="Arial"/>
          <w:b/>
          <w:color w:val="000000"/>
          <w:w w:val="101"/>
          <w:sz w:val="24"/>
          <w:u w:val="single"/>
        </w:rPr>
        <w:t>Background</w:t>
      </w:r>
    </w:p>
    <w:p w14:paraId="6155CF3F" w14:textId="77777777" w:rsidR="00B30CDC" w:rsidRPr="00D7771C"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5E8C1F75" w14:textId="0690CC05" w:rsidR="00E361E4" w:rsidRPr="00D7771C" w:rsidRDefault="00B30CDC" w:rsidP="001B2823">
      <w:pPr>
        <w:widowControl w:val="0"/>
        <w:tabs>
          <w:tab w:val="left" w:pos="2268"/>
        </w:tabs>
        <w:autoSpaceDE w:val="0"/>
        <w:autoSpaceDN w:val="0"/>
        <w:adjustRightInd w:val="0"/>
        <w:spacing w:after="0"/>
        <w:jc w:val="both"/>
        <w:rPr>
          <w:rFonts w:ascii="Arial" w:eastAsia="Times New Roman" w:hAnsi="Arial" w:cs="Arial"/>
          <w:color w:val="000000"/>
          <w:w w:val="101"/>
        </w:rPr>
      </w:pPr>
      <w:r w:rsidRPr="00D7771C">
        <w:rPr>
          <w:rFonts w:ascii="Arial" w:eastAsia="Times New Roman" w:hAnsi="Arial" w:cs="Arial"/>
          <w:color w:val="000000"/>
          <w:w w:val="101"/>
        </w:rPr>
        <w:t xml:space="preserve">Necsa plans to establish </w:t>
      </w:r>
      <w:r w:rsidR="002B7E0B">
        <w:rPr>
          <w:rFonts w:ascii="Arial" w:eastAsia="Times New Roman" w:hAnsi="Arial" w:cs="Arial"/>
          <w:color w:val="000000"/>
          <w:w w:val="101"/>
        </w:rPr>
        <w:t>two</w:t>
      </w:r>
      <w:r w:rsidRPr="00D7771C">
        <w:rPr>
          <w:rFonts w:ascii="Arial" w:eastAsia="Times New Roman" w:hAnsi="Arial" w:cs="Arial"/>
          <w:color w:val="000000"/>
          <w:w w:val="101"/>
        </w:rPr>
        <w:t xml:space="preserve"> plasma gasification demonstration facilit</w:t>
      </w:r>
      <w:r w:rsidR="002B7E0B">
        <w:rPr>
          <w:rFonts w:ascii="Arial" w:eastAsia="Times New Roman" w:hAnsi="Arial" w:cs="Arial"/>
          <w:color w:val="000000"/>
          <w:w w:val="101"/>
        </w:rPr>
        <w:t>ies</w:t>
      </w:r>
      <w:r w:rsidRPr="00D7771C">
        <w:rPr>
          <w:rFonts w:ascii="Arial" w:eastAsia="Times New Roman" w:hAnsi="Arial" w:cs="Arial"/>
          <w:color w:val="000000"/>
          <w:w w:val="101"/>
        </w:rPr>
        <w:t xml:space="preserve"> in a laboratory on-site to volumetrically reduce </w:t>
      </w:r>
      <w:r w:rsidR="00E002BC" w:rsidRPr="00D7771C">
        <w:rPr>
          <w:rFonts w:ascii="Arial" w:eastAsia="Times New Roman" w:hAnsi="Arial" w:cs="Arial"/>
          <w:color w:val="000000"/>
          <w:w w:val="101"/>
        </w:rPr>
        <w:t>nuclear waste.</w:t>
      </w:r>
      <w:r w:rsidRPr="00D7771C">
        <w:rPr>
          <w:rFonts w:ascii="Arial" w:eastAsia="Times New Roman" w:hAnsi="Arial" w:cs="Arial"/>
          <w:color w:val="000000"/>
          <w:w w:val="101"/>
        </w:rPr>
        <w:t xml:space="preserve"> </w:t>
      </w:r>
      <w:r w:rsidR="002B7E0B">
        <w:rPr>
          <w:rFonts w:ascii="Arial" w:eastAsia="Times New Roman" w:hAnsi="Arial" w:cs="Arial"/>
          <w:color w:val="000000"/>
          <w:w w:val="101"/>
        </w:rPr>
        <w:t xml:space="preserve">One facility will process solid, compressible low-level waste and the other will process contaminated waste oil. </w:t>
      </w:r>
      <w:r w:rsidR="00E361E4" w:rsidRPr="00D7771C">
        <w:rPr>
          <w:rFonts w:ascii="Arial" w:eastAsia="Times New Roman" w:hAnsi="Arial" w:cs="Arial"/>
          <w:color w:val="000000"/>
          <w:w w:val="101"/>
        </w:rPr>
        <w:t>Pneumatic diaphragm (positive displacement)</w:t>
      </w:r>
      <w:r w:rsidR="00BA79B5" w:rsidRPr="00D7771C">
        <w:rPr>
          <w:rFonts w:ascii="Arial" w:eastAsia="Times New Roman" w:hAnsi="Arial" w:cs="Arial"/>
          <w:color w:val="000000"/>
          <w:w w:val="101"/>
        </w:rPr>
        <w:t xml:space="preserve"> pumps</w:t>
      </w:r>
      <w:r w:rsidR="00E361E4" w:rsidRPr="00D7771C">
        <w:rPr>
          <w:rFonts w:ascii="Arial" w:eastAsia="Times New Roman" w:hAnsi="Arial" w:cs="Arial"/>
          <w:color w:val="000000"/>
          <w:w w:val="101"/>
        </w:rPr>
        <w:t xml:space="preserve"> are utilized on an ad hoc basis in various applications </w:t>
      </w:r>
      <w:r w:rsidR="002B7E0B">
        <w:rPr>
          <w:rFonts w:ascii="Arial" w:eastAsia="Times New Roman" w:hAnsi="Arial" w:cs="Arial"/>
          <w:color w:val="000000"/>
          <w:w w:val="101"/>
        </w:rPr>
        <w:t>and are shared between</w:t>
      </w:r>
      <w:r w:rsidR="00E361E4" w:rsidRPr="00D7771C">
        <w:rPr>
          <w:rFonts w:ascii="Arial" w:eastAsia="Times New Roman" w:hAnsi="Arial" w:cs="Arial"/>
          <w:color w:val="000000"/>
          <w:w w:val="101"/>
        </w:rPr>
        <w:t xml:space="preserve"> the facilit</w:t>
      </w:r>
      <w:r w:rsidR="002B7E0B">
        <w:rPr>
          <w:rFonts w:ascii="Arial" w:eastAsia="Times New Roman" w:hAnsi="Arial" w:cs="Arial"/>
          <w:color w:val="000000"/>
          <w:w w:val="101"/>
        </w:rPr>
        <w:t>ies</w:t>
      </w:r>
      <w:r w:rsidR="00E361E4" w:rsidRPr="00D7771C">
        <w:rPr>
          <w:rFonts w:ascii="Arial" w:eastAsia="Times New Roman" w:hAnsi="Arial" w:cs="Arial"/>
          <w:color w:val="000000"/>
          <w:w w:val="101"/>
        </w:rPr>
        <w:t xml:space="preserve">. </w:t>
      </w:r>
      <w:r w:rsidR="002B7E0B">
        <w:rPr>
          <w:rFonts w:ascii="Arial" w:eastAsia="Times New Roman" w:hAnsi="Arial" w:cs="Arial"/>
          <w:color w:val="000000"/>
          <w:w w:val="101"/>
        </w:rPr>
        <w:t>However, only one of the facilities is operational at any given time.</w:t>
      </w:r>
      <w:r w:rsidR="002B7E0B" w:rsidRPr="00D7771C">
        <w:rPr>
          <w:rFonts w:ascii="Arial" w:eastAsia="Times New Roman" w:hAnsi="Arial" w:cs="Arial"/>
          <w:color w:val="000000"/>
          <w:w w:val="101"/>
        </w:rPr>
        <w:t xml:space="preserve"> </w:t>
      </w:r>
      <w:r w:rsidR="002B7E0B">
        <w:rPr>
          <w:rFonts w:ascii="Arial" w:eastAsia="Times New Roman" w:hAnsi="Arial" w:cs="Arial"/>
          <w:color w:val="000000"/>
          <w:w w:val="101"/>
        </w:rPr>
        <w:t>T</w:t>
      </w:r>
      <w:r w:rsidR="00E002BC" w:rsidRPr="00D7771C">
        <w:rPr>
          <w:rFonts w:ascii="Arial" w:eastAsia="Times New Roman" w:hAnsi="Arial" w:cs="Arial"/>
          <w:color w:val="000000"/>
          <w:w w:val="101"/>
        </w:rPr>
        <w:t>wo</w:t>
      </w:r>
      <w:r w:rsidR="00E361E4" w:rsidRPr="00D7771C">
        <w:rPr>
          <w:rFonts w:ascii="Arial" w:eastAsia="Times New Roman" w:hAnsi="Arial" w:cs="Arial"/>
          <w:color w:val="000000"/>
          <w:w w:val="101"/>
        </w:rPr>
        <w:t xml:space="preserve"> pumps are required</w:t>
      </w:r>
      <w:r w:rsidR="002B7E0B">
        <w:rPr>
          <w:rFonts w:ascii="Arial" w:eastAsia="Times New Roman" w:hAnsi="Arial" w:cs="Arial"/>
          <w:color w:val="000000"/>
          <w:w w:val="101"/>
        </w:rPr>
        <w:t>,</w:t>
      </w:r>
      <w:r w:rsidR="00E361E4" w:rsidRPr="00D7771C">
        <w:rPr>
          <w:rFonts w:ascii="Arial" w:eastAsia="Times New Roman" w:hAnsi="Arial" w:cs="Arial"/>
          <w:color w:val="000000"/>
          <w:w w:val="101"/>
        </w:rPr>
        <w:t xml:space="preserve"> as follows:</w:t>
      </w:r>
    </w:p>
    <w:p w14:paraId="052778BE" w14:textId="564FB8F6" w:rsidR="00E361E4" w:rsidRPr="00D7771C" w:rsidRDefault="00E361E4" w:rsidP="001B2823">
      <w:pPr>
        <w:widowControl w:val="0"/>
        <w:tabs>
          <w:tab w:val="left" w:pos="2268"/>
        </w:tabs>
        <w:autoSpaceDE w:val="0"/>
        <w:autoSpaceDN w:val="0"/>
        <w:adjustRightInd w:val="0"/>
        <w:spacing w:after="0"/>
        <w:jc w:val="both"/>
        <w:rPr>
          <w:rFonts w:ascii="Arial" w:eastAsia="Times New Roman" w:hAnsi="Arial" w:cs="Arial"/>
          <w:color w:val="000000"/>
          <w:w w:val="101"/>
        </w:rPr>
      </w:pPr>
    </w:p>
    <w:p w14:paraId="5A3F73D1" w14:textId="77777777" w:rsidR="00263297" w:rsidRPr="00263297" w:rsidRDefault="00BA79B5" w:rsidP="00E002BC">
      <w:pPr>
        <w:pStyle w:val="ListParagraph"/>
        <w:widowControl w:val="0"/>
        <w:numPr>
          <w:ilvl w:val="0"/>
          <w:numId w:val="8"/>
        </w:numPr>
        <w:tabs>
          <w:tab w:val="left" w:pos="2268"/>
        </w:tabs>
        <w:autoSpaceDE w:val="0"/>
        <w:autoSpaceDN w:val="0"/>
        <w:adjustRightInd w:val="0"/>
        <w:jc w:val="both"/>
        <w:rPr>
          <w:rFonts w:ascii="Arial" w:eastAsia="Times New Roman" w:hAnsi="Arial" w:cs="Arial"/>
          <w:strike/>
          <w:color w:val="000000"/>
          <w:w w:val="101"/>
        </w:rPr>
      </w:pPr>
      <w:r w:rsidRPr="00263297">
        <w:rPr>
          <w:rFonts w:ascii="Arial" w:eastAsia="Times New Roman" w:hAnsi="Arial" w:cs="Arial"/>
          <w:bCs/>
          <w:color w:val="000000"/>
          <w:w w:val="101"/>
        </w:rPr>
        <w:t>One</w:t>
      </w:r>
      <w:r w:rsidR="00E361E4" w:rsidRPr="00263297">
        <w:rPr>
          <w:rFonts w:ascii="Arial" w:eastAsia="Times New Roman" w:hAnsi="Arial" w:cs="Arial"/>
          <w:bCs/>
          <w:color w:val="000000"/>
          <w:w w:val="101"/>
        </w:rPr>
        <w:t xml:space="preserve"> pump</w:t>
      </w:r>
      <w:r w:rsidRPr="00263297">
        <w:rPr>
          <w:rFonts w:ascii="Arial" w:eastAsia="Times New Roman" w:hAnsi="Arial" w:cs="Arial"/>
          <w:bCs/>
          <w:color w:val="000000"/>
          <w:w w:val="101"/>
        </w:rPr>
        <w:t>,</w:t>
      </w:r>
      <w:r w:rsidR="00E361E4" w:rsidRPr="00263297">
        <w:rPr>
          <w:rFonts w:ascii="Arial" w:eastAsia="Times New Roman" w:hAnsi="Arial" w:cs="Arial"/>
          <w:bCs/>
          <w:color w:val="000000"/>
          <w:w w:val="101"/>
        </w:rPr>
        <w:t xml:space="preserve"> P</w:t>
      </w:r>
      <w:r w:rsidR="00E002BC" w:rsidRPr="00263297">
        <w:rPr>
          <w:rFonts w:ascii="Arial" w:eastAsia="Times New Roman" w:hAnsi="Arial" w:cs="Arial"/>
          <w:bCs/>
          <w:color w:val="000000"/>
          <w:w w:val="101"/>
        </w:rPr>
        <w:t>1514</w:t>
      </w:r>
      <w:r w:rsidR="00E361E4" w:rsidRPr="00D7771C">
        <w:rPr>
          <w:rFonts w:ascii="Arial" w:eastAsia="Times New Roman" w:hAnsi="Arial" w:cs="Arial"/>
          <w:color w:val="000000"/>
          <w:w w:val="101"/>
        </w:rPr>
        <w:t xml:space="preserve">, </w:t>
      </w:r>
      <w:r w:rsidR="00263297" w:rsidRPr="002F5C7B">
        <w:rPr>
          <w:rFonts w:ascii="Arial" w:eastAsia="Times New Roman" w:hAnsi="Arial" w:cs="Arial"/>
          <w:color w:val="000000"/>
          <w:w w:val="101"/>
        </w:rPr>
        <w:t xml:space="preserve">to </w:t>
      </w:r>
      <w:r w:rsidR="00263297">
        <w:rPr>
          <w:rFonts w:ascii="Arial" w:eastAsia="Times New Roman" w:hAnsi="Arial" w:cs="Arial"/>
          <w:color w:val="000000"/>
          <w:w w:val="101"/>
        </w:rPr>
        <w:t>periodically transfer the batch of spent scrubbing solution from the sump tank of the scrubber (S1501) to a system of waste tanks (T1506A &amp; B)</w:t>
      </w:r>
      <w:r w:rsidR="00263297" w:rsidRPr="002F5C7B">
        <w:rPr>
          <w:rFonts w:ascii="Arial" w:eastAsia="Times New Roman" w:hAnsi="Arial" w:cs="Arial"/>
          <w:color w:val="000000"/>
          <w:w w:val="101"/>
        </w:rPr>
        <w:t>.</w:t>
      </w:r>
      <w:r w:rsidR="00263297">
        <w:rPr>
          <w:rFonts w:ascii="Arial" w:eastAsia="Times New Roman" w:hAnsi="Arial" w:cs="Arial"/>
          <w:color w:val="000000"/>
          <w:w w:val="101"/>
        </w:rPr>
        <w:t xml:space="preserve"> The spent solution (effluent) then accumulates in the waste tanks until they are full and subsequently emptied.</w:t>
      </w:r>
    </w:p>
    <w:p w14:paraId="68E9EDA0" w14:textId="307B805E" w:rsidR="00943AD3" w:rsidRPr="00D7771C" w:rsidRDefault="00263297" w:rsidP="00263297">
      <w:pPr>
        <w:pStyle w:val="ListParagraph"/>
        <w:widowControl w:val="0"/>
        <w:tabs>
          <w:tab w:val="left" w:pos="2268"/>
        </w:tabs>
        <w:autoSpaceDE w:val="0"/>
        <w:autoSpaceDN w:val="0"/>
        <w:adjustRightInd w:val="0"/>
        <w:jc w:val="both"/>
        <w:rPr>
          <w:rFonts w:ascii="Arial" w:eastAsia="Times New Roman" w:hAnsi="Arial" w:cs="Arial"/>
          <w:strike/>
          <w:color w:val="000000"/>
          <w:w w:val="101"/>
        </w:rPr>
      </w:pPr>
      <w:r w:rsidRPr="002F5C7B">
        <w:rPr>
          <w:rFonts w:ascii="Arial" w:eastAsia="Times New Roman" w:hAnsi="Arial" w:cs="Arial"/>
          <w:color w:val="000000"/>
          <w:w w:val="101"/>
        </w:rPr>
        <w:t>Further detail o</w:t>
      </w:r>
      <w:r>
        <w:rPr>
          <w:rFonts w:ascii="Arial" w:eastAsia="Times New Roman" w:hAnsi="Arial" w:cs="Arial"/>
          <w:color w:val="000000"/>
          <w:w w:val="101"/>
        </w:rPr>
        <w:t xml:space="preserve">f pump </w:t>
      </w:r>
      <w:r w:rsidRPr="002F5C7B">
        <w:rPr>
          <w:rFonts w:ascii="Arial" w:eastAsia="Times New Roman" w:hAnsi="Arial" w:cs="Arial"/>
          <w:color w:val="000000"/>
          <w:w w:val="101"/>
        </w:rPr>
        <w:t>P</w:t>
      </w:r>
      <w:r>
        <w:rPr>
          <w:rFonts w:ascii="Arial" w:eastAsia="Times New Roman" w:hAnsi="Arial" w:cs="Arial"/>
          <w:color w:val="000000"/>
          <w:w w:val="101"/>
        </w:rPr>
        <w:t>1514 is provided in the attached Specification Sheet [01],</w:t>
      </w:r>
      <w:r w:rsidRPr="002F5C7B">
        <w:rPr>
          <w:rFonts w:ascii="Arial" w:eastAsia="Times New Roman" w:hAnsi="Arial" w:cs="Arial"/>
          <w:color w:val="000000"/>
          <w:w w:val="101"/>
        </w:rPr>
        <w:t xml:space="preserve"> and </w:t>
      </w:r>
      <w:r>
        <w:rPr>
          <w:rFonts w:ascii="Arial" w:eastAsia="Times New Roman" w:hAnsi="Arial" w:cs="Arial"/>
          <w:color w:val="000000"/>
          <w:w w:val="101"/>
        </w:rPr>
        <w:t>its position within the facility is shown in the attached Piping and Instrumentation Diagram (P&amp;ID) [03].</w:t>
      </w:r>
      <w:r w:rsidR="00972128" w:rsidRPr="00D7771C">
        <w:rPr>
          <w:rFonts w:ascii="Arial" w:eastAsia="Times New Roman" w:hAnsi="Arial" w:cs="Arial"/>
          <w:strike/>
          <w:color w:val="000000"/>
          <w:w w:val="101"/>
        </w:rPr>
        <w:t xml:space="preserve"> </w:t>
      </w:r>
    </w:p>
    <w:p w14:paraId="0A9BAC2D" w14:textId="77777777" w:rsidR="00E002BC" w:rsidRPr="00D7771C" w:rsidRDefault="00E002BC" w:rsidP="00E002BC">
      <w:pPr>
        <w:pStyle w:val="ListParagraph"/>
        <w:widowControl w:val="0"/>
        <w:tabs>
          <w:tab w:val="left" w:pos="2268"/>
        </w:tabs>
        <w:autoSpaceDE w:val="0"/>
        <w:autoSpaceDN w:val="0"/>
        <w:adjustRightInd w:val="0"/>
        <w:jc w:val="both"/>
        <w:rPr>
          <w:rFonts w:ascii="Arial" w:eastAsia="Times New Roman" w:hAnsi="Arial" w:cs="Arial"/>
          <w:color w:val="000000"/>
          <w:w w:val="101"/>
        </w:rPr>
      </w:pPr>
    </w:p>
    <w:p w14:paraId="38510477" w14:textId="44643C03" w:rsidR="00263297" w:rsidRPr="0066174C" w:rsidRDefault="00E361E4" w:rsidP="00E002BC">
      <w:pPr>
        <w:pStyle w:val="ListParagraph"/>
        <w:widowControl w:val="0"/>
        <w:numPr>
          <w:ilvl w:val="0"/>
          <w:numId w:val="8"/>
        </w:numPr>
        <w:tabs>
          <w:tab w:val="left" w:pos="2268"/>
        </w:tabs>
        <w:autoSpaceDE w:val="0"/>
        <w:autoSpaceDN w:val="0"/>
        <w:adjustRightInd w:val="0"/>
        <w:jc w:val="both"/>
        <w:rPr>
          <w:rFonts w:ascii="Arial" w:eastAsia="Times New Roman" w:hAnsi="Arial" w:cs="Arial"/>
          <w:strike/>
          <w:color w:val="000000"/>
          <w:w w:val="101"/>
        </w:rPr>
      </w:pPr>
      <w:r w:rsidRPr="0066174C">
        <w:rPr>
          <w:rFonts w:ascii="Arial" w:eastAsia="Times New Roman" w:hAnsi="Arial" w:cs="Arial"/>
          <w:bCs/>
          <w:color w:val="000000"/>
          <w:w w:val="101"/>
        </w:rPr>
        <w:t>One pump</w:t>
      </w:r>
      <w:r w:rsidR="00BA79B5" w:rsidRPr="0066174C">
        <w:rPr>
          <w:rFonts w:ascii="Arial" w:eastAsia="Times New Roman" w:hAnsi="Arial" w:cs="Arial"/>
          <w:bCs/>
          <w:color w:val="000000"/>
          <w:w w:val="101"/>
        </w:rPr>
        <w:t>,</w:t>
      </w:r>
      <w:r w:rsidRPr="0066174C">
        <w:rPr>
          <w:rFonts w:ascii="Arial" w:eastAsia="Times New Roman" w:hAnsi="Arial" w:cs="Arial"/>
          <w:bCs/>
          <w:color w:val="000000"/>
          <w:w w:val="101"/>
        </w:rPr>
        <w:t xml:space="preserve"> P</w:t>
      </w:r>
      <w:r w:rsidR="00E002BC" w:rsidRPr="0066174C">
        <w:rPr>
          <w:rFonts w:ascii="Arial" w:eastAsia="Times New Roman" w:hAnsi="Arial" w:cs="Arial"/>
          <w:bCs/>
          <w:color w:val="000000"/>
          <w:w w:val="101"/>
        </w:rPr>
        <w:t>1515</w:t>
      </w:r>
      <w:r w:rsidRPr="00D7771C">
        <w:rPr>
          <w:rFonts w:ascii="Arial" w:eastAsia="Times New Roman" w:hAnsi="Arial" w:cs="Arial"/>
          <w:color w:val="000000"/>
          <w:w w:val="101"/>
        </w:rPr>
        <w:t xml:space="preserve">, </w:t>
      </w:r>
      <w:r w:rsidR="00263297" w:rsidRPr="002F5C7B">
        <w:rPr>
          <w:rFonts w:ascii="Arial" w:eastAsia="Times New Roman" w:hAnsi="Arial" w:cs="Arial"/>
          <w:color w:val="000000"/>
          <w:w w:val="101"/>
        </w:rPr>
        <w:t xml:space="preserve">to </w:t>
      </w:r>
      <w:r w:rsidR="00263297">
        <w:rPr>
          <w:rFonts w:ascii="Arial" w:eastAsia="Times New Roman" w:hAnsi="Arial" w:cs="Arial"/>
          <w:color w:val="000000"/>
          <w:w w:val="101"/>
        </w:rPr>
        <w:t>periodically service the waste tanks (T1506A &amp; B) in two ways:</w:t>
      </w:r>
    </w:p>
    <w:p w14:paraId="2356003E" w14:textId="77777777" w:rsidR="0066174C" w:rsidRPr="00BA79B5" w:rsidRDefault="0066174C" w:rsidP="0066174C">
      <w:pPr>
        <w:pStyle w:val="ListParagraph"/>
        <w:widowControl w:val="0"/>
        <w:numPr>
          <w:ilvl w:val="0"/>
          <w:numId w:val="11"/>
        </w:numPr>
        <w:tabs>
          <w:tab w:val="left" w:pos="2268"/>
        </w:tabs>
        <w:autoSpaceDE w:val="0"/>
        <w:autoSpaceDN w:val="0"/>
        <w:adjustRightInd w:val="0"/>
        <w:jc w:val="both"/>
        <w:rPr>
          <w:rFonts w:ascii="Arial" w:eastAsia="Times New Roman" w:hAnsi="Arial" w:cs="Arial"/>
          <w:color w:val="000000"/>
          <w:w w:val="101"/>
        </w:rPr>
      </w:pPr>
      <w:r w:rsidRPr="00BA79B5">
        <w:rPr>
          <w:rFonts w:ascii="Arial" w:eastAsia="Times New Roman" w:hAnsi="Arial" w:cs="Arial"/>
          <w:color w:val="000000"/>
          <w:w w:val="101"/>
        </w:rPr>
        <w:t xml:space="preserve">To homogenize the </w:t>
      </w:r>
      <w:r>
        <w:rPr>
          <w:rFonts w:ascii="Arial" w:eastAsia="Times New Roman" w:hAnsi="Arial" w:cs="Arial"/>
          <w:color w:val="000000"/>
          <w:w w:val="101"/>
        </w:rPr>
        <w:t xml:space="preserve">effluent in the </w:t>
      </w:r>
      <w:r w:rsidRPr="00BA79B5">
        <w:rPr>
          <w:rFonts w:ascii="Arial" w:eastAsia="Times New Roman" w:hAnsi="Arial" w:cs="Arial"/>
          <w:color w:val="000000"/>
          <w:w w:val="101"/>
        </w:rPr>
        <w:t>tank</w:t>
      </w:r>
      <w:r>
        <w:rPr>
          <w:rFonts w:ascii="Arial" w:eastAsia="Times New Roman" w:hAnsi="Arial" w:cs="Arial"/>
          <w:color w:val="000000"/>
          <w:w w:val="101"/>
        </w:rPr>
        <w:t>s</w:t>
      </w:r>
      <w:r w:rsidRPr="00BA79B5">
        <w:rPr>
          <w:rFonts w:ascii="Arial" w:eastAsia="Times New Roman" w:hAnsi="Arial" w:cs="Arial"/>
          <w:color w:val="000000"/>
          <w:w w:val="101"/>
        </w:rPr>
        <w:t xml:space="preserve"> by recirculating </w:t>
      </w:r>
      <w:r>
        <w:rPr>
          <w:rFonts w:ascii="Arial" w:eastAsia="Times New Roman" w:hAnsi="Arial" w:cs="Arial"/>
          <w:color w:val="000000"/>
          <w:w w:val="101"/>
        </w:rPr>
        <w:t>it</w:t>
      </w:r>
      <w:r w:rsidRPr="00BA79B5">
        <w:rPr>
          <w:rFonts w:ascii="Arial" w:eastAsia="Times New Roman" w:hAnsi="Arial" w:cs="Arial"/>
          <w:color w:val="000000"/>
          <w:w w:val="101"/>
        </w:rPr>
        <w:t xml:space="preserve"> through a closed external loop.</w:t>
      </w:r>
    </w:p>
    <w:p w14:paraId="35541C1F" w14:textId="77777777" w:rsidR="0066174C" w:rsidRPr="00BA79B5" w:rsidRDefault="0066174C" w:rsidP="0066174C">
      <w:pPr>
        <w:pStyle w:val="ListParagraph"/>
        <w:widowControl w:val="0"/>
        <w:numPr>
          <w:ilvl w:val="0"/>
          <w:numId w:val="11"/>
        </w:numPr>
        <w:tabs>
          <w:tab w:val="left" w:pos="2268"/>
        </w:tabs>
        <w:autoSpaceDE w:val="0"/>
        <w:autoSpaceDN w:val="0"/>
        <w:adjustRightInd w:val="0"/>
        <w:jc w:val="both"/>
        <w:rPr>
          <w:rFonts w:ascii="Arial" w:eastAsia="Times New Roman" w:hAnsi="Arial" w:cs="Arial"/>
          <w:color w:val="000000"/>
          <w:w w:val="101"/>
        </w:rPr>
      </w:pPr>
      <w:r w:rsidRPr="00BA79B5">
        <w:rPr>
          <w:rFonts w:ascii="Arial" w:eastAsia="Times New Roman" w:hAnsi="Arial" w:cs="Arial"/>
          <w:color w:val="000000"/>
          <w:w w:val="101"/>
        </w:rPr>
        <w:t xml:space="preserve">To transfer the </w:t>
      </w:r>
      <w:r>
        <w:rPr>
          <w:rFonts w:ascii="Arial" w:eastAsia="Times New Roman" w:hAnsi="Arial" w:cs="Arial"/>
          <w:color w:val="000000"/>
          <w:w w:val="101"/>
        </w:rPr>
        <w:t xml:space="preserve">effluent from the </w:t>
      </w:r>
      <w:r w:rsidRPr="00BA79B5">
        <w:rPr>
          <w:rFonts w:ascii="Arial" w:eastAsia="Times New Roman" w:hAnsi="Arial" w:cs="Arial"/>
          <w:color w:val="000000"/>
          <w:w w:val="101"/>
        </w:rPr>
        <w:t>tank</w:t>
      </w:r>
      <w:r>
        <w:rPr>
          <w:rFonts w:ascii="Arial" w:eastAsia="Times New Roman" w:hAnsi="Arial" w:cs="Arial"/>
          <w:color w:val="000000"/>
          <w:w w:val="101"/>
        </w:rPr>
        <w:t>s</w:t>
      </w:r>
      <w:r w:rsidRPr="00BA79B5">
        <w:rPr>
          <w:rFonts w:ascii="Arial" w:eastAsia="Times New Roman" w:hAnsi="Arial" w:cs="Arial"/>
          <w:color w:val="000000"/>
          <w:w w:val="101"/>
        </w:rPr>
        <w:t xml:space="preserve"> </w:t>
      </w:r>
      <w:r>
        <w:rPr>
          <w:rFonts w:ascii="Arial" w:eastAsia="Times New Roman" w:hAnsi="Arial" w:cs="Arial"/>
          <w:color w:val="000000"/>
          <w:w w:val="101"/>
        </w:rPr>
        <w:t>in</w:t>
      </w:r>
      <w:r w:rsidRPr="00BA79B5">
        <w:rPr>
          <w:rFonts w:ascii="Arial" w:eastAsia="Times New Roman" w:hAnsi="Arial" w:cs="Arial"/>
          <w:color w:val="000000"/>
          <w:w w:val="101"/>
        </w:rPr>
        <w:t>to a nearby road tanker for transport to an effluent processing facility.</w:t>
      </w:r>
    </w:p>
    <w:p w14:paraId="58CA4701" w14:textId="62BC74B8" w:rsidR="00230A95" w:rsidRPr="00D7771C" w:rsidRDefault="0066174C" w:rsidP="0066174C">
      <w:pPr>
        <w:pStyle w:val="ListParagraph"/>
        <w:widowControl w:val="0"/>
        <w:tabs>
          <w:tab w:val="left" w:pos="2268"/>
        </w:tabs>
        <w:autoSpaceDE w:val="0"/>
        <w:autoSpaceDN w:val="0"/>
        <w:adjustRightInd w:val="0"/>
        <w:jc w:val="both"/>
        <w:rPr>
          <w:rFonts w:ascii="Arial" w:eastAsia="Times New Roman" w:hAnsi="Arial" w:cs="Arial"/>
          <w:strike/>
          <w:color w:val="000000"/>
          <w:w w:val="101"/>
        </w:rPr>
      </w:pPr>
      <w:r w:rsidRPr="002F5C7B">
        <w:rPr>
          <w:rFonts w:ascii="Arial" w:eastAsia="Times New Roman" w:hAnsi="Arial" w:cs="Arial"/>
          <w:color w:val="000000"/>
          <w:w w:val="101"/>
        </w:rPr>
        <w:t xml:space="preserve">Further detail </w:t>
      </w:r>
      <w:r>
        <w:rPr>
          <w:rFonts w:ascii="Arial" w:eastAsia="Times New Roman" w:hAnsi="Arial" w:cs="Arial"/>
          <w:color w:val="000000"/>
          <w:w w:val="101"/>
        </w:rPr>
        <w:t>of pump P1515</w:t>
      </w:r>
      <w:r w:rsidRPr="002F5C7B">
        <w:rPr>
          <w:rFonts w:ascii="Arial" w:eastAsia="Times New Roman" w:hAnsi="Arial" w:cs="Arial"/>
          <w:color w:val="000000"/>
          <w:w w:val="101"/>
        </w:rPr>
        <w:t xml:space="preserve"> is </w:t>
      </w:r>
      <w:r>
        <w:rPr>
          <w:rFonts w:ascii="Arial" w:eastAsia="Times New Roman" w:hAnsi="Arial" w:cs="Arial"/>
          <w:color w:val="000000"/>
          <w:w w:val="101"/>
        </w:rPr>
        <w:t>provided</w:t>
      </w:r>
      <w:r w:rsidRPr="002F5C7B">
        <w:rPr>
          <w:rFonts w:ascii="Arial" w:eastAsia="Times New Roman" w:hAnsi="Arial" w:cs="Arial"/>
          <w:color w:val="000000"/>
          <w:w w:val="101"/>
        </w:rPr>
        <w:t xml:space="preserve"> in </w:t>
      </w:r>
      <w:r>
        <w:rPr>
          <w:rFonts w:ascii="Arial" w:eastAsia="Times New Roman" w:hAnsi="Arial" w:cs="Arial"/>
          <w:color w:val="000000"/>
          <w:w w:val="101"/>
        </w:rPr>
        <w:t>the attached Specification Sheet [02],</w:t>
      </w:r>
      <w:r w:rsidRPr="002F5C7B">
        <w:rPr>
          <w:rFonts w:ascii="Arial" w:eastAsia="Times New Roman" w:hAnsi="Arial" w:cs="Arial"/>
          <w:color w:val="000000"/>
          <w:w w:val="101"/>
        </w:rPr>
        <w:t xml:space="preserve"> and </w:t>
      </w:r>
      <w:r>
        <w:rPr>
          <w:rFonts w:ascii="Arial" w:eastAsia="Times New Roman" w:hAnsi="Arial" w:cs="Arial"/>
          <w:color w:val="000000"/>
          <w:w w:val="101"/>
        </w:rPr>
        <w:t>its position within the facility is shown in the attached P&amp;ID [03].</w:t>
      </w:r>
      <w:r w:rsidR="00972128" w:rsidRPr="00D7771C">
        <w:rPr>
          <w:rFonts w:ascii="Arial" w:eastAsia="Times New Roman" w:hAnsi="Arial" w:cs="Arial"/>
          <w:strike/>
          <w:color w:val="000000"/>
          <w:w w:val="101"/>
        </w:rPr>
        <w:t xml:space="preserve"> </w:t>
      </w:r>
    </w:p>
    <w:p w14:paraId="5FA35C7E" w14:textId="77777777" w:rsidR="00E002BC" w:rsidRPr="00D7771C" w:rsidRDefault="00E002BC" w:rsidP="00E002BC">
      <w:pPr>
        <w:pStyle w:val="ListParagraph"/>
        <w:rPr>
          <w:rFonts w:ascii="Arial" w:eastAsia="Times New Roman" w:hAnsi="Arial" w:cs="Arial"/>
          <w:strike/>
          <w:color w:val="000000"/>
          <w:w w:val="101"/>
        </w:rPr>
      </w:pPr>
    </w:p>
    <w:p w14:paraId="134BD7D2" w14:textId="77777777" w:rsidR="00E002BC" w:rsidRPr="00D7771C" w:rsidRDefault="00E002BC" w:rsidP="00E002BC">
      <w:pPr>
        <w:pStyle w:val="ListParagraph"/>
        <w:widowControl w:val="0"/>
        <w:tabs>
          <w:tab w:val="left" w:pos="2268"/>
        </w:tabs>
        <w:autoSpaceDE w:val="0"/>
        <w:autoSpaceDN w:val="0"/>
        <w:adjustRightInd w:val="0"/>
        <w:jc w:val="both"/>
        <w:rPr>
          <w:rFonts w:ascii="Arial" w:eastAsia="Times New Roman" w:hAnsi="Arial" w:cs="Arial"/>
          <w:color w:val="000000"/>
          <w:w w:val="101"/>
        </w:rPr>
      </w:pPr>
    </w:p>
    <w:p w14:paraId="1C0E7961" w14:textId="3C6B7F9C" w:rsidR="00155894" w:rsidRPr="00D7771C" w:rsidRDefault="00155894" w:rsidP="00B905C5">
      <w:pPr>
        <w:pStyle w:val="ListParagraph"/>
        <w:keepNext/>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D7771C">
        <w:rPr>
          <w:rFonts w:ascii="Arial" w:eastAsia="Times New Roman" w:hAnsi="Arial" w:cs="Arial"/>
          <w:b/>
          <w:color w:val="000000"/>
          <w:w w:val="101"/>
          <w:sz w:val="24"/>
          <w:u w:val="single"/>
        </w:rPr>
        <w:t>Scope of Work</w:t>
      </w:r>
    </w:p>
    <w:p w14:paraId="725334C9" w14:textId="77777777" w:rsidR="00EA1CA2" w:rsidRPr="00D7771C" w:rsidRDefault="00EA1CA2" w:rsidP="00B905C5">
      <w:pPr>
        <w:keepNext/>
        <w:spacing w:after="0" w:line="240" w:lineRule="auto"/>
        <w:rPr>
          <w:rFonts w:ascii="Arial" w:eastAsia="Times New Roman" w:hAnsi="Arial" w:cs="Arial"/>
          <w:b/>
          <w:color w:val="000000"/>
          <w:w w:val="101"/>
          <w:u w:val="single"/>
        </w:rPr>
      </w:pPr>
    </w:p>
    <w:tbl>
      <w:tblPr>
        <w:tblStyle w:val="TableGrid"/>
        <w:tblW w:w="9634" w:type="dxa"/>
        <w:tblLook w:val="04A0" w:firstRow="1" w:lastRow="0" w:firstColumn="1" w:lastColumn="0" w:noHBand="0" w:noVBand="1"/>
      </w:tblPr>
      <w:tblGrid>
        <w:gridCol w:w="7792"/>
        <w:gridCol w:w="1842"/>
      </w:tblGrid>
      <w:tr w:rsidR="005062BF" w:rsidRPr="00266E5A" w14:paraId="25B4E46F" w14:textId="77777777" w:rsidTr="002B7E0B">
        <w:trPr>
          <w:trHeight w:val="567"/>
        </w:trPr>
        <w:tc>
          <w:tcPr>
            <w:tcW w:w="7792" w:type="dxa"/>
            <w:vAlign w:val="center"/>
          </w:tcPr>
          <w:p w14:paraId="7D1CE5D9" w14:textId="77777777" w:rsidR="005062BF" w:rsidRPr="00266E5A" w:rsidRDefault="005062BF" w:rsidP="002B7E0B">
            <w:pPr>
              <w:keepNext/>
              <w:jc w:val="center"/>
              <w:rPr>
                <w:rFonts w:ascii="Arial" w:hAnsi="Arial" w:cs="Arial"/>
                <w:b/>
              </w:rPr>
            </w:pPr>
            <w:r w:rsidRPr="00266E5A">
              <w:rPr>
                <w:rFonts w:ascii="Arial" w:hAnsi="Arial" w:cs="Arial"/>
                <w:b/>
              </w:rPr>
              <w:t>Item Description</w:t>
            </w:r>
          </w:p>
        </w:tc>
        <w:tc>
          <w:tcPr>
            <w:tcW w:w="1842" w:type="dxa"/>
            <w:vAlign w:val="center"/>
          </w:tcPr>
          <w:p w14:paraId="58AAA626" w14:textId="77777777" w:rsidR="005062BF" w:rsidRPr="00266E5A" w:rsidRDefault="005062BF" w:rsidP="002B7E0B">
            <w:pPr>
              <w:keepNext/>
              <w:jc w:val="center"/>
              <w:rPr>
                <w:rFonts w:ascii="Arial" w:hAnsi="Arial" w:cs="Arial"/>
                <w:b/>
              </w:rPr>
            </w:pPr>
            <w:r w:rsidRPr="00266E5A">
              <w:rPr>
                <w:rFonts w:ascii="Arial" w:hAnsi="Arial" w:cs="Arial"/>
                <w:b/>
              </w:rPr>
              <w:t>Quantity</w:t>
            </w:r>
          </w:p>
        </w:tc>
      </w:tr>
      <w:tr w:rsidR="005062BF" w:rsidRPr="00266E5A" w14:paraId="6624868A" w14:textId="77777777" w:rsidTr="002B7E0B">
        <w:trPr>
          <w:trHeight w:val="430"/>
        </w:trPr>
        <w:tc>
          <w:tcPr>
            <w:tcW w:w="7792" w:type="dxa"/>
          </w:tcPr>
          <w:p w14:paraId="1D3CC0E9" w14:textId="77777777" w:rsidR="00263297" w:rsidRPr="00266E5A" w:rsidRDefault="008E2BB3" w:rsidP="0066174C">
            <w:pPr>
              <w:keepNext/>
              <w:autoSpaceDE w:val="0"/>
              <w:autoSpaceDN w:val="0"/>
              <w:adjustRightInd w:val="0"/>
              <w:spacing w:before="120"/>
              <w:rPr>
                <w:rFonts w:ascii="Arial" w:hAnsi="Arial" w:cs="Arial"/>
              </w:rPr>
            </w:pPr>
            <w:r w:rsidRPr="00266E5A">
              <w:rPr>
                <w:rFonts w:ascii="Arial" w:hAnsi="Arial" w:cs="Arial"/>
              </w:rPr>
              <w:t xml:space="preserve">To supply </w:t>
            </w:r>
            <w:r w:rsidR="00052FAE" w:rsidRPr="00266E5A">
              <w:rPr>
                <w:rFonts w:ascii="Arial" w:hAnsi="Arial" w:cs="Arial"/>
              </w:rPr>
              <w:t>Pneumatic</w:t>
            </w:r>
            <w:r w:rsidR="00052FAE" w:rsidRPr="00266E5A">
              <w:rPr>
                <w:rFonts w:ascii="Arial" w:eastAsia="Times New Roman" w:hAnsi="Arial" w:cs="Arial"/>
                <w:color w:val="000000"/>
                <w:w w:val="101"/>
              </w:rPr>
              <w:t xml:space="preserve"> </w:t>
            </w:r>
            <w:r w:rsidR="00833150" w:rsidRPr="00266E5A">
              <w:rPr>
                <w:rFonts w:ascii="Arial" w:eastAsia="Times New Roman" w:hAnsi="Arial" w:cs="Arial"/>
                <w:color w:val="000000"/>
                <w:w w:val="101"/>
              </w:rPr>
              <w:t xml:space="preserve">Diaphragm </w:t>
            </w:r>
            <w:r w:rsidR="00950AD1" w:rsidRPr="00266E5A">
              <w:rPr>
                <w:rFonts w:ascii="Arial" w:eastAsia="Times New Roman" w:hAnsi="Arial" w:cs="Arial"/>
                <w:color w:val="000000"/>
                <w:w w:val="101"/>
              </w:rPr>
              <w:t>P</w:t>
            </w:r>
            <w:r w:rsidR="00230A95" w:rsidRPr="00266E5A">
              <w:rPr>
                <w:rFonts w:ascii="Arial" w:eastAsia="Times New Roman" w:hAnsi="Arial" w:cs="Arial"/>
                <w:color w:val="000000"/>
                <w:w w:val="101"/>
              </w:rPr>
              <w:t>ump</w:t>
            </w:r>
            <w:r w:rsidR="00833150" w:rsidRPr="00266E5A">
              <w:rPr>
                <w:rFonts w:ascii="Arial" w:eastAsia="Times New Roman" w:hAnsi="Arial" w:cs="Arial"/>
                <w:color w:val="000000"/>
                <w:w w:val="101"/>
              </w:rPr>
              <w:t>s</w:t>
            </w:r>
            <w:r w:rsidR="00685D21" w:rsidRPr="00266E5A">
              <w:rPr>
                <w:rFonts w:ascii="Arial" w:hAnsi="Arial" w:cs="Arial"/>
              </w:rPr>
              <w:t>,</w:t>
            </w:r>
            <w:r w:rsidRPr="00266E5A">
              <w:rPr>
                <w:rFonts w:ascii="Arial" w:hAnsi="Arial" w:cs="Arial"/>
              </w:rPr>
              <w:t xml:space="preserve"> as per the attached </w:t>
            </w:r>
            <w:r w:rsidR="00E361E4" w:rsidRPr="00266E5A">
              <w:rPr>
                <w:rFonts w:ascii="Arial" w:hAnsi="Arial" w:cs="Arial"/>
              </w:rPr>
              <w:t>S</w:t>
            </w:r>
            <w:r w:rsidRPr="00266E5A">
              <w:rPr>
                <w:rFonts w:ascii="Arial" w:hAnsi="Arial" w:cs="Arial"/>
              </w:rPr>
              <w:t xml:space="preserve">pecification </w:t>
            </w:r>
            <w:r w:rsidR="00E361E4" w:rsidRPr="00266E5A">
              <w:rPr>
                <w:rFonts w:ascii="Arial" w:hAnsi="Arial" w:cs="Arial"/>
              </w:rPr>
              <w:t>S</w:t>
            </w:r>
            <w:r w:rsidRPr="00266E5A">
              <w:rPr>
                <w:rFonts w:ascii="Arial" w:hAnsi="Arial" w:cs="Arial"/>
              </w:rPr>
              <w:t>heets</w:t>
            </w:r>
            <w:r w:rsidR="00263297" w:rsidRPr="00266E5A">
              <w:rPr>
                <w:rFonts w:ascii="Arial" w:hAnsi="Arial" w:cs="Arial"/>
              </w:rPr>
              <w:t>, [01] and [02]</w:t>
            </w:r>
            <w:r w:rsidR="005A7782" w:rsidRPr="00266E5A">
              <w:rPr>
                <w:rFonts w:ascii="Arial" w:hAnsi="Arial" w:cs="Arial"/>
              </w:rPr>
              <w:t xml:space="preserve">. </w:t>
            </w:r>
          </w:p>
          <w:p w14:paraId="1EA5D602" w14:textId="77777777" w:rsidR="00263297" w:rsidRPr="00266E5A" w:rsidRDefault="00263297" w:rsidP="0051572B">
            <w:pPr>
              <w:keepNext/>
              <w:autoSpaceDE w:val="0"/>
              <w:autoSpaceDN w:val="0"/>
              <w:adjustRightInd w:val="0"/>
              <w:rPr>
                <w:rFonts w:ascii="Arial" w:hAnsi="Arial" w:cs="Arial"/>
              </w:rPr>
            </w:pPr>
          </w:p>
          <w:p w14:paraId="31FCF0D8" w14:textId="77777777" w:rsidR="00263297" w:rsidRPr="00266E5A" w:rsidRDefault="00263297" w:rsidP="0051572B">
            <w:pPr>
              <w:keepNext/>
              <w:autoSpaceDE w:val="0"/>
              <w:autoSpaceDN w:val="0"/>
              <w:adjustRightInd w:val="0"/>
              <w:rPr>
                <w:rFonts w:ascii="Arial" w:hAnsi="Arial" w:cs="Arial"/>
                <w:b/>
              </w:rPr>
            </w:pPr>
            <w:r w:rsidRPr="00266E5A">
              <w:rPr>
                <w:rFonts w:ascii="Arial" w:hAnsi="Arial" w:cs="Arial"/>
                <w:b/>
              </w:rPr>
              <w:t>NOTES:</w:t>
            </w:r>
          </w:p>
          <w:p w14:paraId="6433F667" w14:textId="77777777" w:rsidR="0066174C" w:rsidRPr="00266E5A" w:rsidRDefault="0066174C" w:rsidP="0066174C">
            <w:pPr>
              <w:pStyle w:val="ListParagraph"/>
              <w:keepNext/>
              <w:numPr>
                <w:ilvl w:val="0"/>
                <w:numId w:val="12"/>
              </w:numPr>
              <w:autoSpaceDE w:val="0"/>
              <w:autoSpaceDN w:val="0"/>
              <w:adjustRightInd w:val="0"/>
              <w:rPr>
                <w:rFonts w:ascii="Arial" w:hAnsi="Arial" w:cs="Arial"/>
              </w:rPr>
            </w:pPr>
            <w:r w:rsidRPr="00266E5A">
              <w:rPr>
                <w:rFonts w:ascii="Arial" w:hAnsi="Arial" w:cs="Arial"/>
              </w:rPr>
              <w:t>The air supply pressure regulator, complete with pressure gauge, must be supplied with each pump.</w:t>
            </w:r>
          </w:p>
          <w:p w14:paraId="3880B4AC" w14:textId="77777777" w:rsidR="0066174C" w:rsidRPr="00266E5A" w:rsidRDefault="0066174C" w:rsidP="0066174C">
            <w:pPr>
              <w:pStyle w:val="ListParagraph"/>
              <w:keepNext/>
              <w:numPr>
                <w:ilvl w:val="0"/>
                <w:numId w:val="12"/>
              </w:numPr>
              <w:autoSpaceDE w:val="0"/>
              <w:autoSpaceDN w:val="0"/>
              <w:adjustRightInd w:val="0"/>
              <w:rPr>
                <w:rFonts w:ascii="Arial" w:hAnsi="Arial" w:cs="Arial"/>
              </w:rPr>
            </w:pPr>
            <w:r w:rsidRPr="00266E5A">
              <w:rPr>
                <w:rFonts w:ascii="Arial" w:hAnsi="Arial" w:cs="Arial"/>
              </w:rPr>
              <w:t>The moving parts of the pneumatic section of the pumps must not need lubrication.</w:t>
            </w:r>
          </w:p>
          <w:p w14:paraId="27AC4DFE" w14:textId="0E42C702" w:rsidR="00160B04" w:rsidRPr="00266E5A" w:rsidRDefault="005A7782" w:rsidP="0066174C">
            <w:pPr>
              <w:pStyle w:val="ListParagraph"/>
              <w:keepNext/>
              <w:numPr>
                <w:ilvl w:val="0"/>
                <w:numId w:val="12"/>
              </w:numPr>
              <w:autoSpaceDE w:val="0"/>
              <w:autoSpaceDN w:val="0"/>
              <w:adjustRightInd w:val="0"/>
              <w:spacing w:after="120"/>
              <w:rPr>
                <w:rFonts w:ascii="Arial" w:hAnsi="Arial" w:cs="Arial"/>
              </w:rPr>
            </w:pPr>
            <w:r w:rsidRPr="00266E5A">
              <w:rPr>
                <w:rFonts w:ascii="Arial" w:hAnsi="Arial" w:cs="Arial"/>
              </w:rPr>
              <w:t>All other equipment and components identified</w:t>
            </w:r>
            <w:r w:rsidR="00230A95" w:rsidRPr="00266E5A">
              <w:rPr>
                <w:rFonts w:ascii="Arial" w:hAnsi="Arial" w:cs="Arial"/>
              </w:rPr>
              <w:t xml:space="preserve"> and</w:t>
            </w:r>
            <w:r w:rsidR="0066174C" w:rsidRPr="00266E5A">
              <w:rPr>
                <w:rFonts w:ascii="Arial" w:hAnsi="Arial" w:cs="Arial"/>
              </w:rPr>
              <w:t>/or</w:t>
            </w:r>
            <w:r w:rsidR="00230A95" w:rsidRPr="00266E5A">
              <w:rPr>
                <w:rFonts w:ascii="Arial" w:hAnsi="Arial" w:cs="Arial"/>
              </w:rPr>
              <w:t xml:space="preserve"> </w:t>
            </w:r>
            <w:r w:rsidR="0063737F" w:rsidRPr="00266E5A">
              <w:rPr>
                <w:rFonts w:ascii="Arial" w:hAnsi="Arial" w:cs="Arial"/>
              </w:rPr>
              <w:t>referenced</w:t>
            </w:r>
            <w:r w:rsidRPr="00266E5A">
              <w:rPr>
                <w:rFonts w:ascii="Arial" w:hAnsi="Arial" w:cs="Arial"/>
              </w:rPr>
              <w:t xml:space="preserve"> in Section 2 are outside the scope of work considered here.</w:t>
            </w:r>
          </w:p>
        </w:tc>
        <w:tc>
          <w:tcPr>
            <w:tcW w:w="1842" w:type="dxa"/>
            <w:vAlign w:val="center"/>
          </w:tcPr>
          <w:p w14:paraId="56AA8105" w14:textId="18F2C0E9" w:rsidR="005062BF" w:rsidRPr="00266E5A" w:rsidRDefault="00E002BC" w:rsidP="002B7E0B">
            <w:pPr>
              <w:keepNext/>
              <w:jc w:val="center"/>
              <w:rPr>
                <w:rFonts w:ascii="Arial" w:hAnsi="Arial" w:cs="Arial"/>
              </w:rPr>
            </w:pPr>
            <w:r w:rsidRPr="00266E5A">
              <w:rPr>
                <w:rFonts w:ascii="Arial" w:hAnsi="Arial" w:cs="Arial"/>
              </w:rPr>
              <w:t>2</w:t>
            </w:r>
          </w:p>
        </w:tc>
      </w:tr>
    </w:tbl>
    <w:p w14:paraId="0358A6C5" w14:textId="674089F9" w:rsidR="005A0E84" w:rsidRPr="00D7771C"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0C13CF82" w14:textId="4986A171" w:rsidR="001E7F96" w:rsidRDefault="001E7F96"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20B87D98" w14:textId="77777777" w:rsidR="00266E5A" w:rsidRPr="00D7771C" w:rsidRDefault="00266E5A"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5B76F9B" w14:textId="77777777" w:rsidR="006434D7" w:rsidRPr="00D7771C" w:rsidRDefault="006434D7" w:rsidP="00685D21">
      <w:pPr>
        <w:pStyle w:val="Heading1"/>
        <w:numPr>
          <w:ilvl w:val="0"/>
          <w:numId w:val="7"/>
        </w:numPr>
        <w:rPr>
          <w:u w:val="single"/>
        </w:rPr>
      </w:pPr>
      <w:r w:rsidRPr="00D7771C">
        <w:rPr>
          <w:u w:val="single"/>
        </w:rPr>
        <w:t xml:space="preserve">Attachments </w:t>
      </w:r>
    </w:p>
    <w:tbl>
      <w:tblPr>
        <w:tblStyle w:val="TableGrid"/>
        <w:tblW w:w="9639" w:type="dxa"/>
        <w:tblInd w:w="-5" w:type="dxa"/>
        <w:tblLook w:val="04A0" w:firstRow="1" w:lastRow="0" w:firstColumn="1" w:lastColumn="0" w:noHBand="0" w:noVBand="1"/>
      </w:tblPr>
      <w:tblGrid>
        <w:gridCol w:w="993"/>
        <w:gridCol w:w="3543"/>
        <w:gridCol w:w="5103"/>
      </w:tblGrid>
      <w:tr w:rsidR="006434D7" w:rsidRPr="00BB0A82" w14:paraId="38423F66" w14:textId="77777777" w:rsidTr="002B7E0B">
        <w:trPr>
          <w:trHeight w:val="567"/>
        </w:trPr>
        <w:tc>
          <w:tcPr>
            <w:tcW w:w="993" w:type="dxa"/>
            <w:vAlign w:val="center"/>
          </w:tcPr>
          <w:p w14:paraId="394137DE" w14:textId="77777777" w:rsidR="006434D7" w:rsidRPr="002B7E0B" w:rsidRDefault="006434D7" w:rsidP="002B7E0B">
            <w:pPr>
              <w:pStyle w:val="Heading1"/>
              <w:spacing w:line="240" w:lineRule="auto"/>
              <w:ind w:left="0" w:firstLine="0"/>
              <w:jc w:val="center"/>
              <w:rPr>
                <w:rStyle w:val="Hyperlink"/>
                <w:color w:val="000000" w:themeColor="text1"/>
                <w:sz w:val="22"/>
                <w:u w:val="none"/>
              </w:rPr>
            </w:pPr>
            <w:r w:rsidRPr="002B7E0B">
              <w:rPr>
                <w:rStyle w:val="Hyperlink"/>
                <w:color w:val="000000" w:themeColor="text1"/>
                <w:sz w:val="22"/>
                <w:u w:val="none"/>
              </w:rPr>
              <w:t>Ref #</w:t>
            </w:r>
          </w:p>
        </w:tc>
        <w:tc>
          <w:tcPr>
            <w:tcW w:w="3543" w:type="dxa"/>
            <w:vAlign w:val="center"/>
          </w:tcPr>
          <w:p w14:paraId="16092016" w14:textId="77777777" w:rsidR="006434D7" w:rsidRPr="00BB0A82" w:rsidRDefault="006434D7" w:rsidP="002B7E0B">
            <w:pPr>
              <w:pStyle w:val="Heading1"/>
              <w:spacing w:line="240" w:lineRule="auto"/>
              <w:ind w:left="0" w:firstLine="0"/>
              <w:jc w:val="center"/>
              <w:rPr>
                <w:rStyle w:val="Hyperlink"/>
                <w:color w:val="000000" w:themeColor="text1"/>
                <w:sz w:val="22"/>
                <w:u w:val="none"/>
              </w:rPr>
            </w:pPr>
            <w:r w:rsidRPr="00BB0A82">
              <w:rPr>
                <w:rStyle w:val="Hyperlink"/>
                <w:color w:val="000000" w:themeColor="text1"/>
                <w:sz w:val="22"/>
                <w:u w:val="none"/>
              </w:rPr>
              <w:t>DOCUMENT NAME</w:t>
            </w:r>
          </w:p>
        </w:tc>
        <w:tc>
          <w:tcPr>
            <w:tcW w:w="5103" w:type="dxa"/>
            <w:vAlign w:val="center"/>
          </w:tcPr>
          <w:p w14:paraId="772096B3" w14:textId="77777777" w:rsidR="006434D7" w:rsidRPr="00BB0A82" w:rsidRDefault="006434D7" w:rsidP="002B7E0B">
            <w:pPr>
              <w:pStyle w:val="Heading1"/>
              <w:spacing w:line="240" w:lineRule="auto"/>
              <w:ind w:left="0" w:firstLine="0"/>
              <w:jc w:val="center"/>
              <w:rPr>
                <w:rStyle w:val="Hyperlink"/>
                <w:color w:val="000000" w:themeColor="text1"/>
                <w:sz w:val="22"/>
                <w:u w:val="none"/>
              </w:rPr>
            </w:pPr>
            <w:r w:rsidRPr="00BB0A82">
              <w:rPr>
                <w:rStyle w:val="Hyperlink"/>
                <w:color w:val="000000" w:themeColor="text1"/>
                <w:sz w:val="22"/>
                <w:u w:val="none"/>
              </w:rPr>
              <w:t>DESCRIPTION</w:t>
            </w:r>
          </w:p>
        </w:tc>
      </w:tr>
      <w:tr w:rsidR="006434D7" w:rsidRPr="00BB0A82" w14:paraId="63CB733F" w14:textId="77777777" w:rsidTr="002B7E0B">
        <w:trPr>
          <w:trHeight w:val="567"/>
        </w:trPr>
        <w:tc>
          <w:tcPr>
            <w:tcW w:w="993" w:type="dxa"/>
          </w:tcPr>
          <w:p w14:paraId="6086F4F5" w14:textId="77777777" w:rsidR="006434D7" w:rsidRPr="00BB0A82" w:rsidRDefault="006434D7" w:rsidP="00A8180F">
            <w:pPr>
              <w:pStyle w:val="Heading1"/>
              <w:ind w:left="0" w:firstLine="0"/>
              <w:jc w:val="center"/>
              <w:rPr>
                <w:rStyle w:val="Hyperlink"/>
                <w:b w:val="0"/>
                <w:color w:val="000000" w:themeColor="text1"/>
                <w:sz w:val="22"/>
                <w:u w:val="none"/>
              </w:rPr>
            </w:pPr>
            <w:r w:rsidRPr="00BB0A82">
              <w:rPr>
                <w:rStyle w:val="Hyperlink"/>
                <w:b w:val="0"/>
                <w:color w:val="000000" w:themeColor="text1"/>
                <w:sz w:val="22"/>
                <w:u w:val="none"/>
              </w:rPr>
              <w:t>01</w:t>
            </w:r>
          </w:p>
        </w:tc>
        <w:tc>
          <w:tcPr>
            <w:tcW w:w="3543" w:type="dxa"/>
          </w:tcPr>
          <w:p w14:paraId="34705118" w14:textId="4F11D510" w:rsidR="006434D7" w:rsidRPr="00BB0A82" w:rsidRDefault="00833150" w:rsidP="00833150">
            <w:pPr>
              <w:autoSpaceDE w:val="0"/>
              <w:autoSpaceDN w:val="0"/>
              <w:adjustRightInd w:val="0"/>
              <w:rPr>
                <w:rStyle w:val="Hyperlink"/>
                <w:rFonts w:ascii="Arial" w:hAnsi="Arial" w:cs="Arial"/>
                <w:color w:val="000000"/>
                <w:u w:val="none"/>
              </w:rPr>
            </w:pPr>
            <w:r w:rsidRPr="00BB0A82">
              <w:rPr>
                <w:rFonts w:ascii="Arial" w:hAnsi="Arial" w:cs="Arial"/>
                <w:color w:val="000000"/>
              </w:rPr>
              <w:t>ENS-</w:t>
            </w:r>
            <w:r w:rsidR="00E002BC" w:rsidRPr="00BB0A82">
              <w:rPr>
                <w:rFonts w:ascii="Arial" w:hAnsi="Arial" w:cs="Arial"/>
                <w:color w:val="000000"/>
              </w:rPr>
              <w:t>NWPVR</w:t>
            </w:r>
            <w:r w:rsidRPr="00BB0A82">
              <w:rPr>
                <w:rFonts w:ascii="Arial" w:hAnsi="Arial" w:cs="Arial"/>
                <w:color w:val="000000"/>
              </w:rPr>
              <w:t>-SPE-2401</w:t>
            </w:r>
            <w:r w:rsidR="00E002BC" w:rsidRPr="00BB0A82">
              <w:rPr>
                <w:rFonts w:ascii="Arial" w:hAnsi="Arial" w:cs="Arial"/>
                <w:color w:val="000000"/>
              </w:rPr>
              <w:t>4</w:t>
            </w:r>
            <w:r w:rsidR="002B7E0B">
              <w:rPr>
                <w:rFonts w:ascii="Arial" w:hAnsi="Arial" w:cs="Arial"/>
                <w:color w:val="000000"/>
              </w:rPr>
              <w:t>, Rev. 3</w:t>
            </w:r>
          </w:p>
        </w:tc>
        <w:tc>
          <w:tcPr>
            <w:tcW w:w="5103" w:type="dxa"/>
          </w:tcPr>
          <w:p w14:paraId="53E3C362" w14:textId="5E496CCE" w:rsidR="006434D7" w:rsidRPr="00BB0A82" w:rsidRDefault="002B7E0B" w:rsidP="002B7E0B">
            <w:pPr>
              <w:pStyle w:val="Default"/>
              <w:rPr>
                <w:rStyle w:val="Hyperlink"/>
                <w:rFonts w:ascii="Arial" w:hAnsi="Arial" w:cs="Arial"/>
                <w:color w:val="000000"/>
                <w:sz w:val="22"/>
                <w:szCs w:val="22"/>
                <w:u w:val="none"/>
              </w:rPr>
            </w:pPr>
            <w:r>
              <w:rPr>
                <w:rFonts w:ascii="Arial" w:hAnsi="Arial" w:cs="Arial"/>
                <w:sz w:val="22"/>
                <w:szCs w:val="22"/>
              </w:rPr>
              <w:t xml:space="preserve">Spent Scrubbing Liquid Transfer Pump P1514 </w:t>
            </w:r>
            <w:r w:rsidR="001B2823" w:rsidRPr="00BB0A82">
              <w:rPr>
                <w:rFonts w:ascii="Arial" w:hAnsi="Arial" w:cs="Arial"/>
                <w:sz w:val="22"/>
                <w:szCs w:val="22"/>
              </w:rPr>
              <w:t>Specification Sheet</w:t>
            </w:r>
          </w:p>
        </w:tc>
      </w:tr>
      <w:tr w:rsidR="00731FA5" w:rsidRPr="00BB0A82" w14:paraId="0485ABAE" w14:textId="77777777" w:rsidTr="002B7E0B">
        <w:trPr>
          <w:trHeight w:val="567"/>
        </w:trPr>
        <w:tc>
          <w:tcPr>
            <w:tcW w:w="993" w:type="dxa"/>
          </w:tcPr>
          <w:p w14:paraId="46968F79" w14:textId="0159B418" w:rsidR="00731FA5" w:rsidRPr="00BB0A82" w:rsidRDefault="00731FA5" w:rsidP="00A8180F">
            <w:pPr>
              <w:pStyle w:val="Heading1"/>
              <w:ind w:left="0" w:firstLine="0"/>
              <w:jc w:val="center"/>
              <w:rPr>
                <w:rStyle w:val="Hyperlink"/>
                <w:b w:val="0"/>
                <w:color w:val="000000" w:themeColor="text1"/>
                <w:sz w:val="22"/>
                <w:u w:val="none"/>
              </w:rPr>
            </w:pPr>
            <w:r w:rsidRPr="00BB0A82">
              <w:rPr>
                <w:rStyle w:val="Hyperlink"/>
                <w:b w:val="0"/>
                <w:color w:val="000000" w:themeColor="text1"/>
                <w:sz w:val="22"/>
                <w:u w:val="none"/>
              </w:rPr>
              <w:t>02</w:t>
            </w:r>
          </w:p>
        </w:tc>
        <w:tc>
          <w:tcPr>
            <w:tcW w:w="3543" w:type="dxa"/>
          </w:tcPr>
          <w:p w14:paraId="190AF697" w14:textId="2E2E3239" w:rsidR="00731FA5" w:rsidRPr="00BB0A82" w:rsidRDefault="00E002BC" w:rsidP="004E19C2">
            <w:pPr>
              <w:autoSpaceDE w:val="0"/>
              <w:autoSpaceDN w:val="0"/>
              <w:adjustRightInd w:val="0"/>
              <w:rPr>
                <w:rFonts w:ascii="Arial" w:hAnsi="Arial" w:cs="Arial"/>
                <w:color w:val="000000"/>
              </w:rPr>
            </w:pPr>
            <w:r w:rsidRPr="00BB0A82">
              <w:rPr>
                <w:rFonts w:ascii="Arial" w:hAnsi="Arial" w:cs="Arial"/>
                <w:color w:val="000000"/>
              </w:rPr>
              <w:t>ENS-NWPVR-SPE-24015</w:t>
            </w:r>
            <w:r w:rsidR="002B7E0B">
              <w:rPr>
                <w:rFonts w:ascii="Arial" w:hAnsi="Arial" w:cs="Arial"/>
                <w:color w:val="000000"/>
              </w:rPr>
              <w:t>, Rev. 3</w:t>
            </w:r>
          </w:p>
        </w:tc>
        <w:tc>
          <w:tcPr>
            <w:tcW w:w="5103" w:type="dxa"/>
          </w:tcPr>
          <w:p w14:paraId="54A2CC55" w14:textId="20115B67" w:rsidR="00731FA5" w:rsidRPr="00BB0A82" w:rsidRDefault="002B7E0B" w:rsidP="002B7E0B">
            <w:pPr>
              <w:autoSpaceDE w:val="0"/>
              <w:autoSpaceDN w:val="0"/>
              <w:adjustRightInd w:val="0"/>
              <w:rPr>
                <w:rFonts w:ascii="Arial" w:hAnsi="Arial" w:cs="Arial"/>
                <w:color w:val="000000"/>
              </w:rPr>
            </w:pPr>
            <w:r>
              <w:rPr>
                <w:rFonts w:ascii="Arial" w:hAnsi="Arial" w:cs="Arial"/>
                <w:color w:val="000000"/>
              </w:rPr>
              <w:t xml:space="preserve">Waste Water Transfer Pump P1515 </w:t>
            </w:r>
            <w:r w:rsidR="00833150" w:rsidRPr="00BB0A82">
              <w:rPr>
                <w:rFonts w:ascii="Arial" w:hAnsi="Arial" w:cs="Arial"/>
                <w:color w:val="000000"/>
              </w:rPr>
              <w:t>Specification Sheet</w:t>
            </w:r>
          </w:p>
        </w:tc>
      </w:tr>
      <w:tr w:rsidR="00BB0A82" w:rsidRPr="00BB0A82" w14:paraId="64C9540D" w14:textId="77777777" w:rsidTr="002B7E0B">
        <w:trPr>
          <w:trHeight w:val="567"/>
        </w:trPr>
        <w:tc>
          <w:tcPr>
            <w:tcW w:w="993" w:type="dxa"/>
          </w:tcPr>
          <w:p w14:paraId="3976BD2F" w14:textId="3C725FCB" w:rsidR="00BB0A82" w:rsidRPr="00BB0A82" w:rsidRDefault="002B7E0B" w:rsidP="00BB0A82">
            <w:pPr>
              <w:pStyle w:val="Heading1"/>
              <w:ind w:left="0" w:firstLine="0"/>
              <w:jc w:val="center"/>
              <w:rPr>
                <w:rStyle w:val="Hyperlink"/>
                <w:b w:val="0"/>
                <w:color w:val="000000" w:themeColor="text1"/>
                <w:sz w:val="22"/>
                <w:u w:val="none"/>
              </w:rPr>
            </w:pPr>
            <w:r>
              <w:rPr>
                <w:rStyle w:val="Hyperlink"/>
                <w:b w:val="0"/>
                <w:color w:val="000000" w:themeColor="text1"/>
                <w:sz w:val="22"/>
                <w:u w:val="none"/>
              </w:rPr>
              <w:t>03</w:t>
            </w:r>
          </w:p>
        </w:tc>
        <w:tc>
          <w:tcPr>
            <w:tcW w:w="3543" w:type="dxa"/>
          </w:tcPr>
          <w:p w14:paraId="1B44897F" w14:textId="54EC4CB8" w:rsidR="00BB0A82" w:rsidRPr="00BB0A82" w:rsidRDefault="00BB0A82" w:rsidP="00263297">
            <w:pPr>
              <w:autoSpaceDE w:val="0"/>
              <w:autoSpaceDN w:val="0"/>
              <w:adjustRightInd w:val="0"/>
              <w:rPr>
                <w:rFonts w:ascii="Arial" w:hAnsi="Arial" w:cs="Arial"/>
              </w:rPr>
            </w:pPr>
            <w:r w:rsidRPr="00BB0A82">
              <w:rPr>
                <w:rFonts w:ascii="Arial" w:hAnsi="Arial" w:cs="Arial"/>
              </w:rPr>
              <w:t xml:space="preserve">ENS-NWPVR-PID-24002, Rev. </w:t>
            </w:r>
            <w:r w:rsidR="00263297">
              <w:rPr>
                <w:rFonts w:ascii="Arial" w:hAnsi="Arial" w:cs="Arial"/>
              </w:rPr>
              <w:t xml:space="preserve">4 </w:t>
            </w:r>
          </w:p>
        </w:tc>
        <w:tc>
          <w:tcPr>
            <w:tcW w:w="5103" w:type="dxa"/>
          </w:tcPr>
          <w:p w14:paraId="2F5B8350" w14:textId="23A01538" w:rsidR="00BB0A82" w:rsidRPr="00BB0A82" w:rsidRDefault="00BB0A82" w:rsidP="00BB0A82">
            <w:pPr>
              <w:autoSpaceDE w:val="0"/>
              <w:autoSpaceDN w:val="0"/>
              <w:adjustRightInd w:val="0"/>
              <w:rPr>
                <w:rFonts w:ascii="Arial" w:hAnsi="Arial" w:cs="Arial"/>
              </w:rPr>
            </w:pPr>
            <w:r w:rsidRPr="00BB0A82">
              <w:rPr>
                <w:rFonts w:ascii="Arial" w:hAnsi="Arial" w:cs="Arial"/>
                <w:color w:val="000000"/>
              </w:rPr>
              <w:t>P&amp;ID Diagram – NW PlasGas Demonstration Plant Subsystem 15</w:t>
            </w:r>
          </w:p>
        </w:tc>
      </w:tr>
    </w:tbl>
    <w:p w14:paraId="6593FE55" w14:textId="7990F7FD" w:rsidR="00230A95" w:rsidRPr="00D7771C" w:rsidRDefault="00230A95"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3BC55CDC" w14:textId="77777777" w:rsidR="00E002BC" w:rsidRDefault="00E002BC"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070D8479" w14:textId="77777777" w:rsidR="001E7F96" w:rsidRPr="00D7771C" w:rsidRDefault="001E7F96" w:rsidP="001E7F96">
      <w:pPr>
        <w:pStyle w:val="ListParagraph"/>
        <w:numPr>
          <w:ilvl w:val="0"/>
          <w:numId w:val="3"/>
        </w:numPr>
        <w:shd w:val="clear" w:color="auto" w:fill="FFFFFF"/>
        <w:spacing w:after="0" w:line="240" w:lineRule="auto"/>
        <w:rPr>
          <w:rFonts w:ascii="Arial" w:eastAsia="Times New Roman" w:hAnsi="Arial" w:cs="Arial"/>
          <w:vanish/>
          <w:color w:val="000000"/>
          <w:sz w:val="24"/>
        </w:rPr>
      </w:pPr>
    </w:p>
    <w:p w14:paraId="20D0A625" w14:textId="63A9E044" w:rsidR="00155894" w:rsidRPr="00D7771C" w:rsidRDefault="00F9542C" w:rsidP="001E7F96">
      <w:pPr>
        <w:pStyle w:val="ListParagraph"/>
        <w:numPr>
          <w:ilvl w:val="0"/>
          <w:numId w:val="3"/>
        </w:numPr>
        <w:shd w:val="clear" w:color="auto" w:fill="FFFFFF"/>
        <w:spacing w:after="0" w:line="240" w:lineRule="auto"/>
        <w:rPr>
          <w:rFonts w:ascii="Arial" w:eastAsia="Times New Roman" w:hAnsi="Arial" w:cs="Arial"/>
          <w:b/>
          <w:color w:val="000000"/>
          <w:w w:val="105"/>
          <w:sz w:val="24"/>
          <w:u w:val="single"/>
        </w:rPr>
      </w:pPr>
      <w:r w:rsidRPr="00D7771C">
        <w:rPr>
          <w:rFonts w:ascii="Arial" w:eastAsia="Times New Roman" w:hAnsi="Arial" w:cs="Arial"/>
          <w:color w:val="000000"/>
          <w:sz w:val="24"/>
        </w:rPr>
        <w:t> </w:t>
      </w:r>
      <w:r w:rsidR="00155894" w:rsidRPr="00D7771C">
        <w:rPr>
          <w:rFonts w:ascii="Arial" w:eastAsia="Times New Roman" w:hAnsi="Arial" w:cs="Arial"/>
          <w:b/>
          <w:color w:val="000000"/>
          <w:w w:val="101"/>
          <w:sz w:val="24"/>
          <w:u w:val="single"/>
        </w:rPr>
        <w:t>Pricing</w:t>
      </w:r>
    </w:p>
    <w:p w14:paraId="7F82AC9C" w14:textId="77777777" w:rsidR="00155894" w:rsidRPr="00D7771C"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14:paraId="5324CE56" w14:textId="77777777" w:rsidR="00514AE5" w:rsidRPr="00D7771C"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7771C">
        <w:rPr>
          <w:rFonts w:ascii="Arial" w:eastAsia="Times New Roman" w:hAnsi="Arial" w:cs="Arial"/>
          <w:color w:val="000000"/>
          <w:w w:val="105"/>
        </w:rPr>
        <w:t>All price quoted</w:t>
      </w:r>
      <w:r w:rsidR="006346AD" w:rsidRPr="00D7771C">
        <w:rPr>
          <w:rFonts w:ascii="Arial" w:eastAsia="Times New Roman" w:hAnsi="Arial" w:cs="Arial"/>
          <w:color w:val="000000"/>
          <w:w w:val="105"/>
        </w:rPr>
        <w:t xml:space="preserve"> </w:t>
      </w:r>
      <w:r w:rsidRPr="00D7771C">
        <w:rPr>
          <w:rFonts w:ascii="Arial" w:eastAsia="Times New Roman" w:hAnsi="Arial" w:cs="Arial"/>
          <w:color w:val="000000"/>
          <w:w w:val="105"/>
        </w:rPr>
        <w:t>to include all applicable taxes.</w:t>
      </w:r>
      <w:r w:rsidR="00514AE5" w:rsidRPr="00D7771C">
        <w:rPr>
          <w:rFonts w:ascii="Arial" w:eastAsia="Times New Roman" w:hAnsi="Arial" w:cs="Arial"/>
          <w:color w:val="000000"/>
          <w:w w:val="105"/>
        </w:rPr>
        <w:t xml:space="preserve"> </w:t>
      </w:r>
    </w:p>
    <w:p w14:paraId="460CA836" w14:textId="1D8837FE" w:rsidR="00514AE5" w:rsidRPr="00D7771C"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7771C">
        <w:rPr>
          <w:rFonts w:ascii="Arial" w:eastAsia="Times New Roman" w:hAnsi="Arial" w:cs="Arial"/>
          <w:color w:val="000000"/>
          <w:w w:val="105"/>
        </w:rPr>
        <w:t>Price must be fixed and firm</w:t>
      </w:r>
      <w:r w:rsidR="00E002BC" w:rsidRPr="00D7771C">
        <w:rPr>
          <w:rFonts w:ascii="Arial" w:eastAsia="Times New Roman" w:hAnsi="Arial" w:cs="Arial"/>
          <w:color w:val="000000"/>
          <w:w w:val="105"/>
        </w:rPr>
        <w:t>.</w:t>
      </w:r>
    </w:p>
    <w:p w14:paraId="6E9DF9D4" w14:textId="77777777" w:rsidR="00514AE5" w:rsidRPr="00D7771C"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7771C">
        <w:rPr>
          <w:rFonts w:ascii="Arial" w:eastAsia="Times New Roman" w:hAnsi="Arial" w:cs="Arial"/>
          <w:color w:val="000000"/>
          <w:w w:val="105"/>
        </w:rPr>
        <w:t>Price should include additional cost elements such as freight, insurance until acceptance, duty where applicable</w:t>
      </w:r>
      <w:r w:rsidR="001F169B" w:rsidRPr="00D7771C">
        <w:rPr>
          <w:rFonts w:ascii="Arial" w:eastAsia="Times New Roman" w:hAnsi="Arial" w:cs="Arial"/>
          <w:color w:val="000000"/>
          <w:w w:val="105"/>
        </w:rPr>
        <w:t>, disbursements</w:t>
      </w:r>
      <w:r w:rsidRPr="00D7771C">
        <w:rPr>
          <w:rFonts w:ascii="Arial" w:eastAsia="Times New Roman" w:hAnsi="Arial" w:cs="Arial"/>
          <w:color w:val="000000"/>
          <w:w w:val="105"/>
        </w:rPr>
        <w:t xml:space="preserve"> etc.</w:t>
      </w:r>
    </w:p>
    <w:p w14:paraId="3D862E88" w14:textId="77777777" w:rsidR="00BA4051" w:rsidRPr="00D7771C"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7771C">
        <w:rPr>
          <w:rFonts w:ascii="Arial" w:eastAsia="Times New Roman" w:hAnsi="Arial" w:cs="Arial"/>
          <w:color w:val="000000"/>
          <w:w w:val="105"/>
        </w:rPr>
        <w:t>Quotation must be completed in full, incomplete quote could result in a quote being disqualified.</w:t>
      </w:r>
    </w:p>
    <w:p w14:paraId="5FB3DC44" w14:textId="77777777" w:rsidR="00514AE5" w:rsidRPr="00D7771C"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7771C">
        <w:rPr>
          <w:rFonts w:ascii="Arial" w:eastAsia="Times New Roman" w:hAnsi="Arial" w:cs="Arial"/>
          <w:color w:val="000000"/>
          <w:w w:val="105"/>
        </w:rPr>
        <w:t xml:space="preserve">Payment will be according to </w:t>
      </w:r>
      <w:proofErr w:type="spellStart"/>
      <w:r w:rsidRPr="00D7771C">
        <w:rPr>
          <w:rFonts w:ascii="Arial" w:eastAsia="Times New Roman" w:hAnsi="Arial" w:cs="Arial"/>
          <w:color w:val="000000"/>
          <w:w w:val="105"/>
        </w:rPr>
        <w:t>Necsa’s</w:t>
      </w:r>
      <w:proofErr w:type="spellEnd"/>
      <w:r w:rsidRPr="00D7771C">
        <w:rPr>
          <w:rFonts w:ascii="Arial" w:eastAsia="Times New Roman" w:hAnsi="Arial" w:cs="Arial"/>
          <w:color w:val="000000"/>
          <w:w w:val="105"/>
        </w:rPr>
        <w:t xml:space="preserve"> General Conditions of Purchase</w:t>
      </w:r>
      <w:r w:rsidR="00AD2401" w:rsidRPr="00D7771C">
        <w:rPr>
          <w:rFonts w:ascii="Arial" w:eastAsia="Times New Roman" w:hAnsi="Arial" w:cs="Arial"/>
          <w:color w:val="000000"/>
          <w:w w:val="105"/>
        </w:rPr>
        <w:t>.</w:t>
      </w:r>
    </w:p>
    <w:p w14:paraId="3B4B1655" w14:textId="57EA7AB5" w:rsidR="00725B31" w:rsidRPr="00BB0A82" w:rsidRDefault="00725B31"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14:paraId="24A59704" w14:textId="56A5F67E" w:rsidR="00230A95" w:rsidRPr="00BB0A82" w:rsidRDefault="00230A95"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14:paraId="6F35A8F3" w14:textId="77777777" w:rsidR="000D69F9" w:rsidRPr="00D7771C" w:rsidRDefault="000D69F9" w:rsidP="00266E5A">
      <w:pPr>
        <w:pStyle w:val="ListParagraph"/>
        <w:keepNext/>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sz w:val="24"/>
          <w:szCs w:val="24"/>
          <w:u w:val="single"/>
        </w:rPr>
      </w:pPr>
      <w:r w:rsidRPr="00D7771C">
        <w:rPr>
          <w:rFonts w:ascii="Arial" w:eastAsia="Times New Roman" w:hAnsi="Arial" w:cs="Arial"/>
          <w:b/>
          <w:color w:val="000000"/>
          <w:w w:val="105"/>
          <w:sz w:val="24"/>
          <w:szCs w:val="24"/>
          <w:u w:val="single"/>
        </w:rPr>
        <w:t>Evaluation</w:t>
      </w:r>
    </w:p>
    <w:p w14:paraId="789F710E" w14:textId="77777777" w:rsidR="00514AE5" w:rsidRPr="00BB0A82" w:rsidRDefault="00514AE5" w:rsidP="00266E5A">
      <w:pPr>
        <w:pStyle w:val="ListParagraph"/>
        <w:keepNext/>
        <w:widowControl w:val="0"/>
        <w:tabs>
          <w:tab w:val="left" w:pos="2552"/>
        </w:tabs>
        <w:autoSpaceDE w:val="0"/>
        <w:autoSpaceDN w:val="0"/>
        <w:adjustRightInd w:val="0"/>
        <w:spacing w:after="0"/>
        <w:jc w:val="both"/>
        <w:rPr>
          <w:rFonts w:ascii="Arial" w:eastAsia="Times New Roman" w:hAnsi="Arial" w:cs="Arial"/>
          <w:b/>
          <w:color w:val="000000"/>
          <w:w w:val="105"/>
        </w:rPr>
      </w:pPr>
    </w:p>
    <w:p w14:paraId="17C10CD1" w14:textId="77777777" w:rsidR="00DC12C6" w:rsidRPr="00D7771C" w:rsidRDefault="000D69F9" w:rsidP="009E3142">
      <w:pPr>
        <w:pStyle w:val="ListParagraph"/>
        <w:numPr>
          <w:ilvl w:val="1"/>
          <w:numId w:val="3"/>
        </w:numPr>
        <w:spacing w:after="0"/>
        <w:jc w:val="both"/>
        <w:rPr>
          <w:rFonts w:ascii="Arial" w:hAnsi="Arial" w:cs="Arial"/>
          <w:b/>
          <w:color w:val="000000"/>
          <w:u w:val="single"/>
        </w:rPr>
      </w:pPr>
      <w:r w:rsidRPr="00D7771C">
        <w:rPr>
          <w:rFonts w:ascii="Arial" w:hAnsi="Arial" w:cs="Arial"/>
          <w:b/>
          <w:color w:val="000000"/>
          <w:u w:val="single"/>
        </w:rPr>
        <w:t xml:space="preserve">Phase 1- </w:t>
      </w:r>
      <w:r w:rsidR="00DC12C6" w:rsidRPr="00D7771C">
        <w:rPr>
          <w:rFonts w:ascii="Arial" w:hAnsi="Arial" w:cs="Arial"/>
          <w:b/>
          <w:color w:val="000000"/>
          <w:u w:val="single"/>
        </w:rPr>
        <w:t>Functionality Evaluation / Technical Evaluation</w:t>
      </w:r>
    </w:p>
    <w:p w14:paraId="094613E8" w14:textId="77777777" w:rsidR="0066174C" w:rsidRDefault="0066174C" w:rsidP="001A799E">
      <w:pPr>
        <w:spacing w:after="0"/>
        <w:jc w:val="both"/>
        <w:rPr>
          <w:rFonts w:ascii="Arial" w:hAnsi="Arial" w:cs="Arial"/>
          <w:color w:val="000000"/>
        </w:rPr>
      </w:pPr>
    </w:p>
    <w:p w14:paraId="64156299" w14:textId="588534C3" w:rsidR="000308D0" w:rsidRPr="00D7771C" w:rsidRDefault="000D69F9" w:rsidP="001A799E">
      <w:pPr>
        <w:spacing w:after="0"/>
        <w:jc w:val="both"/>
        <w:rPr>
          <w:rFonts w:ascii="Arial" w:hAnsi="Arial" w:cs="Arial"/>
          <w:color w:val="000000"/>
        </w:rPr>
      </w:pPr>
      <w:r w:rsidRPr="00D7771C">
        <w:rPr>
          <w:rFonts w:ascii="Arial" w:hAnsi="Arial" w:cs="Arial"/>
          <w:color w:val="000000"/>
        </w:rPr>
        <w:t xml:space="preserve">Where functional or technical evaluation criterion is applicable, </w:t>
      </w:r>
      <w:r w:rsidRPr="00D7771C">
        <w:rPr>
          <w:rFonts w:ascii="Arial" w:eastAsiaTheme="minorEastAsia" w:hAnsi="Arial" w:cs="Arial"/>
        </w:rPr>
        <w:t xml:space="preserve">assessment </w:t>
      </w:r>
      <w:r w:rsidR="002F70F7" w:rsidRPr="00D7771C">
        <w:rPr>
          <w:rFonts w:ascii="Arial" w:eastAsiaTheme="minorEastAsia" w:hAnsi="Arial" w:cs="Arial"/>
        </w:rPr>
        <w:t xml:space="preserve">will be performed in terms of the </w:t>
      </w:r>
      <w:r w:rsidRPr="00D7771C">
        <w:rPr>
          <w:rFonts w:ascii="Arial" w:eastAsiaTheme="minorEastAsia" w:hAnsi="Arial" w:cs="Arial"/>
        </w:rPr>
        <w:t>criterion listed below and the criterion may include Technical, Performance, Quality and Risk</w:t>
      </w:r>
      <w:r w:rsidRPr="00D7771C">
        <w:rPr>
          <w:rFonts w:ascii="Arial" w:hAnsi="Arial" w:cs="Arial"/>
          <w:color w:val="000000"/>
        </w:rPr>
        <w:t>.</w:t>
      </w:r>
    </w:p>
    <w:p w14:paraId="23747C06" w14:textId="7CA0B31B" w:rsidR="002F70F7" w:rsidRPr="00D7771C" w:rsidRDefault="002F70F7" w:rsidP="001A799E">
      <w:pPr>
        <w:jc w:val="both"/>
        <w:rPr>
          <w:rFonts w:ascii="Arial" w:hAnsi="Arial" w:cs="Arial"/>
        </w:rPr>
      </w:pPr>
      <w:r w:rsidRPr="00D7771C">
        <w:rPr>
          <w:rFonts w:ascii="Arial" w:hAnsi="Arial" w:cs="Arial"/>
        </w:rPr>
        <w:t xml:space="preserve">If the Bidder’s response to the Technical </w:t>
      </w:r>
      <w:r w:rsidR="006059F7" w:rsidRPr="00D7771C">
        <w:rPr>
          <w:rFonts w:ascii="Arial" w:hAnsi="Arial" w:cs="Arial"/>
        </w:rPr>
        <w:t xml:space="preserve">criteria </w:t>
      </w:r>
      <w:r w:rsidRPr="00D7771C">
        <w:rPr>
          <w:rFonts w:ascii="Arial" w:hAnsi="Arial" w:cs="Arial"/>
        </w:rPr>
        <w:t>does not indicate that the Bidder can support an acceptable technical solution</w:t>
      </w:r>
      <w:r w:rsidR="00A21272" w:rsidRPr="00D7771C">
        <w:rPr>
          <w:rFonts w:ascii="Arial" w:hAnsi="Arial" w:cs="Arial"/>
        </w:rPr>
        <w:t>,</w:t>
      </w:r>
      <w:r w:rsidRPr="00D7771C">
        <w:rPr>
          <w:rFonts w:ascii="Arial" w:hAnsi="Arial" w:cs="Arial"/>
        </w:rPr>
        <w:t xml:space="preserve"> the Bidder’s response will be rejected and not evaluated further.</w:t>
      </w:r>
    </w:p>
    <w:p w14:paraId="46C6AFFF" w14:textId="0DD8DD79" w:rsidR="00AB42EC" w:rsidRDefault="002F70F7" w:rsidP="001A799E">
      <w:pPr>
        <w:spacing w:before="240"/>
        <w:jc w:val="both"/>
        <w:rPr>
          <w:rFonts w:ascii="Arial" w:hAnsi="Arial" w:cs="Arial"/>
        </w:rPr>
      </w:pPr>
      <w:r w:rsidRPr="00D7771C">
        <w:rPr>
          <w:rFonts w:ascii="Arial" w:hAnsi="Arial" w:cs="Arial"/>
        </w:rPr>
        <w:t xml:space="preserve">Together the Technical, Performance &amp; Quality and Risk criteria make up the functionality criterion and a Bidder’s Proposal will be evaluated for functionality out </w:t>
      </w:r>
      <w:r w:rsidR="001F169B" w:rsidRPr="00D7771C">
        <w:rPr>
          <w:rFonts w:ascii="Arial" w:hAnsi="Arial" w:cs="Arial"/>
        </w:rPr>
        <w:t xml:space="preserve">of a possible 100 </w:t>
      </w:r>
      <w:r w:rsidRPr="00D7771C">
        <w:rPr>
          <w:rFonts w:ascii="Arial" w:hAnsi="Arial" w:cs="Arial"/>
        </w:rPr>
        <w:t>points.  Only RFQ responses achieving an evaluation score of greater than the set threshold points out of the possible 100 points will be selected to progress to the second stage.</w:t>
      </w:r>
    </w:p>
    <w:p w14:paraId="25237D03" w14:textId="58726584" w:rsidR="00160B04" w:rsidRPr="00D7771C" w:rsidRDefault="006434D7" w:rsidP="00D40FB7">
      <w:pPr>
        <w:spacing w:before="240" w:line="240" w:lineRule="auto"/>
        <w:jc w:val="both"/>
        <w:rPr>
          <w:rFonts w:ascii="Arial" w:hAnsi="Arial" w:cs="Arial"/>
        </w:rPr>
      </w:pPr>
      <w:r w:rsidRPr="00D7771C">
        <w:rPr>
          <w:rFonts w:ascii="Arial" w:hAnsi="Arial" w:cs="Arial"/>
        </w:rPr>
        <w:t>The quotations will be evaluated according to the following selection criteria (based on information requested above):</w:t>
      </w:r>
    </w:p>
    <w:p w14:paraId="0A96D813" w14:textId="1657B082" w:rsidR="0051572B" w:rsidRPr="00BB0A82" w:rsidRDefault="00160B04" w:rsidP="00BB0A82">
      <w:pPr>
        <w:spacing w:before="240" w:line="240" w:lineRule="auto"/>
        <w:jc w:val="both"/>
        <w:rPr>
          <w:rFonts w:ascii="Arial" w:hAnsi="Arial" w:cs="Arial"/>
          <w:b/>
          <w:bCs/>
        </w:rPr>
      </w:pPr>
      <w:r w:rsidRPr="00D7771C">
        <w:rPr>
          <w:rFonts w:ascii="Arial" w:hAnsi="Arial" w:cs="Arial"/>
          <w:b/>
          <w:bCs/>
          <w:u w:val="single"/>
        </w:rPr>
        <w:t>NOTE</w:t>
      </w:r>
      <w:r w:rsidRPr="00D7771C">
        <w:rPr>
          <w:rFonts w:ascii="Arial" w:hAnsi="Arial" w:cs="Arial"/>
          <w:b/>
          <w:bCs/>
        </w:rPr>
        <w:t xml:space="preserve">: ONLY INFORMATION PROVIDED BY THE SUPPLIER RELATING TO THE </w:t>
      </w:r>
      <w:r w:rsidR="00AE3D34">
        <w:rPr>
          <w:rFonts w:ascii="Arial" w:hAnsi="Arial" w:cs="Arial"/>
          <w:b/>
          <w:bCs/>
        </w:rPr>
        <w:t>SUPPLY</w:t>
      </w:r>
      <w:r w:rsidRPr="00D7771C">
        <w:rPr>
          <w:rFonts w:ascii="Arial" w:hAnsi="Arial" w:cs="Arial"/>
          <w:b/>
          <w:bCs/>
        </w:rPr>
        <w:t xml:space="preserve"> OF </w:t>
      </w:r>
      <w:r w:rsidR="00AE3D34">
        <w:rPr>
          <w:rFonts w:ascii="Arial" w:hAnsi="Arial" w:cs="Arial"/>
          <w:b/>
          <w:bCs/>
        </w:rPr>
        <w:t>PNEUMATIC DIAPHRAGM PUMPS OR RELATED FLUID TRANSFER EQUIPMENT</w:t>
      </w:r>
      <w:r w:rsidRPr="00D7771C">
        <w:rPr>
          <w:rFonts w:ascii="Arial" w:hAnsi="Arial" w:cs="Arial"/>
          <w:b/>
          <w:bCs/>
        </w:rPr>
        <w:t xml:space="preserve"> WILL BE CONSIDERED IN THIS EVALUATION.</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85"/>
        <w:gridCol w:w="938"/>
        <w:gridCol w:w="850"/>
        <w:gridCol w:w="3463"/>
      </w:tblGrid>
      <w:tr w:rsidR="00160B04" w:rsidRPr="00BB0A82" w14:paraId="0B87A494" w14:textId="77777777" w:rsidTr="00E20319">
        <w:trPr>
          <w:cantSplit/>
          <w:tblHeader/>
        </w:trPr>
        <w:tc>
          <w:tcPr>
            <w:tcW w:w="345" w:type="pct"/>
            <w:shd w:val="clear" w:color="auto" w:fill="DDD9C3" w:themeFill="background2" w:themeFillShade="E6"/>
          </w:tcPr>
          <w:p w14:paraId="306E9FDC" w14:textId="77777777" w:rsidR="00160B04" w:rsidRPr="00D7771C" w:rsidRDefault="00160B04" w:rsidP="00E20319">
            <w:pPr>
              <w:pStyle w:val="aDSPara"/>
              <w:spacing w:before="60" w:after="60"/>
              <w:ind w:left="0"/>
              <w:jc w:val="center"/>
              <w:rPr>
                <w:rFonts w:eastAsia="MS Mincho" w:cs="Arial"/>
                <w:b/>
                <w:sz w:val="20"/>
                <w:szCs w:val="20"/>
              </w:rPr>
            </w:pPr>
            <w:r w:rsidRPr="00D7771C">
              <w:rPr>
                <w:rFonts w:eastAsia="MS Mincho" w:cs="Arial"/>
                <w:b/>
                <w:sz w:val="20"/>
                <w:szCs w:val="20"/>
              </w:rPr>
              <w:t>Item</w:t>
            </w:r>
          </w:p>
        </w:tc>
        <w:tc>
          <w:tcPr>
            <w:tcW w:w="1857" w:type="pct"/>
            <w:shd w:val="clear" w:color="auto" w:fill="DDD9C3" w:themeFill="background2" w:themeFillShade="E6"/>
          </w:tcPr>
          <w:p w14:paraId="1EF79417" w14:textId="77777777" w:rsidR="00160B04" w:rsidRPr="00D7771C" w:rsidRDefault="00160B04" w:rsidP="00E20319">
            <w:pPr>
              <w:pStyle w:val="aDSPara"/>
              <w:spacing w:before="60" w:after="60"/>
              <w:ind w:left="0"/>
              <w:jc w:val="center"/>
              <w:rPr>
                <w:rFonts w:eastAsia="MS Mincho" w:cs="Arial"/>
                <w:b/>
                <w:sz w:val="20"/>
                <w:szCs w:val="20"/>
              </w:rPr>
            </w:pPr>
            <w:r w:rsidRPr="00D7771C">
              <w:rPr>
                <w:rFonts w:eastAsia="MS Mincho" w:cs="Arial"/>
                <w:b/>
                <w:sz w:val="20"/>
                <w:szCs w:val="20"/>
              </w:rPr>
              <w:t>Requirement</w:t>
            </w:r>
          </w:p>
        </w:tc>
        <w:tc>
          <w:tcPr>
            <w:tcW w:w="500" w:type="pct"/>
            <w:shd w:val="clear" w:color="auto" w:fill="DDD9C3" w:themeFill="background2" w:themeFillShade="E6"/>
          </w:tcPr>
          <w:p w14:paraId="1AF8EFAE" w14:textId="77777777" w:rsidR="00160B04" w:rsidRPr="00D7771C" w:rsidRDefault="00160B04" w:rsidP="00E20319">
            <w:pPr>
              <w:pStyle w:val="aDSPara"/>
              <w:spacing w:before="60" w:after="60"/>
              <w:ind w:left="0"/>
              <w:jc w:val="center"/>
              <w:rPr>
                <w:rFonts w:eastAsia="MS Mincho" w:cs="Arial"/>
                <w:b/>
                <w:sz w:val="20"/>
                <w:szCs w:val="20"/>
              </w:rPr>
            </w:pPr>
            <w:r w:rsidRPr="00D7771C">
              <w:rPr>
                <w:rFonts w:eastAsia="MS Mincho" w:cs="Arial"/>
                <w:b/>
                <w:sz w:val="20"/>
                <w:szCs w:val="20"/>
              </w:rPr>
              <w:t>Weight</w:t>
            </w:r>
          </w:p>
        </w:tc>
        <w:tc>
          <w:tcPr>
            <w:tcW w:w="453" w:type="pct"/>
            <w:shd w:val="clear" w:color="auto" w:fill="DDD9C3" w:themeFill="background2" w:themeFillShade="E6"/>
          </w:tcPr>
          <w:p w14:paraId="5B0F97F6" w14:textId="77777777" w:rsidR="00160B04" w:rsidRPr="00D7771C" w:rsidRDefault="00160B04" w:rsidP="00E20319">
            <w:pPr>
              <w:pStyle w:val="aDSPara"/>
              <w:spacing w:before="60" w:after="60"/>
              <w:ind w:left="0"/>
              <w:jc w:val="center"/>
              <w:rPr>
                <w:rFonts w:eastAsia="MS Mincho" w:cs="Arial"/>
                <w:b/>
                <w:sz w:val="20"/>
                <w:szCs w:val="20"/>
              </w:rPr>
            </w:pPr>
            <w:r w:rsidRPr="00D7771C">
              <w:rPr>
                <w:rFonts w:eastAsia="MS Mincho" w:cs="Arial"/>
                <w:b/>
                <w:sz w:val="20"/>
                <w:szCs w:val="20"/>
              </w:rPr>
              <w:t>Points</w:t>
            </w:r>
          </w:p>
        </w:tc>
        <w:tc>
          <w:tcPr>
            <w:tcW w:w="1845" w:type="pct"/>
            <w:shd w:val="clear" w:color="auto" w:fill="DDD9C3" w:themeFill="background2" w:themeFillShade="E6"/>
          </w:tcPr>
          <w:p w14:paraId="0045A997" w14:textId="77777777" w:rsidR="00160B04" w:rsidRPr="00D7771C" w:rsidRDefault="00160B04" w:rsidP="00E20319">
            <w:pPr>
              <w:pStyle w:val="aDSPara"/>
              <w:spacing w:before="60" w:after="60"/>
              <w:ind w:left="0"/>
              <w:jc w:val="center"/>
              <w:rPr>
                <w:rFonts w:eastAsia="MS Mincho" w:cs="Arial"/>
                <w:b/>
                <w:sz w:val="20"/>
                <w:szCs w:val="20"/>
              </w:rPr>
            </w:pPr>
            <w:r w:rsidRPr="00D7771C">
              <w:rPr>
                <w:rFonts w:eastAsia="MS Mincho" w:cs="Arial"/>
                <w:b/>
                <w:sz w:val="20"/>
                <w:szCs w:val="20"/>
              </w:rPr>
              <w:t>Criteria</w:t>
            </w:r>
          </w:p>
        </w:tc>
      </w:tr>
      <w:tr w:rsidR="00160B04" w:rsidRPr="00BB0A82" w14:paraId="59AECF90" w14:textId="77777777" w:rsidTr="00E20319">
        <w:trPr>
          <w:cantSplit/>
          <w:trHeight w:val="180"/>
        </w:trPr>
        <w:tc>
          <w:tcPr>
            <w:tcW w:w="345" w:type="pct"/>
            <w:vMerge w:val="restart"/>
            <w:vAlign w:val="center"/>
          </w:tcPr>
          <w:p w14:paraId="6DC1875F" w14:textId="77777777" w:rsidR="00160B04" w:rsidRPr="00D7771C" w:rsidRDefault="00160B04" w:rsidP="00E20319">
            <w:pPr>
              <w:pStyle w:val="aDSPara"/>
              <w:spacing w:before="60" w:after="60"/>
              <w:ind w:left="0"/>
              <w:jc w:val="center"/>
              <w:rPr>
                <w:rFonts w:eastAsia="MS Mincho" w:cs="Arial"/>
                <w:sz w:val="20"/>
                <w:szCs w:val="20"/>
              </w:rPr>
            </w:pPr>
            <w:r w:rsidRPr="00D7771C">
              <w:rPr>
                <w:rFonts w:eastAsia="MS Mincho" w:cs="Arial"/>
                <w:sz w:val="20"/>
                <w:szCs w:val="20"/>
              </w:rPr>
              <w:t>1</w:t>
            </w:r>
          </w:p>
        </w:tc>
        <w:tc>
          <w:tcPr>
            <w:tcW w:w="1857" w:type="pct"/>
            <w:vMerge w:val="restart"/>
            <w:vAlign w:val="center"/>
          </w:tcPr>
          <w:p w14:paraId="34734C47" w14:textId="77777777" w:rsidR="00160B04" w:rsidRPr="00D7771C" w:rsidRDefault="00160B04" w:rsidP="00E20319">
            <w:pPr>
              <w:spacing w:before="240"/>
              <w:rPr>
                <w:rFonts w:ascii="Arial" w:hAnsi="Arial" w:cs="Arial"/>
                <w:sz w:val="20"/>
                <w:szCs w:val="20"/>
                <w:lang w:val="en-US"/>
              </w:rPr>
            </w:pPr>
            <w:r w:rsidRPr="00D7771C">
              <w:rPr>
                <w:rFonts w:ascii="Arial" w:hAnsi="Arial" w:cs="Arial"/>
                <w:sz w:val="20"/>
                <w:szCs w:val="20"/>
                <w:lang w:val="en-US"/>
              </w:rPr>
              <w:t xml:space="preserve">ISO 9001: </w:t>
            </w:r>
            <w:r w:rsidRPr="00D7771C">
              <w:rPr>
                <w:rFonts w:ascii="Arial" w:hAnsi="Arial" w:cs="Arial"/>
                <w:sz w:val="20"/>
                <w:szCs w:val="20"/>
              </w:rPr>
              <w:t>2015 (or latest)</w:t>
            </w:r>
            <w:r w:rsidRPr="00D7771C">
              <w:rPr>
                <w:rFonts w:ascii="Arial" w:hAnsi="Arial" w:cs="Arial"/>
                <w:b/>
                <w:sz w:val="20"/>
                <w:szCs w:val="20"/>
              </w:rPr>
              <w:t xml:space="preserve"> </w:t>
            </w:r>
            <w:r w:rsidRPr="00D7771C">
              <w:rPr>
                <w:rFonts w:ascii="Arial" w:hAnsi="Arial" w:cs="Arial"/>
                <w:sz w:val="20"/>
                <w:szCs w:val="20"/>
                <w:lang w:val="en-US"/>
              </w:rPr>
              <w:t xml:space="preserve">accredited </w:t>
            </w:r>
          </w:p>
          <w:p w14:paraId="46420567" w14:textId="77777777" w:rsidR="00160B04" w:rsidRPr="00D7771C" w:rsidRDefault="00160B04" w:rsidP="00E20319">
            <w:pPr>
              <w:spacing w:before="240"/>
              <w:rPr>
                <w:rFonts w:ascii="Arial" w:hAnsi="Arial" w:cs="Arial"/>
                <w:b/>
                <w:sz w:val="20"/>
                <w:szCs w:val="20"/>
              </w:rPr>
            </w:pPr>
            <w:r w:rsidRPr="00D7771C">
              <w:rPr>
                <w:rFonts w:ascii="Arial" w:hAnsi="Arial" w:cs="Arial"/>
                <w:b/>
                <w:sz w:val="20"/>
                <w:szCs w:val="20"/>
                <w:lang w:val="en-US"/>
              </w:rPr>
              <w:t xml:space="preserve">Supplier must provide evidence (ISO 9001 certificate) </w:t>
            </w:r>
          </w:p>
        </w:tc>
        <w:tc>
          <w:tcPr>
            <w:tcW w:w="500" w:type="pct"/>
            <w:vMerge w:val="restart"/>
            <w:vAlign w:val="center"/>
          </w:tcPr>
          <w:p w14:paraId="6DD61070" w14:textId="77777777" w:rsidR="00160B04" w:rsidRPr="00D7771C" w:rsidRDefault="00160B04" w:rsidP="00E20319">
            <w:pPr>
              <w:pStyle w:val="aDSPara"/>
              <w:spacing w:before="60" w:after="60"/>
              <w:ind w:left="0"/>
              <w:jc w:val="center"/>
              <w:rPr>
                <w:rFonts w:eastAsia="MS Mincho" w:cs="Arial"/>
                <w:bCs/>
                <w:color w:val="000000"/>
                <w:sz w:val="20"/>
                <w:szCs w:val="20"/>
              </w:rPr>
            </w:pPr>
            <w:r w:rsidRPr="00D7771C">
              <w:rPr>
                <w:rFonts w:eastAsia="MS Mincho" w:cs="Arial"/>
                <w:bCs/>
                <w:color w:val="000000"/>
                <w:sz w:val="20"/>
                <w:szCs w:val="20"/>
              </w:rPr>
              <w:t>25</w:t>
            </w:r>
          </w:p>
        </w:tc>
        <w:tc>
          <w:tcPr>
            <w:tcW w:w="453" w:type="pct"/>
            <w:vAlign w:val="center"/>
          </w:tcPr>
          <w:p w14:paraId="48419897" w14:textId="77777777" w:rsidR="00160B04" w:rsidRPr="00D7771C" w:rsidRDefault="00160B04" w:rsidP="00E20319">
            <w:pPr>
              <w:pStyle w:val="aDSPara"/>
              <w:spacing w:before="60" w:after="60"/>
              <w:ind w:left="0"/>
              <w:jc w:val="center"/>
              <w:rPr>
                <w:rFonts w:eastAsia="MS Mincho" w:cs="Arial"/>
                <w:sz w:val="20"/>
                <w:szCs w:val="20"/>
              </w:rPr>
            </w:pPr>
            <w:r w:rsidRPr="00D7771C">
              <w:rPr>
                <w:rFonts w:eastAsia="MS Mincho" w:cs="Arial"/>
                <w:sz w:val="20"/>
                <w:szCs w:val="20"/>
              </w:rPr>
              <w:t xml:space="preserve">25 </w:t>
            </w:r>
          </w:p>
        </w:tc>
        <w:tc>
          <w:tcPr>
            <w:tcW w:w="1845" w:type="pct"/>
          </w:tcPr>
          <w:p w14:paraId="1787B518" w14:textId="77777777" w:rsidR="00160B04" w:rsidRPr="00D7771C" w:rsidRDefault="00160B04" w:rsidP="00E20319">
            <w:pPr>
              <w:pStyle w:val="aDSPara"/>
              <w:spacing w:before="60" w:after="60"/>
              <w:ind w:left="0"/>
              <w:jc w:val="left"/>
              <w:rPr>
                <w:rFonts w:cs="Arial"/>
                <w:b/>
                <w:bCs/>
                <w:sz w:val="20"/>
                <w:szCs w:val="20"/>
              </w:rPr>
            </w:pPr>
            <w:r w:rsidRPr="00D7771C">
              <w:rPr>
                <w:rFonts w:cs="Arial"/>
                <w:sz w:val="20"/>
                <w:szCs w:val="20"/>
              </w:rPr>
              <w:t xml:space="preserve">ISO 9001 accreditation </w:t>
            </w:r>
            <w:r w:rsidRPr="00D7771C">
              <w:rPr>
                <w:rFonts w:cs="Arial"/>
                <w:bCs/>
                <w:sz w:val="20"/>
                <w:szCs w:val="20"/>
              </w:rPr>
              <w:t>of supplier if supplier is the OEM of the required product.</w:t>
            </w:r>
            <w:r w:rsidRPr="00D7771C">
              <w:rPr>
                <w:rFonts w:cs="Arial"/>
                <w:b/>
                <w:bCs/>
                <w:sz w:val="20"/>
                <w:szCs w:val="20"/>
              </w:rPr>
              <w:t xml:space="preserve"> </w:t>
            </w:r>
          </w:p>
          <w:p w14:paraId="4C3B2432" w14:textId="77777777" w:rsidR="00160B04" w:rsidRPr="00D7771C" w:rsidRDefault="00160B04" w:rsidP="00E20319">
            <w:pPr>
              <w:pStyle w:val="aDSPara"/>
              <w:spacing w:before="60" w:after="60"/>
              <w:ind w:left="0"/>
              <w:jc w:val="left"/>
              <w:rPr>
                <w:rFonts w:cs="Arial"/>
                <w:b/>
                <w:bCs/>
                <w:sz w:val="20"/>
                <w:szCs w:val="20"/>
              </w:rPr>
            </w:pPr>
            <w:r w:rsidRPr="00D7771C">
              <w:rPr>
                <w:rFonts w:cs="Arial"/>
                <w:b/>
                <w:bCs/>
                <w:sz w:val="20"/>
                <w:szCs w:val="20"/>
              </w:rPr>
              <w:t>OR</w:t>
            </w:r>
          </w:p>
          <w:p w14:paraId="13E88123" w14:textId="77777777" w:rsidR="00160B04" w:rsidRPr="00D7771C" w:rsidRDefault="00160B04" w:rsidP="00E20319">
            <w:pPr>
              <w:pStyle w:val="aDSPara"/>
              <w:spacing w:before="60" w:after="60"/>
              <w:ind w:left="0"/>
              <w:jc w:val="left"/>
              <w:rPr>
                <w:rFonts w:cs="Arial"/>
                <w:bCs/>
                <w:color w:val="FF0000"/>
                <w:sz w:val="20"/>
                <w:szCs w:val="20"/>
              </w:rPr>
            </w:pPr>
            <w:r w:rsidRPr="00D7771C">
              <w:rPr>
                <w:rFonts w:cs="Arial"/>
                <w:bCs/>
                <w:sz w:val="20"/>
                <w:szCs w:val="20"/>
              </w:rPr>
              <w:t xml:space="preserve">ISO 9001 accreditation of OEM if supplier is not the OEM of the required product. </w:t>
            </w:r>
          </w:p>
        </w:tc>
      </w:tr>
      <w:tr w:rsidR="00160B04" w:rsidRPr="00BB0A82" w14:paraId="0FD1A105" w14:textId="77777777" w:rsidTr="008E6A8B">
        <w:trPr>
          <w:cantSplit/>
          <w:trHeight w:val="485"/>
        </w:trPr>
        <w:tc>
          <w:tcPr>
            <w:tcW w:w="345" w:type="pct"/>
            <w:vMerge/>
          </w:tcPr>
          <w:p w14:paraId="225DBBD4" w14:textId="77777777" w:rsidR="00160B04" w:rsidRPr="00D7771C" w:rsidRDefault="00160B04" w:rsidP="00E20319">
            <w:pPr>
              <w:pStyle w:val="aDSPara"/>
              <w:spacing w:before="60" w:after="60"/>
              <w:ind w:left="0"/>
              <w:jc w:val="center"/>
              <w:rPr>
                <w:rFonts w:eastAsia="MS Mincho" w:cs="Arial"/>
                <w:sz w:val="20"/>
                <w:szCs w:val="20"/>
              </w:rPr>
            </w:pPr>
          </w:p>
        </w:tc>
        <w:tc>
          <w:tcPr>
            <w:tcW w:w="1857" w:type="pct"/>
            <w:vMerge/>
          </w:tcPr>
          <w:p w14:paraId="00FB78CE" w14:textId="77777777" w:rsidR="00160B04" w:rsidRPr="00D7771C" w:rsidRDefault="00160B04" w:rsidP="00E20319">
            <w:pPr>
              <w:spacing w:before="240"/>
              <w:rPr>
                <w:rFonts w:ascii="Arial" w:hAnsi="Arial" w:cs="Arial"/>
                <w:sz w:val="20"/>
                <w:szCs w:val="20"/>
                <w:lang w:val="en-US"/>
              </w:rPr>
            </w:pPr>
          </w:p>
        </w:tc>
        <w:tc>
          <w:tcPr>
            <w:tcW w:w="500" w:type="pct"/>
            <w:vMerge/>
            <w:vAlign w:val="center"/>
          </w:tcPr>
          <w:p w14:paraId="4A562092" w14:textId="77777777" w:rsidR="00160B04" w:rsidRPr="00D7771C" w:rsidRDefault="00160B04" w:rsidP="00E20319">
            <w:pPr>
              <w:pStyle w:val="aDSPara"/>
              <w:spacing w:before="60" w:after="60"/>
              <w:ind w:left="0"/>
              <w:jc w:val="center"/>
              <w:rPr>
                <w:rFonts w:eastAsia="MS Mincho" w:cs="Arial"/>
                <w:bCs/>
                <w:color w:val="000000"/>
                <w:sz w:val="20"/>
                <w:szCs w:val="20"/>
              </w:rPr>
            </w:pPr>
          </w:p>
        </w:tc>
        <w:tc>
          <w:tcPr>
            <w:tcW w:w="453" w:type="pct"/>
            <w:vAlign w:val="center"/>
          </w:tcPr>
          <w:p w14:paraId="652C618C" w14:textId="77777777" w:rsidR="00160B04" w:rsidRPr="00D7771C" w:rsidRDefault="00160B04" w:rsidP="00E20319">
            <w:pPr>
              <w:pStyle w:val="aDSPara"/>
              <w:spacing w:before="60" w:after="60"/>
              <w:ind w:left="0"/>
              <w:jc w:val="center"/>
              <w:rPr>
                <w:rFonts w:eastAsia="MS Mincho" w:cs="Arial"/>
                <w:sz w:val="20"/>
                <w:szCs w:val="20"/>
              </w:rPr>
            </w:pPr>
            <w:r w:rsidRPr="00D7771C">
              <w:rPr>
                <w:rFonts w:eastAsia="MS Mincho" w:cs="Arial"/>
                <w:sz w:val="20"/>
                <w:szCs w:val="20"/>
              </w:rPr>
              <w:t>0</w:t>
            </w:r>
          </w:p>
        </w:tc>
        <w:tc>
          <w:tcPr>
            <w:tcW w:w="1845" w:type="pct"/>
            <w:vAlign w:val="center"/>
          </w:tcPr>
          <w:p w14:paraId="72A71B5D" w14:textId="77777777" w:rsidR="00160B04" w:rsidRPr="00D7771C" w:rsidRDefault="00160B04" w:rsidP="00E20319">
            <w:pPr>
              <w:pStyle w:val="aDSPara"/>
              <w:spacing w:before="60" w:after="60"/>
              <w:ind w:left="0"/>
              <w:jc w:val="left"/>
              <w:rPr>
                <w:rFonts w:cs="Arial"/>
                <w:sz w:val="20"/>
                <w:szCs w:val="20"/>
              </w:rPr>
            </w:pPr>
            <w:r w:rsidRPr="00D7771C">
              <w:rPr>
                <w:rFonts w:cs="Arial"/>
                <w:sz w:val="20"/>
                <w:szCs w:val="20"/>
              </w:rPr>
              <w:t>No ISO 9001 accreditation</w:t>
            </w:r>
          </w:p>
        </w:tc>
      </w:tr>
      <w:tr w:rsidR="00A96C52" w:rsidRPr="00BB0A82" w14:paraId="236D28D0" w14:textId="77777777" w:rsidTr="00E20319">
        <w:trPr>
          <w:cantSplit/>
          <w:trHeight w:val="1013"/>
        </w:trPr>
        <w:tc>
          <w:tcPr>
            <w:tcW w:w="345" w:type="pct"/>
            <w:vMerge w:val="restart"/>
            <w:vAlign w:val="center"/>
          </w:tcPr>
          <w:p w14:paraId="781AF562" w14:textId="77777777" w:rsidR="00A96C52" w:rsidRPr="00D7771C" w:rsidRDefault="00A96C52" w:rsidP="00E20319">
            <w:pPr>
              <w:pStyle w:val="aDSPara"/>
              <w:spacing w:before="60" w:after="60"/>
              <w:ind w:left="0"/>
              <w:jc w:val="center"/>
              <w:rPr>
                <w:rFonts w:eastAsia="MS Mincho" w:cs="Arial"/>
                <w:sz w:val="20"/>
                <w:szCs w:val="20"/>
              </w:rPr>
            </w:pPr>
            <w:r w:rsidRPr="00D7771C">
              <w:rPr>
                <w:rFonts w:eastAsia="MS Mincho" w:cs="Arial"/>
                <w:sz w:val="20"/>
                <w:szCs w:val="20"/>
              </w:rPr>
              <w:t>2</w:t>
            </w:r>
          </w:p>
        </w:tc>
        <w:tc>
          <w:tcPr>
            <w:tcW w:w="1857" w:type="pct"/>
            <w:vMerge w:val="restart"/>
            <w:vAlign w:val="center"/>
          </w:tcPr>
          <w:p w14:paraId="3D44B620" w14:textId="77777777" w:rsidR="00A96C52" w:rsidRPr="00D7771C" w:rsidRDefault="00A96C52" w:rsidP="00E20319">
            <w:pPr>
              <w:spacing w:before="240"/>
              <w:rPr>
                <w:rFonts w:ascii="Arial" w:hAnsi="Arial" w:cs="Arial"/>
                <w:b/>
                <w:sz w:val="20"/>
                <w:szCs w:val="20"/>
                <w:lang w:val="en-US"/>
              </w:rPr>
            </w:pPr>
            <w:r w:rsidRPr="00D7771C">
              <w:rPr>
                <w:rFonts w:ascii="Arial" w:hAnsi="Arial" w:cs="Arial"/>
                <w:b/>
                <w:sz w:val="20"/>
                <w:szCs w:val="20"/>
                <w:lang w:val="en-US"/>
              </w:rPr>
              <w:t>Supplier must provide letter referencing after sales service and maintenance</w:t>
            </w:r>
          </w:p>
          <w:p w14:paraId="100BB77B" w14:textId="77777777" w:rsidR="00A96C52" w:rsidRPr="00D7771C" w:rsidRDefault="00A96C52" w:rsidP="00E20319">
            <w:pPr>
              <w:spacing w:before="240"/>
              <w:rPr>
                <w:rFonts w:ascii="Arial" w:hAnsi="Arial" w:cs="Arial"/>
                <w:b/>
                <w:sz w:val="20"/>
                <w:szCs w:val="20"/>
                <w:lang w:val="en-US"/>
              </w:rPr>
            </w:pPr>
            <w:r w:rsidRPr="00D7771C">
              <w:rPr>
                <w:rFonts w:ascii="Arial" w:hAnsi="Arial" w:cs="Arial"/>
                <w:b/>
                <w:sz w:val="20"/>
                <w:szCs w:val="20"/>
              </w:rPr>
              <w:t>NOTE:</w:t>
            </w:r>
            <w:r w:rsidRPr="00D7771C">
              <w:rPr>
                <w:rFonts w:ascii="Arial" w:hAnsi="Arial" w:cs="Arial"/>
                <w:sz w:val="20"/>
                <w:szCs w:val="20"/>
              </w:rPr>
              <w:t xml:space="preserve"> If supplier has a service and repair workshop, but is not the OEM,</w:t>
            </w:r>
            <w:r w:rsidRPr="00D7771C">
              <w:rPr>
                <w:rFonts w:ascii="Arial" w:hAnsi="Arial" w:cs="Arial"/>
                <w:bCs/>
                <w:sz w:val="20"/>
                <w:szCs w:val="20"/>
              </w:rPr>
              <w:t xml:space="preserve"> then an OEM letter is required, listing the local supplier as an authorised service agent for the product in South Africa.</w:t>
            </w:r>
          </w:p>
        </w:tc>
        <w:tc>
          <w:tcPr>
            <w:tcW w:w="500" w:type="pct"/>
            <w:vMerge w:val="restart"/>
            <w:vAlign w:val="center"/>
          </w:tcPr>
          <w:p w14:paraId="2C8A9299" w14:textId="77777777" w:rsidR="00A96C52" w:rsidRPr="00D7771C" w:rsidRDefault="00A96C52" w:rsidP="00E20319">
            <w:pPr>
              <w:pStyle w:val="aDSPara"/>
              <w:spacing w:before="60" w:after="60"/>
              <w:ind w:left="0"/>
              <w:jc w:val="center"/>
              <w:rPr>
                <w:rFonts w:eastAsia="MS Mincho" w:cs="Arial"/>
                <w:bCs/>
                <w:color w:val="000000"/>
                <w:sz w:val="20"/>
                <w:szCs w:val="20"/>
              </w:rPr>
            </w:pPr>
            <w:r w:rsidRPr="00D7771C">
              <w:rPr>
                <w:rFonts w:eastAsia="MS Mincho" w:cs="Arial"/>
                <w:bCs/>
                <w:color w:val="000000"/>
                <w:sz w:val="20"/>
                <w:szCs w:val="20"/>
              </w:rPr>
              <w:t xml:space="preserve">25 </w:t>
            </w:r>
          </w:p>
        </w:tc>
        <w:tc>
          <w:tcPr>
            <w:tcW w:w="453" w:type="pct"/>
            <w:vAlign w:val="center"/>
          </w:tcPr>
          <w:p w14:paraId="5B26B1CD" w14:textId="77777777" w:rsidR="00A96C52" w:rsidRPr="00D7771C" w:rsidRDefault="00A96C52" w:rsidP="00E20319">
            <w:pPr>
              <w:pStyle w:val="aDSPara"/>
              <w:spacing w:before="60" w:after="60"/>
              <w:ind w:left="0"/>
              <w:jc w:val="center"/>
              <w:rPr>
                <w:rFonts w:cs="Arial"/>
                <w:sz w:val="20"/>
                <w:szCs w:val="20"/>
              </w:rPr>
            </w:pPr>
            <w:r w:rsidRPr="00D7771C">
              <w:rPr>
                <w:rFonts w:cs="Arial"/>
                <w:sz w:val="20"/>
                <w:szCs w:val="20"/>
              </w:rPr>
              <w:t>25</w:t>
            </w:r>
          </w:p>
        </w:tc>
        <w:tc>
          <w:tcPr>
            <w:tcW w:w="1845" w:type="pct"/>
            <w:vAlign w:val="center"/>
          </w:tcPr>
          <w:p w14:paraId="767FE47B" w14:textId="77777777" w:rsidR="00A96C52" w:rsidRPr="00D7771C" w:rsidRDefault="00A96C52" w:rsidP="00E20319">
            <w:pPr>
              <w:pStyle w:val="aDSPara"/>
              <w:spacing w:before="60" w:after="60"/>
              <w:ind w:left="0"/>
              <w:jc w:val="left"/>
              <w:rPr>
                <w:rFonts w:cs="Arial"/>
                <w:sz w:val="20"/>
                <w:szCs w:val="20"/>
              </w:rPr>
            </w:pPr>
            <w:r w:rsidRPr="00D7771C">
              <w:rPr>
                <w:rFonts w:cs="Arial"/>
                <w:sz w:val="20"/>
                <w:szCs w:val="20"/>
              </w:rPr>
              <w:t>Supplier has a service and repair workshop and holds critical spares as stock items</w:t>
            </w:r>
          </w:p>
        </w:tc>
      </w:tr>
      <w:tr w:rsidR="00A96C52" w:rsidRPr="00BB0A82" w14:paraId="03F70D93" w14:textId="77777777" w:rsidTr="00E20319">
        <w:trPr>
          <w:cantSplit/>
          <w:trHeight w:val="1013"/>
        </w:trPr>
        <w:tc>
          <w:tcPr>
            <w:tcW w:w="345" w:type="pct"/>
            <w:vMerge/>
          </w:tcPr>
          <w:p w14:paraId="2DC37D38" w14:textId="77777777" w:rsidR="00A96C52" w:rsidRPr="00D7771C" w:rsidRDefault="00A96C52" w:rsidP="00E20319">
            <w:pPr>
              <w:pStyle w:val="aDSPara"/>
              <w:spacing w:before="60" w:after="60"/>
              <w:ind w:left="0"/>
              <w:jc w:val="center"/>
              <w:rPr>
                <w:rFonts w:eastAsia="MS Mincho" w:cs="Arial"/>
                <w:sz w:val="20"/>
                <w:szCs w:val="20"/>
              </w:rPr>
            </w:pPr>
          </w:p>
        </w:tc>
        <w:tc>
          <w:tcPr>
            <w:tcW w:w="1857" w:type="pct"/>
            <w:vMerge/>
          </w:tcPr>
          <w:p w14:paraId="3FA79606" w14:textId="77777777" w:rsidR="00A96C52" w:rsidRPr="00D7771C" w:rsidRDefault="00A96C52" w:rsidP="00E20319">
            <w:pPr>
              <w:spacing w:before="240"/>
              <w:rPr>
                <w:rFonts w:ascii="Arial" w:hAnsi="Arial" w:cs="Arial"/>
                <w:sz w:val="20"/>
                <w:szCs w:val="20"/>
                <w:lang w:val="en-US"/>
              </w:rPr>
            </w:pPr>
          </w:p>
        </w:tc>
        <w:tc>
          <w:tcPr>
            <w:tcW w:w="500" w:type="pct"/>
            <w:vMerge/>
            <w:vAlign w:val="center"/>
          </w:tcPr>
          <w:p w14:paraId="1B33455D" w14:textId="77777777" w:rsidR="00A96C52" w:rsidRPr="00D7771C" w:rsidRDefault="00A96C52" w:rsidP="00E20319">
            <w:pPr>
              <w:pStyle w:val="aDSPara"/>
              <w:spacing w:before="60" w:after="60"/>
              <w:ind w:left="0"/>
              <w:jc w:val="center"/>
              <w:rPr>
                <w:rFonts w:eastAsia="MS Mincho" w:cs="Arial"/>
                <w:bCs/>
                <w:color w:val="000000"/>
                <w:sz w:val="20"/>
                <w:szCs w:val="20"/>
              </w:rPr>
            </w:pPr>
          </w:p>
        </w:tc>
        <w:tc>
          <w:tcPr>
            <w:tcW w:w="453" w:type="pct"/>
            <w:vAlign w:val="center"/>
          </w:tcPr>
          <w:p w14:paraId="18F8CAD1" w14:textId="77777777" w:rsidR="00A96C52" w:rsidRPr="00D7771C" w:rsidRDefault="00A96C52" w:rsidP="00E20319">
            <w:pPr>
              <w:pStyle w:val="aDSPara"/>
              <w:spacing w:before="60" w:after="60"/>
              <w:ind w:left="0"/>
              <w:jc w:val="center"/>
              <w:rPr>
                <w:rFonts w:cs="Arial"/>
                <w:sz w:val="20"/>
                <w:szCs w:val="20"/>
              </w:rPr>
            </w:pPr>
            <w:r w:rsidRPr="00D7771C">
              <w:rPr>
                <w:rFonts w:cs="Arial"/>
                <w:sz w:val="20"/>
                <w:szCs w:val="20"/>
              </w:rPr>
              <w:t>15</w:t>
            </w:r>
          </w:p>
        </w:tc>
        <w:tc>
          <w:tcPr>
            <w:tcW w:w="1845" w:type="pct"/>
            <w:vAlign w:val="center"/>
          </w:tcPr>
          <w:p w14:paraId="1B897916" w14:textId="77777777" w:rsidR="00A96C52" w:rsidRPr="00D7771C" w:rsidRDefault="00A96C52" w:rsidP="00E20319">
            <w:pPr>
              <w:pStyle w:val="aDSPara"/>
              <w:spacing w:before="60" w:after="60"/>
              <w:ind w:left="0"/>
              <w:jc w:val="left"/>
              <w:rPr>
                <w:rFonts w:cs="Arial"/>
                <w:sz w:val="20"/>
                <w:szCs w:val="20"/>
              </w:rPr>
            </w:pPr>
            <w:r w:rsidRPr="00D7771C">
              <w:rPr>
                <w:rFonts w:cs="Arial"/>
                <w:sz w:val="20"/>
                <w:szCs w:val="20"/>
              </w:rPr>
              <w:t>Supplier has a service and repair workshop but does not hold critical spares as stock items</w:t>
            </w:r>
          </w:p>
        </w:tc>
      </w:tr>
      <w:tr w:rsidR="00A96C52" w:rsidRPr="00BB0A82" w14:paraId="6811DBC8" w14:textId="77777777" w:rsidTr="00E20319">
        <w:trPr>
          <w:cantSplit/>
          <w:trHeight w:val="924"/>
        </w:trPr>
        <w:tc>
          <w:tcPr>
            <w:tcW w:w="345" w:type="pct"/>
            <w:vMerge/>
          </w:tcPr>
          <w:p w14:paraId="37D065F1" w14:textId="77777777" w:rsidR="00A96C52" w:rsidRPr="00D7771C" w:rsidRDefault="00A96C52" w:rsidP="00E20319">
            <w:pPr>
              <w:pStyle w:val="aDSPara"/>
              <w:spacing w:before="60" w:after="60"/>
              <w:ind w:left="0"/>
              <w:jc w:val="center"/>
              <w:rPr>
                <w:rFonts w:eastAsia="MS Mincho" w:cs="Arial"/>
                <w:sz w:val="20"/>
                <w:szCs w:val="20"/>
              </w:rPr>
            </w:pPr>
          </w:p>
        </w:tc>
        <w:tc>
          <w:tcPr>
            <w:tcW w:w="1857" w:type="pct"/>
            <w:vMerge/>
          </w:tcPr>
          <w:p w14:paraId="50E3A877" w14:textId="77777777" w:rsidR="00A96C52" w:rsidRPr="00D7771C" w:rsidRDefault="00A96C52" w:rsidP="00E20319">
            <w:pPr>
              <w:spacing w:before="240"/>
              <w:rPr>
                <w:rFonts w:ascii="Arial" w:hAnsi="Arial" w:cs="Arial"/>
                <w:sz w:val="20"/>
                <w:szCs w:val="20"/>
                <w:lang w:val="en-US"/>
              </w:rPr>
            </w:pPr>
          </w:p>
        </w:tc>
        <w:tc>
          <w:tcPr>
            <w:tcW w:w="500" w:type="pct"/>
            <w:vMerge/>
            <w:vAlign w:val="center"/>
          </w:tcPr>
          <w:p w14:paraId="48C2B5DF" w14:textId="77777777" w:rsidR="00A96C52" w:rsidRPr="00D7771C" w:rsidRDefault="00A96C52" w:rsidP="00E20319">
            <w:pPr>
              <w:pStyle w:val="aDSPara"/>
              <w:spacing w:before="60" w:after="60"/>
              <w:ind w:left="0"/>
              <w:jc w:val="center"/>
              <w:rPr>
                <w:rFonts w:eastAsia="MS Mincho" w:cs="Arial"/>
                <w:bCs/>
                <w:color w:val="000000"/>
                <w:sz w:val="20"/>
                <w:szCs w:val="20"/>
              </w:rPr>
            </w:pPr>
          </w:p>
        </w:tc>
        <w:tc>
          <w:tcPr>
            <w:tcW w:w="453" w:type="pct"/>
            <w:vAlign w:val="center"/>
          </w:tcPr>
          <w:p w14:paraId="70C80147" w14:textId="77777777" w:rsidR="00A96C52" w:rsidRPr="00D7771C" w:rsidRDefault="00A96C52" w:rsidP="00E20319">
            <w:pPr>
              <w:pStyle w:val="aDSPara"/>
              <w:spacing w:before="60" w:after="60"/>
              <w:ind w:left="0"/>
              <w:jc w:val="center"/>
              <w:rPr>
                <w:rFonts w:cs="Arial"/>
                <w:sz w:val="20"/>
                <w:szCs w:val="20"/>
              </w:rPr>
            </w:pPr>
            <w:r w:rsidRPr="00D7771C">
              <w:rPr>
                <w:rFonts w:cs="Arial"/>
                <w:sz w:val="20"/>
                <w:szCs w:val="20"/>
              </w:rPr>
              <w:t>10</w:t>
            </w:r>
          </w:p>
        </w:tc>
        <w:tc>
          <w:tcPr>
            <w:tcW w:w="1845" w:type="pct"/>
            <w:vAlign w:val="center"/>
          </w:tcPr>
          <w:p w14:paraId="43E5F5C2" w14:textId="5A34129B" w:rsidR="00A96C52" w:rsidRPr="00D7771C" w:rsidRDefault="00A96C52" w:rsidP="00E20319">
            <w:pPr>
              <w:pStyle w:val="aDSPara"/>
              <w:spacing w:before="60" w:after="60"/>
              <w:ind w:left="0"/>
              <w:jc w:val="left"/>
              <w:rPr>
                <w:rFonts w:cs="Arial"/>
                <w:sz w:val="20"/>
                <w:szCs w:val="20"/>
              </w:rPr>
            </w:pPr>
            <w:r w:rsidRPr="00D7771C">
              <w:rPr>
                <w:rFonts w:cs="Arial"/>
                <w:sz w:val="20"/>
                <w:szCs w:val="20"/>
              </w:rPr>
              <w:t xml:space="preserve">Supplier outsources service and repair </w:t>
            </w:r>
            <w:r>
              <w:rPr>
                <w:rFonts w:cs="Arial"/>
                <w:sz w:val="20"/>
                <w:szCs w:val="20"/>
              </w:rPr>
              <w:t xml:space="preserve">and </w:t>
            </w:r>
            <w:r w:rsidRPr="00D7771C">
              <w:rPr>
                <w:rFonts w:cs="Arial"/>
                <w:sz w:val="20"/>
                <w:szCs w:val="20"/>
              </w:rPr>
              <w:t>does not hold critical spares as stock items</w:t>
            </w:r>
          </w:p>
        </w:tc>
      </w:tr>
      <w:tr w:rsidR="00A96C52" w:rsidRPr="00BB0A82" w14:paraId="4298ED88" w14:textId="77777777" w:rsidTr="008E6A8B">
        <w:trPr>
          <w:cantSplit/>
          <w:trHeight w:val="549"/>
        </w:trPr>
        <w:tc>
          <w:tcPr>
            <w:tcW w:w="345" w:type="pct"/>
            <w:vMerge/>
          </w:tcPr>
          <w:p w14:paraId="61F3099C" w14:textId="77777777" w:rsidR="00A96C52" w:rsidRPr="00D7771C" w:rsidRDefault="00A96C52" w:rsidP="00E20319">
            <w:pPr>
              <w:pStyle w:val="aDSPara"/>
              <w:spacing w:before="60" w:after="60"/>
              <w:ind w:left="0"/>
              <w:jc w:val="center"/>
              <w:rPr>
                <w:rFonts w:eastAsia="MS Mincho" w:cs="Arial"/>
                <w:sz w:val="20"/>
                <w:szCs w:val="20"/>
              </w:rPr>
            </w:pPr>
          </w:p>
        </w:tc>
        <w:tc>
          <w:tcPr>
            <w:tcW w:w="1857" w:type="pct"/>
            <w:vMerge/>
          </w:tcPr>
          <w:p w14:paraId="43C48BE0" w14:textId="77777777" w:rsidR="00A96C52" w:rsidRPr="00D7771C" w:rsidRDefault="00A96C52" w:rsidP="00E20319">
            <w:pPr>
              <w:spacing w:before="240"/>
              <w:rPr>
                <w:rFonts w:ascii="Arial" w:hAnsi="Arial" w:cs="Arial"/>
                <w:sz w:val="20"/>
                <w:szCs w:val="20"/>
                <w:lang w:val="en-US"/>
              </w:rPr>
            </w:pPr>
          </w:p>
        </w:tc>
        <w:tc>
          <w:tcPr>
            <w:tcW w:w="500" w:type="pct"/>
            <w:vMerge/>
            <w:vAlign w:val="center"/>
          </w:tcPr>
          <w:p w14:paraId="6636E0EC" w14:textId="77777777" w:rsidR="00A96C52" w:rsidRPr="00D7771C" w:rsidRDefault="00A96C52" w:rsidP="00E20319">
            <w:pPr>
              <w:pStyle w:val="aDSPara"/>
              <w:spacing w:before="60" w:after="60"/>
              <w:ind w:left="0"/>
              <w:jc w:val="center"/>
              <w:rPr>
                <w:rFonts w:eastAsia="MS Mincho" w:cs="Arial"/>
                <w:bCs/>
                <w:color w:val="000000"/>
                <w:sz w:val="20"/>
                <w:szCs w:val="20"/>
              </w:rPr>
            </w:pPr>
          </w:p>
        </w:tc>
        <w:tc>
          <w:tcPr>
            <w:tcW w:w="453" w:type="pct"/>
            <w:vAlign w:val="center"/>
          </w:tcPr>
          <w:p w14:paraId="625FA1B0" w14:textId="226375AF" w:rsidR="00A96C52" w:rsidRPr="00D7771C" w:rsidRDefault="00A96C52" w:rsidP="00E20319">
            <w:pPr>
              <w:pStyle w:val="aDSPara"/>
              <w:spacing w:before="60" w:after="60"/>
              <w:ind w:left="0"/>
              <w:jc w:val="center"/>
              <w:rPr>
                <w:rFonts w:cs="Arial"/>
                <w:sz w:val="20"/>
                <w:szCs w:val="20"/>
              </w:rPr>
            </w:pPr>
            <w:r>
              <w:rPr>
                <w:rFonts w:cs="Arial"/>
                <w:sz w:val="20"/>
                <w:szCs w:val="20"/>
              </w:rPr>
              <w:t>0</w:t>
            </w:r>
          </w:p>
        </w:tc>
        <w:tc>
          <w:tcPr>
            <w:tcW w:w="1845" w:type="pct"/>
            <w:vAlign w:val="center"/>
          </w:tcPr>
          <w:p w14:paraId="09CAC29E" w14:textId="7DE3ACA7" w:rsidR="00A96C52" w:rsidRPr="00D7771C" w:rsidRDefault="00A96C52" w:rsidP="00E20319">
            <w:pPr>
              <w:pStyle w:val="aDSPara"/>
              <w:spacing w:before="60" w:after="60"/>
              <w:ind w:left="0"/>
              <w:jc w:val="left"/>
              <w:rPr>
                <w:rFonts w:cs="Arial"/>
                <w:sz w:val="20"/>
                <w:szCs w:val="20"/>
              </w:rPr>
            </w:pPr>
            <w:r>
              <w:rPr>
                <w:rFonts w:cs="Arial"/>
                <w:sz w:val="20"/>
                <w:szCs w:val="20"/>
              </w:rPr>
              <w:t>Supplier offers no after-sales service</w:t>
            </w:r>
          </w:p>
        </w:tc>
      </w:tr>
      <w:tr w:rsidR="00AE3D34" w:rsidRPr="00BB0A82" w14:paraId="70D0940B" w14:textId="77777777" w:rsidTr="008E6A8B">
        <w:trPr>
          <w:cantSplit/>
          <w:trHeight w:val="429"/>
        </w:trPr>
        <w:tc>
          <w:tcPr>
            <w:tcW w:w="345" w:type="pct"/>
            <w:vMerge w:val="restart"/>
            <w:vAlign w:val="center"/>
          </w:tcPr>
          <w:p w14:paraId="10296C5D" w14:textId="77777777" w:rsidR="00AE3D34" w:rsidRPr="00D7771C" w:rsidRDefault="00AE3D34" w:rsidP="00E20319">
            <w:pPr>
              <w:pStyle w:val="aDSPara"/>
              <w:spacing w:before="60" w:after="60"/>
              <w:ind w:left="0"/>
              <w:jc w:val="center"/>
              <w:rPr>
                <w:rFonts w:eastAsia="MS Mincho" w:cs="Arial"/>
                <w:sz w:val="20"/>
                <w:szCs w:val="20"/>
              </w:rPr>
            </w:pPr>
            <w:r w:rsidRPr="00D7771C">
              <w:rPr>
                <w:rFonts w:eastAsia="MS Mincho" w:cs="Arial"/>
                <w:sz w:val="18"/>
                <w:szCs w:val="18"/>
              </w:rPr>
              <w:t>3</w:t>
            </w:r>
          </w:p>
        </w:tc>
        <w:tc>
          <w:tcPr>
            <w:tcW w:w="1857" w:type="pct"/>
            <w:vMerge w:val="restart"/>
            <w:vAlign w:val="center"/>
          </w:tcPr>
          <w:p w14:paraId="202EE40F" w14:textId="77777777" w:rsidR="00AE3D34" w:rsidRPr="00D7771C" w:rsidRDefault="00AE3D34" w:rsidP="00E20319">
            <w:pPr>
              <w:spacing w:before="240"/>
              <w:rPr>
                <w:rFonts w:ascii="Arial" w:hAnsi="Arial" w:cs="Arial"/>
                <w:sz w:val="20"/>
                <w:szCs w:val="20"/>
                <w:lang w:val="en-US"/>
              </w:rPr>
            </w:pPr>
            <w:r w:rsidRPr="00D7771C">
              <w:rPr>
                <w:rFonts w:ascii="Arial" w:hAnsi="Arial" w:cs="Arial"/>
                <w:sz w:val="20"/>
                <w:szCs w:val="20"/>
                <w:lang w:val="en-US"/>
              </w:rPr>
              <w:t>Supplier lead-time</w:t>
            </w:r>
          </w:p>
          <w:p w14:paraId="41EFD6BC" w14:textId="77777777" w:rsidR="00AE3D34" w:rsidRPr="00D7771C" w:rsidRDefault="00AE3D34" w:rsidP="00E20319">
            <w:pPr>
              <w:spacing w:before="240"/>
              <w:rPr>
                <w:rFonts w:ascii="Arial" w:hAnsi="Arial" w:cs="Arial"/>
                <w:sz w:val="20"/>
                <w:szCs w:val="20"/>
                <w:lang w:val="en-US"/>
              </w:rPr>
            </w:pPr>
            <w:r w:rsidRPr="00D7771C">
              <w:rPr>
                <w:rFonts w:ascii="Arial" w:hAnsi="Arial" w:cs="Arial"/>
                <w:b/>
                <w:sz w:val="20"/>
                <w:szCs w:val="20"/>
                <w:lang w:val="en-US"/>
              </w:rPr>
              <w:t>Supplier must specify lead-time</w:t>
            </w:r>
          </w:p>
        </w:tc>
        <w:tc>
          <w:tcPr>
            <w:tcW w:w="500" w:type="pct"/>
            <w:vMerge w:val="restart"/>
            <w:vAlign w:val="center"/>
          </w:tcPr>
          <w:p w14:paraId="290DC87C" w14:textId="77777777" w:rsidR="00AE3D34" w:rsidRPr="00D7771C" w:rsidRDefault="00AE3D34" w:rsidP="00E20319">
            <w:pPr>
              <w:pStyle w:val="aDSPara"/>
              <w:spacing w:before="60" w:after="60"/>
              <w:ind w:left="0"/>
              <w:jc w:val="center"/>
              <w:rPr>
                <w:rFonts w:eastAsia="MS Mincho" w:cs="Arial"/>
                <w:bCs/>
                <w:color w:val="000000"/>
                <w:sz w:val="20"/>
                <w:szCs w:val="20"/>
              </w:rPr>
            </w:pPr>
            <w:r w:rsidRPr="00D7771C">
              <w:rPr>
                <w:rFonts w:eastAsia="MS Mincho" w:cs="Arial"/>
                <w:bCs/>
                <w:color w:val="000000"/>
                <w:sz w:val="20"/>
                <w:szCs w:val="20"/>
              </w:rPr>
              <w:t xml:space="preserve">25 </w:t>
            </w:r>
          </w:p>
        </w:tc>
        <w:tc>
          <w:tcPr>
            <w:tcW w:w="453" w:type="pct"/>
            <w:vAlign w:val="center"/>
          </w:tcPr>
          <w:p w14:paraId="10D0FCE4" w14:textId="77777777" w:rsidR="00AE3D34" w:rsidRPr="00D7771C" w:rsidRDefault="00AE3D34" w:rsidP="00E20319">
            <w:pPr>
              <w:pStyle w:val="aDSPara"/>
              <w:spacing w:before="60" w:after="60"/>
              <w:ind w:left="0"/>
              <w:jc w:val="center"/>
              <w:rPr>
                <w:rFonts w:eastAsia="MS Mincho" w:cs="Arial"/>
                <w:sz w:val="20"/>
                <w:szCs w:val="20"/>
              </w:rPr>
            </w:pPr>
            <w:r w:rsidRPr="00D7771C">
              <w:rPr>
                <w:rFonts w:eastAsia="MS Mincho" w:cs="Arial"/>
                <w:sz w:val="20"/>
                <w:szCs w:val="20"/>
              </w:rPr>
              <w:t>25</w:t>
            </w:r>
          </w:p>
        </w:tc>
        <w:tc>
          <w:tcPr>
            <w:tcW w:w="1845" w:type="pct"/>
          </w:tcPr>
          <w:p w14:paraId="3C826103" w14:textId="77777777" w:rsidR="00AE3D34" w:rsidRPr="00D7771C" w:rsidRDefault="00AE3D34" w:rsidP="008E6A8B">
            <w:pPr>
              <w:pStyle w:val="aDSPara"/>
              <w:spacing w:before="60" w:after="60" w:line="240" w:lineRule="auto"/>
              <w:ind w:left="0"/>
              <w:jc w:val="left"/>
              <w:rPr>
                <w:rFonts w:cs="Arial"/>
                <w:sz w:val="20"/>
                <w:szCs w:val="20"/>
              </w:rPr>
            </w:pPr>
            <w:r w:rsidRPr="00D7771C">
              <w:rPr>
                <w:rFonts w:cs="Arial"/>
                <w:sz w:val="20"/>
                <w:szCs w:val="20"/>
              </w:rPr>
              <w:t>Product available within 4 weeks of issue of Purchase Order</w:t>
            </w:r>
          </w:p>
        </w:tc>
      </w:tr>
      <w:tr w:rsidR="00AE3D34" w:rsidRPr="00BB0A82" w14:paraId="5F7A0CB5" w14:textId="77777777" w:rsidTr="00E20319">
        <w:trPr>
          <w:cantSplit/>
          <w:trHeight w:val="180"/>
        </w:trPr>
        <w:tc>
          <w:tcPr>
            <w:tcW w:w="345" w:type="pct"/>
            <w:vMerge/>
            <w:vAlign w:val="center"/>
          </w:tcPr>
          <w:p w14:paraId="0CCC4FAD" w14:textId="77777777" w:rsidR="00AE3D34" w:rsidRPr="00D7771C" w:rsidRDefault="00AE3D34" w:rsidP="00E20319">
            <w:pPr>
              <w:pStyle w:val="aDSPara"/>
              <w:spacing w:before="60" w:after="60"/>
              <w:ind w:left="0"/>
              <w:jc w:val="center"/>
              <w:rPr>
                <w:rFonts w:eastAsia="MS Mincho" w:cs="Arial"/>
                <w:sz w:val="18"/>
                <w:szCs w:val="18"/>
              </w:rPr>
            </w:pPr>
          </w:p>
        </w:tc>
        <w:tc>
          <w:tcPr>
            <w:tcW w:w="1857" w:type="pct"/>
            <w:vMerge/>
          </w:tcPr>
          <w:p w14:paraId="1519660F" w14:textId="77777777" w:rsidR="00AE3D34" w:rsidRPr="00D7771C" w:rsidRDefault="00AE3D34" w:rsidP="00E20319">
            <w:pPr>
              <w:spacing w:before="240"/>
              <w:rPr>
                <w:rFonts w:ascii="Arial" w:hAnsi="Arial" w:cs="Arial"/>
                <w:sz w:val="20"/>
                <w:szCs w:val="20"/>
                <w:lang w:val="en-US"/>
              </w:rPr>
            </w:pPr>
          </w:p>
        </w:tc>
        <w:tc>
          <w:tcPr>
            <w:tcW w:w="500" w:type="pct"/>
            <w:vMerge/>
            <w:vAlign w:val="center"/>
          </w:tcPr>
          <w:p w14:paraId="0A6D087F" w14:textId="77777777" w:rsidR="00AE3D34" w:rsidRPr="00D7771C" w:rsidRDefault="00AE3D34" w:rsidP="00E20319">
            <w:pPr>
              <w:pStyle w:val="aDSPara"/>
              <w:spacing w:before="60" w:after="60"/>
              <w:ind w:left="0"/>
              <w:jc w:val="center"/>
              <w:rPr>
                <w:rFonts w:eastAsia="MS Mincho" w:cs="Arial"/>
                <w:bCs/>
                <w:color w:val="000000"/>
                <w:sz w:val="20"/>
                <w:szCs w:val="20"/>
              </w:rPr>
            </w:pPr>
          </w:p>
        </w:tc>
        <w:tc>
          <w:tcPr>
            <w:tcW w:w="453" w:type="pct"/>
            <w:vAlign w:val="center"/>
          </w:tcPr>
          <w:p w14:paraId="13EBA8B6" w14:textId="77777777" w:rsidR="00AE3D34" w:rsidRPr="00D7771C" w:rsidRDefault="00AE3D34" w:rsidP="00E20319">
            <w:pPr>
              <w:pStyle w:val="aDSPara"/>
              <w:spacing w:before="60" w:after="60"/>
              <w:ind w:left="0"/>
              <w:jc w:val="center"/>
              <w:rPr>
                <w:rFonts w:eastAsia="MS Mincho" w:cs="Arial"/>
                <w:sz w:val="20"/>
                <w:szCs w:val="20"/>
              </w:rPr>
            </w:pPr>
            <w:r w:rsidRPr="00D7771C">
              <w:rPr>
                <w:rFonts w:eastAsia="MS Mincho" w:cs="Arial"/>
                <w:sz w:val="20"/>
                <w:szCs w:val="20"/>
              </w:rPr>
              <w:t>15</w:t>
            </w:r>
          </w:p>
        </w:tc>
        <w:tc>
          <w:tcPr>
            <w:tcW w:w="1845" w:type="pct"/>
          </w:tcPr>
          <w:p w14:paraId="52B406E9" w14:textId="77777777" w:rsidR="00AE3D34" w:rsidRPr="00D7771C" w:rsidRDefault="00AE3D34" w:rsidP="008E6A8B">
            <w:pPr>
              <w:pStyle w:val="aDSPara"/>
              <w:spacing w:before="60" w:after="60" w:line="240" w:lineRule="auto"/>
              <w:ind w:left="0"/>
              <w:jc w:val="left"/>
              <w:rPr>
                <w:rFonts w:cs="Arial"/>
                <w:sz w:val="20"/>
                <w:szCs w:val="20"/>
              </w:rPr>
            </w:pPr>
            <w:r w:rsidRPr="00D7771C">
              <w:rPr>
                <w:rFonts w:cs="Arial"/>
                <w:sz w:val="20"/>
                <w:szCs w:val="20"/>
              </w:rPr>
              <w:t>Product available within 6 weeks of issue of Purchase Order</w:t>
            </w:r>
          </w:p>
        </w:tc>
      </w:tr>
      <w:tr w:rsidR="00AE3D34" w:rsidRPr="00BB0A82" w14:paraId="01180033" w14:textId="77777777" w:rsidTr="00E20319">
        <w:trPr>
          <w:cantSplit/>
          <w:trHeight w:val="180"/>
        </w:trPr>
        <w:tc>
          <w:tcPr>
            <w:tcW w:w="345" w:type="pct"/>
            <w:vMerge/>
            <w:vAlign w:val="center"/>
          </w:tcPr>
          <w:p w14:paraId="68466374" w14:textId="77777777" w:rsidR="00AE3D34" w:rsidRPr="00D7771C" w:rsidRDefault="00AE3D34" w:rsidP="00E20319">
            <w:pPr>
              <w:pStyle w:val="aDSPara"/>
              <w:spacing w:before="60" w:after="60"/>
              <w:ind w:left="0"/>
              <w:jc w:val="center"/>
              <w:rPr>
                <w:rFonts w:eastAsia="MS Mincho" w:cs="Arial"/>
                <w:sz w:val="18"/>
                <w:szCs w:val="18"/>
              </w:rPr>
            </w:pPr>
          </w:p>
        </w:tc>
        <w:tc>
          <w:tcPr>
            <w:tcW w:w="1857" w:type="pct"/>
            <w:vMerge/>
          </w:tcPr>
          <w:p w14:paraId="6F6241F6" w14:textId="77777777" w:rsidR="00AE3D34" w:rsidRPr="00D7771C" w:rsidRDefault="00AE3D34" w:rsidP="00E20319">
            <w:pPr>
              <w:spacing w:before="240"/>
              <w:rPr>
                <w:rFonts w:ascii="Arial" w:hAnsi="Arial" w:cs="Arial"/>
                <w:sz w:val="20"/>
                <w:szCs w:val="20"/>
                <w:lang w:val="en-US"/>
              </w:rPr>
            </w:pPr>
          </w:p>
        </w:tc>
        <w:tc>
          <w:tcPr>
            <w:tcW w:w="500" w:type="pct"/>
            <w:vMerge/>
            <w:vAlign w:val="center"/>
          </w:tcPr>
          <w:p w14:paraId="27897EFE" w14:textId="77777777" w:rsidR="00AE3D34" w:rsidRPr="00D7771C" w:rsidRDefault="00AE3D34" w:rsidP="00E20319">
            <w:pPr>
              <w:pStyle w:val="aDSPara"/>
              <w:spacing w:before="60" w:after="60"/>
              <w:ind w:left="0"/>
              <w:jc w:val="center"/>
              <w:rPr>
                <w:rFonts w:eastAsia="MS Mincho" w:cs="Arial"/>
                <w:bCs/>
                <w:color w:val="000000"/>
                <w:sz w:val="20"/>
                <w:szCs w:val="20"/>
              </w:rPr>
            </w:pPr>
          </w:p>
        </w:tc>
        <w:tc>
          <w:tcPr>
            <w:tcW w:w="453" w:type="pct"/>
            <w:vAlign w:val="center"/>
          </w:tcPr>
          <w:p w14:paraId="60D99D3B" w14:textId="77777777" w:rsidR="00AE3D34" w:rsidRPr="00D7771C" w:rsidRDefault="00AE3D34" w:rsidP="00E20319">
            <w:pPr>
              <w:pStyle w:val="aDSPara"/>
              <w:spacing w:before="60" w:after="60"/>
              <w:ind w:left="0"/>
              <w:jc w:val="center"/>
              <w:rPr>
                <w:rFonts w:eastAsia="MS Mincho" w:cs="Arial"/>
                <w:sz w:val="20"/>
                <w:szCs w:val="20"/>
              </w:rPr>
            </w:pPr>
            <w:r w:rsidRPr="00D7771C">
              <w:rPr>
                <w:rFonts w:eastAsia="MS Mincho" w:cs="Arial"/>
                <w:sz w:val="20"/>
                <w:szCs w:val="20"/>
              </w:rPr>
              <w:t>10</w:t>
            </w:r>
          </w:p>
        </w:tc>
        <w:tc>
          <w:tcPr>
            <w:tcW w:w="1845" w:type="pct"/>
          </w:tcPr>
          <w:p w14:paraId="1771BACD" w14:textId="77777777" w:rsidR="00AE3D34" w:rsidRPr="00D7771C" w:rsidRDefault="00AE3D34" w:rsidP="008E6A8B">
            <w:pPr>
              <w:pStyle w:val="aDSPara"/>
              <w:spacing w:before="60" w:after="60" w:line="240" w:lineRule="auto"/>
              <w:ind w:left="0"/>
              <w:jc w:val="left"/>
              <w:rPr>
                <w:rFonts w:cs="Arial"/>
                <w:sz w:val="20"/>
                <w:szCs w:val="20"/>
              </w:rPr>
            </w:pPr>
            <w:r w:rsidRPr="00D7771C">
              <w:rPr>
                <w:rFonts w:cs="Arial"/>
                <w:sz w:val="20"/>
                <w:szCs w:val="20"/>
              </w:rPr>
              <w:t>Product available within 8 weeks of issue of Purchase Order</w:t>
            </w:r>
          </w:p>
        </w:tc>
      </w:tr>
      <w:tr w:rsidR="00AE3D34" w:rsidRPr="00BB0A82" w14:paraId="474631CE" w14:textId="77777777" w:rsidTr="00AE3D34">
        <w:trPr>
          <w:cantSplit/>
          <w:trHeight w:val="531"/>
        </w:trPr>
        <w:tc>
          <w:tcPr>
            <w:tcW w:w="345" w:type="pct"/>
            <w:vMerge/>
            <w:vAlign w:val="center"/>
          </w:tcPr>
          <w:p w14:paraId="11BEAC48" w14:textId="77777777" w:rsidR="00AE3D34" w:rsidRPr="00D7771C" w:rsidRDefault="00AE3D34" w:rsidP="00E20319">
            <w:pPr>
              <w:pStyle w:val="aDSPara"/>
              <w:spacing w:before="60" w:after="60"/>
              <w:ind w:left="0"/>
              <w:jc w:val="center"/>
              <w:rPr>
                <w:rFonts w:eastAsia="MS Mincho" w:cs="Arial"/>
                <w:sz w:val="18"/>
                <w:szCs w:val="18"/>
              </w:rPr>
            </w:pPr>
          </w:p>
        </w:tc>
        <w:tc>
          <w:tcPr>
            <w:tcW w:w="1857" w:type="pct"/>
            <w:vMerge/>
          </w:tcPr>
          <w:p w14:paraId="5AE3F6C9" w14:textId="77777777" w:rsidR="00AE3D34" w:rsidRPr="00D7771C" w:rsidRDefault="00AE3D34" w:rsidP="00E20319">
            <w:pPr>
              <w:spacing w:before="240"/>
              <w:rPr>
                <w:rFonts w:ascii="Arial" w:hAnsi="Arial" w:cs="Arial"/>
                <w:sz w:val="20"/>
                <w:szCs w:val="20"/>
                <w:lang w:val="en-US"/>
              </w:rPr>
            </w:pPr>
          </w:p>
        </w:tc>
        <w:tc>
          <w:tcPr>
            <w:tcW w:w="500" w:type="pct"/>
            <w:vMerge/>
            <w:vAlign w:val="center"/>
          </w:tcPr>
          <w:p w14:paraId="767F526F" w14:textId="77777777" w:rsidR="00AE3D34" w:rsidRPr="00D7771C" w:rsidRDefault="00AE3D34" w:rsidP="00E20319">
            <w:pPr>
              <w:pStyle w:val="aDSPara"/>
              <w:spacing w:before="60" w:after="60"/>
              <w:ind w:left="0"/>
              <w:jc w:val="center"/>
              <w:rPr>
                <w:rFonts w:eastAsia="MS Mincho" w:cs="Arial"/>
                <w:bCs/>
                <w:color w:val="000000"/>
                <w:sz w:val="20"/>
                <w:szCs w:val="20"/>
              </w:rPr>
            </w:pPr>
          </w:p>
        </w:tc>
        <w:tc>
          <w:tcPr>
            <w:tcW w:w="453" w:type="pct"/>
            <w:vAlign w:val="center"/>
          </w:tcPr>
          <w:p w14:paraId="0D8A6F3A" w14:textId="6AF1836D" w:rsidR="00AE3D34" w:rsidRPr="00D7771C" w:rsidRDefault="00AE3D34" w:rsidP="00E20319">
            <w:pPr>
              <w:pStyle w:val="aDSPara"/>
              <w:spacing w:before="60" w:after="60"/>
              <w:ind w:left="0"/>
              <w:jc w:val="center"/>
              <w:rPr>
                <w:rFonts w:eastAsia="MS Mincho" w:cs="Arial"/>
                <w:sz w:val="20"/>
                <w:szCs w:val="20"/>
              </w:rPr>
            </w:pPr>
            <w:r>
              <w:rPr>
                <w:rFonts w:eastAsia="MS Mincho" w:cs="Arial"/>
                <w:sz w:val="20"/>
                <w:szCs w:val="20"/>
              </w:rPr>
              <w:t>0</w:t>
            </w:r>
          </w:p>
        </w:tc>
        <w:tc>
          <w:tcPr>
            <w:tcW w:w="1845" w:type="pct"/>
            <w:vAlign w:val="center"/>
          </w:tcPr>
          <w:p w14:paraId="12D9C423" w14:textId="67AD4202" w:rsidR="00AE3D34" w:rsidRPr="00D7771C" w:rsidRDefault="00A96C52" w:rsidP="008E6A8B">
            <w:pPr>
              <w:pStyle w:val="aDSPara"/>
              <w:spacing w:before="60" w:after="60" w:line="240" w:lineRule="auto"/>
              <w:ind w:left="0"/>
              <w:jc w:val="left"/>
              <w:rPr>
                <w:rFonts w:cs="Arial"/>
                <w:sz w:val="20"/>
                <w:szCs w:val="20"/>
              </w:rPr>
            </w:pPr>
            <w:r>
              <w:rPr>
                <w:rFonts w:cs="Arial"/>
                <w:sz w:val="20"/>
                <w:szCs w:val="20"/>
              </w:rPr>
              <w:t>Product available after m</w:t>
            </w:r>
            <w:r w:rsidR="00AE3D34">
              <w:rPr>
                <w:rFonts w:cs="Arial"/>
                <w:sz w:val="20"/>
                <w:szCs w:val="20"/>
              </w:rPr>
              <w:t>ore than 8 weeks</w:t>
            </w:r>
            <w:r>
              <w:rPr>
                <w:rFonts w:cs="Arial"/>
                <w:sz w:val="20"/>
                <w:szCs w:val="20"/>
              </w:rPr>
              <w:t xml:space="preserve"> of issue of Purchase Order</w:t>
            </w:r>
          </w:p>
        </w:tc>
      </w:tr>
      <w:tr w:rsidR="00160B04" w:rsidRPr="00BB0A82" w14:paraId="020ED61D" w14:textId="77777777" w:rsidTr="008E6A8B">
        <w:trPr>
          <w:cantSplit/>
          <w:trHeight w:val="1134"/>
        </w:trPr>
        <w:tc>
          <w:tcPr>
            <w:tcW w:w="345" w:type="pct"/>
            <w:vMerge w:val="restart"/>
            <w:vAlign w:val="center"/>
          </w:tcPr>
          <w:p w14:paraId="10CC6113" w14:textId="77777777" w:rsidR="00160B04" w:rsidRPr="00D7771C" w:rsidRDefault="00160B04" w:rsidP="00E20319">
            <w:pPr>
              <w:pStyle w:val="aDSPara"/>
              <w:spacing w:before="60" w:after="60"/>
              <w:ind w:left="0"/>
              <w:jc w:val="center"/>
              <w:rPr>
                <w:rFonts w:eastAsia="MS Mincho" w:cs="Arial"/>
                <w:sz w:val="18"/>
                <w:szCs w:val="18"/>
              </w:rPr>
            </w:pPr>
            <w:r w:rsidRPr="00D7771C">
              <w:rPr>
                <w:rFonts w:eastAsia="MS Mincho" w:cs="Arial"/>
                <w:sz w:val="18"/>
                <w:szCs w:val="18"/>
              </w:rPr>
              <w:t>4</w:t>
            </w:r>
          </w:p>
        </w:tc>
        <w:tc>
          <w:tcPr>
            <w:tcW w:w="1857" w:type="pct"/>
            <w:vMerge w:val="restart"/>
            <w:vAlign w:val="center"/>
          </w:tcPr>
          <w:p w14:paraId="0BB4C064" w14:textId="77777777" w:rsidR="00160B04" w:rsidRPr="00D7771C" w:rsidRDefault="00160B04" w:rsidP="00E20319">
            <w:pPr>
              <w:spacing w:before="240"/>
              <w:rPr>
                <w:rFonts w:ascii="Arial" w:hAnsi="Arial" w:cs="Arial"/>
                <w:bCs/>
                <w:sz w:val="20"/>
                <w:szCs w:val="20"/>
                <w:lang w:val="en-US"/>
              </w:rPr>
            </w:pPr>
            <w:r w:rsidRPr="00D7771C">
              <w:rPr>
                <w:rFonts w:ascii="Arial" w:hAnsi="Arial" w:cs="Arial"/>
                <w:bCs/>
                <w:sz w:val="20"/>
                <w:szCs w:val="20"/>
                <w:lang w:val="en-US"/>
              </w:rPr>
              <w:t>Suitability of Product</w:t>
            </w:r>
          </w:p>
          <w:p w14:paraId="30457AEF" w14:textId="449B5E67" w:rsidR="00160B04" w:rsidRPr="00D7771C" w:rsidRDefault="00160B04" w:rsidP="00A96C52">
            <w:pPr>
              <w:spacing w:before="240"/>
              <w:rPr>
                <w:rFonts w:ascii="Arial" w:hAnsi="Arial" w:cs="Arial"/>
                <w:b/>
                <w:sz w:val="20"/>
                <w:szCs w:val="20"/>
                <w:lang w:val="en-US"/>
              </w:rPr>
            </w:pPr>
            <w:r w:rsidRPr="00D7771C">
              <w:rPr>
                <w:rFonts w:ascii="Arial" w:hAnsi="Arial" w:cs="Arial"/>
                <w:b/>
                <w:sz w:val="20"/>
                <w:szCs w:val="20"/>
                <w:lang w:val="en-US"/>
              </w:rPr>
              <w:t xml:space="preserve">Supplier must provide </w:t>
            </w:r>
            <w:r w:rsidR="00A96C52">
              <w:rPr>
                <w:rFonts w:ascii="Arial" w:hAnsi="Arial" w:cs="Arial"/>
                <w:b/>
                <w:sz w:val="20"/>
                <w:szCs w:val="20"/>
                <w:lang w:val="en-US"/>
              </w:rPr>
              <w:t xml:space="preserve">details of the make and model, as well as data sheets and performance curves for each of the recommended pumps. </w:t>
            </w:r>
          </w:p>
        </w:tc>
        <w:tc>
          <w:tcPr>
            <w:tcW w:w="500" w:type="pct"/>
            <w:vMerge w:val="restart"/>
            <w:vAlign w:val="center"/>
          </w:tcPr>
          <w:p w14:paraId="7489E04D" w14:textId="77777777" w:rsidR="00160B04" w:rsidRPr="00D7771C" w:rsidRDefault="00160B04" w:rsidP="00E20319">
            <w:pPr>
              <w:pStyle w:val="aDSPara"/>
              <w:spacing w:before="60" w:after="60"/>
              <w:ind w:left="0"/>
              <w:jc w:val="center"/>
              <w:rPr>
                <w:rFonts w:eastAsia="MS Mincho" w:cs="Arial"/>
                <w:bCs/>
                <w:color w:val="000000"/>
                <w:sz w:val="20"/>
                <w:szCs w:val="20"/>
              </w:rPr>
            </w:pPr>
            <w:r w:rsidRPr="00D7771C">
              <w:rPr>
                <w:rFonts w:eastAsia="MS Mincho" w:cs="Arial"/>
                <w:bCs/>
                <w:color w:val="000000"/>
                <w:sz w:val="20"/>
                <w:szCs w:val="20"/>
              </w:rPr>
              <w:t>25</w:t>
            </w:r>
          </w:p>
        </w:tc>
        <w:tc>
          <w:tcPr>
            <w:tcW w:w="453" w:type="pct"/>
            <w:vAlign w:val="center"/>
          </w:tcPr>
          <w:p w14:paraId="686ED861" w14:textId="77777777" w:rsidR="00160B04" w:rsidRPr="00D7771C" w:rsidRDefault="00160B04" w:rsidP="00E20319">
            <w:pPr>
              <w:pStyle w:val="aDSPara"/>
              <w:spacing w:before="60" w:after="60"/>
              <w:ind w:left="0"/>
              <w:jc w:val="center"/>
              <w:rPr>
                <w:rFonts w:eastAsia="MS Mincho" w:cs="Arial"/>
                <w:sz w:val="20"/>
                <w:szCs w:val="20"/>
              </w:rPr>
            </w:pPr>
            <w:r w:rsidRPr="00D7771C">
              <w:rPr>
                <w:rFonts w:eastAsia="MS Mincho" w:cs="Arial"/>
                <w:sz w:val="20"/>
                <w:szCs w:val="20"/>
              </w:rPr>
              <w:t xml:space="preserve">25 </w:t>
            </w:r>
          </w:p>
        </w:tc>
        <w:tc>
          <w:tcPr>
            <w:tcW w:w="1845" w:type="pct"/>
            <w:vAlign w:val="center"/>
          </w:tcPr>
          <w:p w14:paraId="7F6FE0C5" w14:textId="774D6049" w:rsidR="00160B04" w:rsidRPr="00D7771C" w:rsidRDefault="00160B04" w:rsidP="008E6A8B">
            <w:pPr>
              <w:pStyle w:val="aDSPara"/>
              <w:spacing w:after="0" w:line="240" w:lineRule="auto"/>
              <w:ind w:left="0"/>
              <w:jc w:val="left"/>
              <w:rPr>
                <w:rFonts w:cs="Arial"/>
                <w:sz w:val="20"/>
                <w:szCs w:val="20"/>
              </w:rPr>
            </w:pPr>
            <w:r w:rsidRPr="00D7771C">
              <w:rPr>
                <w:rFonts w:cs="Arial"/>
                <w:sz w:val="20"/>
                <w:szCs w:val="20"/>
                <w:lang w:val="en-US"/>
              </w:rPr>
              <w:t>Supplier adequately demonstrates how the recommended product meets the user’s requirements or specifications given in [01]</w:t>
            </w:r>
            <w:r w:rsidR="00A96C52">
              <w:rPr>
                <w:rFonts w:cs="Arial"/>
                <w:sz w:val="20"/>
                <w:szCs w:val="20"/>
                <w:lang w:val="en-US"/>
              </w:rPr>
              <w:t xml:space="preserve"> and [02].</w:t>
            </w:r>
          </w:p>
        </w:tc>
      </w:tr>
      <w:tr w:rsidR="00160B04" w:rsidRPr="00BB0A82" w14:paraId="5EB05C44" w14:textId="77777777" w:rsidTr="00E20319">
        <w:trPr>
          <w:cantSplit/>
          <w:trHeight w:val="795"/>
        </w:trPr>
        <w:tc>
          <w:tcPr>
            <w:tcW w:w="345" w:type="pct"/>
            <w:vMerge/>
            <w:vAlign w:val="center"/>
          </w:tcPr>
          <w:p w14:paraId="0E38C36C" w14:textId="77777777" w:rsidR="00160B04" w:rsidRPr="00D7771C" w:rsidRDefault="00160B04" w:rsidP="008E6A8B">
            <w:pPr>
              <w:pStyle w:val="aDSPara"/>
              <w:spacing w:after="60"/>
              <w:ind w:left="0"/>
              <w:jc w:val="center"/>
              <w:rPr>
                <w:rFonts w:eastAsia="MS Mincho" w:cs="Arial"/>
                <w:sz w:val="18"/>
                <w:szCs w:val="18"/>
              </w:rPr>
            </w:pPr>
          </w:p>
        </w:tc>
        <w:tc>
          <w:tcPr>
            <w:tcW w:w="1857" w:type="pct"/>
            <w:vMerge/>
            <w:vAlign w:val="center"/>
          </w:tcPr>
          <w:p w14:paraId="32ADB225" w14:textId="77777777" w:rsidR="00160B04" w:rsidRPr="00D7771C" w:rsidRDefault="00160B04" w:rsidP="008E6A8B">
            <w:pPr>
              <w:rPr>
                <w:rFonts w:ascii="Arial" w:hAnsi="Arial" w:cs="Arial"/>
                <w:bCs/>
                <w:sz w:val="20"/>
                <w:szCs w:val="20"/>
                <w:lang w:val="en-US"/>
              </w:rPr>
            </w:pPr>
          </w:p>
        </w:tc>
        <w:tc>
          <w:tcPr>
            <w:tcW w:w="500" w:type="pct"/>
            <w:vMerge/>
            <w:vAlign w:val="center"/>
          </w:tcPr>
          <w:p w14:paraId="4C9810DA" w14:textId="77777777" w:rsidR="00160B04" w:rsidRPr="00D7771C" w:rsidRDefault="00160B04" w:rsidP="008E6A8B">
            <w:pPr>
              <w:pStyle w:val="aDSPara"/>
              <w:spacing w:after="60"/>
              <w:ind w:left="0"/>
              <w:jc w:val="center"/>
              <w:rPr>
                <w:rFonts w:eastAsia="MS Mincho" w:cs="Arial"/>
                <w:bCs/>
                <w:color w:val="000000"/>
                <w:sz w:val="20"/>
                <w:szCs w:val="20"/>
              </w:rPr>
            </w:pPr>
          </w:p>
        </w:tc>
        <w:tc>
          <w:tcPr>
            <w:tcW w:w="453" w:type="pct"/>
            <w:vAlign w:val="center"/>
          </w:tcPr>
          <w:p w14:paraId="00CB6C1E" w14:textId="77777777" w:rsidR="00160B04" w:rsidRPr="00D7771C" w:rsidRDefault="00160B04" w:rsidP="008E6A8B">
            <w:pPr>
              <w:pStyle w:val="aDSPara"/>
              <w:spacing w:after="0" w:line="240" w:lineRule="auto"/>
              <w:ind w:left="0"/>
              <w:jc w:val="center"/>
              <w:rPr>
                <w:rFonts w:eastAsia="MS Mincho" w:cs="Arial"/>
                <w:sz w:val="20"/>
                <w:szCs w:val="20"/>
              </w:rPr>
            </w:pPr>
            <w:r w:rsidRPr="00D7771C">
              <w:rPr>
                <w:rFonts w:eastAsia="MS Mincho" w:cs="Arial"/>
                <w:sz w:val="20"/>
                <w:szCs w:val="20"/>
              </w:rPr>
              <w:t>0</w:t>
            </w:r>
          </w:p>
        </w:tc>
        <w:tc>
          <w:tcPr>
            <w:tcW w:w="1845" w:type="pct"/>
            <w:vAlign w:val="center"/>
          </w:tcPr>
          <w:p w14:paraId="16FF641D" w14:textId="17817F25" w:rsidR="00160B04" w:rsidRPr="00D7771C" w:rsidRDefault="00160B04" w:rsidP="008E6A8B">
            <w:pPr>
              <w:pStyle w:val="aDSPara"/>
              <w:spacing w:after="0" w:line="240" w:lineRule="auto"/>
              <w:ind w:left="0"/>
              <w:jc w:val="left"/>
              <w:rPr>
                <w:rFonts w:cs="Arial"/>
                <w:sz w:val="20"/>
                <w:szCs w:val="20"/>
                <w:lang w:val="en-US"/>
              </w:rPr>
            </w:pPr>
            <w:r w:rsidRPr="00D7771C">
              <w:rPr>
                <w:rFonts w:cs="Arial"/>
                <w:sz w:val="20"/>
                <w:szCs w:val="20"/>
                <w:lang w:val="en-US"/>
              </w:rPr>
              <w:t xml:space="preserve">No </w:t>
            </w:r>
            <w:r w:rsidR="00A96C52">
              <w:rPr>
                <w:rFonts w:cs="Arial"/>
                <w:sz w:val="20"/>
                <w:szCs w:val="20"/>
                <w:lang w:val="en-US"/>
              </w:rPr>
              <w:t>data</w:t>
            </w:r>
            <w:r w:rsidRPr="00D7771C">
              <w:rPr>
                <w:rFonts w:cs="Arial"/>
                <w:sz w:val="20"/>
                <w:szCs w:val="20"/>
                <w:lang w:val="en-US"/>
              </w:rPr>
              <w:t xml:space="preserve"> sheet</w:t>
            </w:r>
            <w:r w:rsidR="00A96C52">
              <w:rPr>
                <w:rFonts w:cs="Arial"/>
                <w:sz w:val="20"/>
                <w:szCs w:val="20"/>
                <w:lang w:val="en-US"/>
              </w:rPr>
              <w:t>s</w:t>
            </w:r>
            <w:r w:rsidRPr="00D7771C">
              <w:rPr>
                <w:rFonts w:cs="Arial"/>
                <w:sz w:val="20"/>
                <w:szCs w:val="20"/>
                <w:lang w:val="en-US"/>
              </w:rPr>
              <w:t xml:space="preserve"> </w:t>
            </w:r>
            <w:r w:rsidR="00A96C52">
              <w:rPr>
                <w:rFonts w:cs="Arial"/>
                <w:sz w:val="20"/>
                <w:szCs w:val="20"/>
                <w:lang w:val="en-US"/>
              </w:rPr>
              <w:t xml:space="preserve">and performance curves </w:t>
            </w:r>
            <w:r w:rsidRPr="00D7771C">
              <w:rPr>
                <w:rFonts w:cs="Arial"/>
                <w:sz w:val="20"/>
                <w:szCs w:val="20"/>
                <w:lang w:val="en-US"/>
              </w:rPr>
              <w:t>provided</w:t>
            </w:r>
            <w:r w:rsidR="00A96C52">
              <w:rPr>
                <w:rFonts w:cs="Arial"/>
                <w:sz w:val="20"/>
                <w:szCs w:val="20"/>
                <w:lang w:val="en-US"/>
              </w:rPr>
              <w:t xml:space="preserve"> for pumps</w:t>
            </w:r>
          </w:p>
        </w:tc>
      </w:tr>
      <w:tr w:rsidR="00160B04" w:rsidRPr="00BB0A82" w14:paraId="2602F580" w14:textId="77777777" w:rsidTr="00E20319">
        <w:trPr>
          <w:cantSplit/>
          <w:trHeight w:val="180"/>
        </w:trPr>
        <w:tc>
          <w:tcPr>
            <w:tcW w:w="2202" w:type="pct"/>
            <w:gridSpan w:val="2"/>
          </w:tcPr>
          <w:p w14:paraId="2ED076BB" w14:textId="77777777" w:rsidR="00160B04" w:rsidRPr="00D7771C" w:rsidRDefault="00160B04" w:rsidP="00E20319">
            <w:pPr>
              <w:pStyle w:val="aDSPara"/>
              <w:spacing w:before="60" w:after="60"/>
              <w:ind w:left="0"/>
              <w:jc w:val="left"/>
              <w:rPr>
                <w:rFonts w:eastAsia="MS Mincho" w:cs="Arial"/>
                <w:b/>
                <w:sz w:val="20"/>
                <w:szCs w:val="20"/>
              </w:rPr>
            </w:pPr>
            <w:r w:rsidRPr="00D7771C">
              <w:rPr>
                <w:rFonts w:eastAsia="MS Mincho" w:cs="Arial"/>
                <w:b/>
                <w:sz w:val="20"/>
                <w:szCs w:val="20"/>
              </w:rPr>
              <w:t>Total</w:t>
            </w:r>
          </w:p>
        </w:tc>
        <w:tc>
          <w:tcPr>
            <w:tcW w:w="500" w:type="pct"/>
          </w:tcPr>
          <w:p w14:paraId="0E67B3CF" w14:textId="77777777" w:rsidR="00160B04" w:rsidRPr="00D7771C" w:rsidRDefault="00160B04" w:rsidP="00E20319">
            <w:pPr>
              <w:pStyle w:val="aDSPara"/>
              <w:spacing w:before="60" w:after="60"/>
              <w:ind w:left="0"/>
              <w:jc w:val="center"/>
              <w:rPr>
                <w:rFonts w:eastAsia="MS Mincho" w:cs="Arial"/>
                <w:b/>
                <w:sz w:val="20"/>
                <w:szCs w:val="20"/>
              </w:rPr>
            </w:pPr>
            <w:r w:rsidRPr="00D7771C">
              <w:rPr>
                <w:rFonts w:eastAsia="MS Mincho" w:cs="Arial"/>
                <w:b/>
                <w:sz w:val="20"/>
                <w:szCs w:val="20"/>
              </w:rPr>
              <w:t>100</w:t>
            </w:r>
          </w:p>
        </w:tc>
        <w:tc>
          <w:tcPr>
            <w:tcW w:w="453" w:type="pct"/>
          </w:tcPr>
          <w:p w14:paraId="3B69D7CD" w14:textId="77777777" w:rsidR="00160B04" w:rsidRPr="00D7771C" w:rsidRDefault="00160B04" w:rsidP="00E20319">
            <w:pPr>
              <w:pStyle w:val="aDSPara"/>
              <w:spacing w:before="60" w:after="60"/>
              <w:ind w:left="0"/>
              <w:jc w:val="center"/>
              <w:rPr>
                <w:rFonts w:eastAsia="MS Mincho" w:cs="Arial"/>
                <w:b/>
                <w:sz w:val="20"/>
                <w:szCs w:val="20"/>
              </w:rPr>
            </w:pPr>
          </w:p>
        </w:tc>
        <w:tc>
          <w:tcPr>
            <w:tcW w:w="1845" w:type="pct"/>
          </w:tcPr>
          <w:p w14:paraId="6688B7E0" w14:textId="77777777" w:rsidR="00160B04" w:rsidRPr="00D7771C" w:rsidRDefault="00160B04" w:rsidP="00E20319">
            <w:pPr>
              <w:pStyle w:val="aDSPara"/>
              <w:spacing w:before="60" w:after="60"/>
              <w:ind w:left="0"/>
              <w:jc w:val="left"/>
              <w:rPr>
                <w:rFonts w:eastAsia="MS Mincho" w:cs="Arial"/>
                <w:b/>
                <w:sz w:val="20"/>
                <w:szCs w:val="20"/>
              </w:rPr>
            </w:pPr>
          </w:p>
        </w:tc>
      </w:tr>
    </w:tbl>
    <w:p w14:paraId="65023778" w14:textId="6A74BCD7" w:rsidR="0051572B" w:rsidRPr="00BB0A82" w:rsidRDefault="00D7771C" w:rsidP="00BB0A82">
      <w:pPr>
        <w:spacing w:after="0"/>
        <w:jc w:val="both"/>
        <w:rPr>
          <w:rFonts w:ascii="Arial" w:hAnsi="Arial" w:cs="Arial"/>
          <w:b/>
          <w:u w:val="single"/>
        </w:rPr>
      </w:pPr>
      <w:r w:rsidRPr="005A3ADC">
        <w:rPr>
          <w:rFonts w:ascii="Arial" w:hAnsi="Arial" w:cs="Arial"/>
          <w:b/>
          <w:bCs/>
        </w:rPr>
        <w:t>Note: Bidders that score &lt;80 out of 100 in respect of Technical/Functional evaluation criteria will be regarded as submitting a non-responsive bid and will not be evaluated further</w:t>
      </w:r>
      <w:r>
        <w:rPr>
          <w:rFonts w:ascii="Arial" w:hAnsi="Arial" w:cs="Arial"/>
          <w:b/>
          <w:bCs/>
        </w:rPr>
        <w:t>.</w:t>
      </w:r>
    </w:p>
    <w:p w14:paraId="04C272EE" w14:textId="32BFC098" w:rsidR="0051572B" w:rsidRPr="00D7771C" w:rsidRDefault="0051572B" w:rsidP="0051572B">
      <w:pPr>
        <w:pStyle w:val="ListParagraph"/>
        <w:spacing w:after="0"/>
        <w:jc w:val="both"/>
        <w:rPr>
          <w:rFonts w:ascii="Arial" w:hAnsi="Arial" w:cs="Arial"/>
          <w:b/>
          <w:u w:val="single"/>
        </w:rPr>
      </w:pPr>
    </w:p>
    <w:p w14:paraId="6209A42B" w14:textId="6778D2B3" w:rsidR="000D69F9" w:rsidRPr="00D7771C" w:rsidRDefault="001F169B" w:rsidP="009E3142">
      <w:pPr>
        <w:pStyle w:val="ListParagraph"/>
        <w:numPr>
          <w:ilvl w:val="1"/>
          <w:numId w:val="3"/>
        </w:numPr>
        <w:spacing w:after="0"/>
        <w:jc w:val="both"/>
        <w:rPr>
          <w:rFonts w:ascii="Arial" w:hAnsi="Arial" w:cs="Arial"/>
          <w:b/>
          <w:u w:val="single"/>
        </w:rPr>
      </w:pPr>
      <w:r w:rsidRPr="00D7771C">
        <w:rPr>
          <w:rFonts w:ascii="Arial" w:hAnsi="Arial" w:cs="Arial"/>
          <w:b/>
          <w:u w:val="single"/>
        </w:rPr>
        <w:t xml:space="preserve">Phase 2 - </w:t>
      </w:r>
      <w:r w:rsidR="000D69F9" w:rsidRPr="00D7771C">
        <w:rPr>
          <w:rFonts w:ascii="Arial" w:hAnsi="Arial" w:cs="Arial"/>
          <w:b/>
          <w:u w:val="single"/>
        </w:rPr>
        <w:t xml:space="preserve">Evaluation In Terms Of Preferential Procurement </w:t>
      </w:r>
      <w:r w:rsidR="003B5BB2" w:rsidRPr="00D7771C">
        <w:rPr>
          <w:rFonts w:ascii="Arial" w:hAnsi="Arial" w:cs="Arial"/>
          <w:b/>
          <w:u w:val="single"/>
        </w:rPr>
        <w:t>Policy Framework Act, 2022</w:t>
      </w:r>
    </w:p>
    <w:p w14:paraId="2137FA8A" w14:textId="77777777" w:rsidR="00CF433C" w:rsidRPr="00D7771C" w:rsidRDefault="00CF433C" w:rsidP="00CF433C">
      <w:pPr>
        <w:pStyle w:val="ListParagraph"/>
        <w:spacing w:after="0"/>
        <w:jc w:val="both"/>
        <w:rPr>
          <w:rFonts w:ascii="Arial" w:hAnsi="Arial" w:cs="Arial"/>
          <w:b/>
          <w:u w:val="single"/>
        </w:rPr>
      </w:pPr>
    </w:p>
    <w:p w14:paraId="26EBE54E" w14:textId="61B5F4D1" w:rsidR="000D69F9" w:rsidRPr="00D7771C" w:rsidRDefault="000D69F9" w:rsidP="001A799E">
      <w:pPr>
        <w:spacing w:after="0"/>
        <w:jc w:val="both"/>
        <w:rPr>
          <w:rFonts w:ascii="Arial" w:hAnsi="Arial" w:cs="Arial"/>
          <w:color w:val="000000"/>
        </w:rPr>
      </w:pPr>
      <w:r w:rsidRPr="00D7771C">
        <w:rPr>
          <w:rFonts w:ascii="Arial" w:hAnsi="Arial" w:cs="Arial"/>
          <w:color w:val="000000"/>
        </w:rPr>
        <w:t>This bid will be evaluated and adjudicated a</w:t>
      </w:r>
      <w:r w:rsidR="009D6BF6" w:rsidRPr="00D7771C">
        <w:rPr>
          <w:rFonts w:ascii="Arial" w:hAnsi="Arial" w:cs="Arial"/>
          <w:color w:val="000000"/>
        </w:rPr>
        <w:t>ccording to the 80/20 point</w:t>
      </w:r>
      <w:r w:rsidRPr="00D7771C">
        <w:rPr>
          <w:rFonts w:ascii="Arial" w:hAnsi="Arial" w:cs="Arial"/>
          <w:color w:val="000000"/>
        </w:rPr>
        <w:t xml:space="preserve"> system, in terms of which a maximum of 80 points will be awarded for price and 20 points will be allocated based on the </w:t>
      </w:r>
      <w:r w:rsidR="003B5BB2" w:rsidRPr="00D7771C">
        <w:rPr>
          <w:rFonts w:ascii="Arial" w:hAnsi="Arial" w:cs="Arial"/>
          <w:color w:val="000000"/>
        </w:rPr>
        <w:t>specific goals</w:t>
      </w:r>
      <w:r w:rsidR="00725B31" w:rsidRPr="00D7771C">
        <w:rPr>
          <w:rFonts w:ascii="Arial" w:hAnsi="Arial" w:cs="Arial"/>
          <w:color w:val="000000"/>
        </w:rPr>
        <w:t xml:space="preserve"> (</w:t>
      </w:r>
      <w:r w:rsidR="00AB1010" w:rsidRPr="00D7771C">
        <w:rPr>
          <w:rFonts w:ascii="Arial" w:hAnsi="Arial" w:cs="Arial"/>
          <w:color w:val="000000"/>
        </w:rPr>
        <w:t>B-BBE status level)</w:t>
      </w:r>
      <w:r w:rsidR="009D6BF6" w:rsidRPr="00D7771C">
        <w:rPr>
          <w:rFonts w:ascii="Arial" w:hAnsi="Arial" w:cs="Arial"/>
          <w:color w:val="000000"/>
        </w:rPr>
        <w:t>.</w:t>
      </w:r>
    </w:p>
    <w:p w14:paraId="22384D77" w14:textId="7B934DFB" w:rsidR="00725B31" w:rsidRPr="00BB0A82" w:rsidRDefault="00725B31" w:rsidP="001A799E">
      <w:pPr>
        <w:spacing w:after="0"/>
        <w:jc w:val="both"/>
        <w:rPr>
          <w:rFonts w:ascii="Arial" w:hAnsi="Arial" w:cs="Arial"/>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BB0A82" w14:paraId="0530DFF4" w14:textId="77777777" w:rsidTr="00393DB5">
        <w:tc>
          <w:tcPr>
            <w:tcW w:w="5130" w:type="dxa"/>
            <w:shd w:val="clear" w:color="auto" w:fill="C00000"/>
            <w:vAlign w:val="bottom"/>
          </w:tcPr>
          <w:p w14:paraId="16DF38B9" w14:textId="77777777" w:rsidR="00657B06" w:rsidRPr="00D7771C"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C8FD6D2" w14:textId="77777777" w:rsidR="00657B06" w:rsidRPr="00D7771C"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7771C">
              <w:rPr>
                <w:rFonts w:ascii="Arial" w:eastAsia="Times New Roman" w:hAnsi="Arial" w:cs="Arial"/>
                <w:b/>
                <w:snapToGrid w:val="0"/>
                <w:lang w:val="en-GB"/>
              </w:rPr>
              <w:t>POINTS</w:t>
            </w:r>
          </w:p>
        </w:tc>
      </w:tr>
      <w:tr w:rsidR="00657B06" w:rsidRPr="00BB0A82" w14:paraId="5341E1DD" w14:textId="77777777" w:rsidTr="00393DB5">
        <w:tc>
          <w:tcPr>
            <w:tcW w:w="5130" w:type="dxa"/>
            <w:vAlign w:val="bottom"/>
          </w:tcPr>
          <w:p w14:paraId="3F0C46D1" w14:textId="77777777" w:rsidR="00657B06" w:rsidRPr="00D7771C"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7771C">
              <w:rPr>
                <w:rFonts w:ascii="Arial" w:eastAsia="Times New Roman" w:hAnsi="Arial" w:cs="Arial"/>
                <w:b/>
                <w:snapToGrid w:val="0"/>
                <w:lang w:val="en-GB"/>
              </w:rPr>
              <w:t>PRICE</w:t>
            </w:r>
          </w:p>
        </w:tc>
        <w:tc>
          <w:tcPr>
            <w:tcW w:w="1800" w:type="dxa"/>
          </w:tcPr>
          <w:p w14:paraId="55059C16" w14:textId="77777777" w:rsidR="00657B06" w:rsidRPr="00D7771C"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D7771C">
              <w:rPr>
                <w:rFonts w:ascii="Arial" w:eastAsia="Times New Roman" w:hAnsi="Arial" w:cs="Arial"/>
                <w:b/>
                <w:bCs/>
                <w:snapToGrid w:val="0"/>
                <w:lang w:val="en-GB"/>
              </w:rPr>
              <w:t>80</w:t>
            </w:r>
          </w:p>
        </w:tc>
      </w:tr>
      <w:tr w:rsidR="00657B06" w:rsidRPr="00BB0A82" w14:paraId="12BEC828" w14:textId="77777777" w:rsidTr="00393DB5">
        <w:tc>
          <w:tcPr>
            <w:tcW w:w="5130" w:type="dxa"/>
            <w:vAlign w:val="bottom"/>
          </w:tcPr>
          <w:p w14:paraId="2182CE61" w14:textId="77777777" w:rsidR="00657B06" w:rsidRPr="00D7771C"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7771C">
              <w:rPr>
                <w:rFonts w:ascii="Arial" w:eastAsia="Times New Roman" w:hAnsi="Arial" w:cs="Arial"/>
                <w:b/>
                <w:snapToGrid w:val="0"/>
                <w:lang w:val="en-GB"/>
              </w:rPr>
              <w:t>SPECIFIC GOALS</w:t>
            </w:r>
            <w:r w:rsidR="008E0775" w:rsidRPr="00D7771C">
              <w:rPr>
                <w:rFonts w:ascii="Arial" w:eastAsia="Times New Roman" w:hAnsi="Arial" w:cs="Arial"/>
                <w:b/>
                <w:snapToGrid w:val="0"/>
                <w:lang w:val="en-GB"/>
              </w:rPr>
              <w:t xml:space="preserve"> ( B-BBEE status level)</w:t>
            </w:r>
          </w:p>
        </w:tc>
        <w:tc>
          <w:tcPr>
            <w:tcW w:w="1800" w:type="dxa"/>
          </w:tcPr>
          <w:p w14:paraId="323412B7" w14:textId="77777777" w:rsidR="00657B06" w:rsidRPr="00D7771C"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D7771C">
              <w:rPr>
                <w:rFonts w:ascii="Arial" w:eastAsia="Times New Roman" w:hAnsi="Arial" w:cs="Arial"/>
                <w:b/>
                <w:bCs/>
                <w:snapToGrid w:val="0"/>
                <w:lang w:val="en-GB"/>
              </w:rPr>
              <w:t>20</w:t>
            </w:r>
          </w:p>
        </w:tc>
      </w:tr>
      <w:tr w:rsidR="00657B06" w:rsidRPr="00BB0A82" w14:paraId="6ABF3719" w14:textId="77777777" w:rsidTr="00393DB5">
        <w:tc>
          <w:tcPr>
            <w:tcW w:w="5130" w:type="dxa"/>
            <w:vAlign w:val="bottom"/>
          </w:tcPr>
          <w:p w14:paraId="3C11598F" w14:textId="77777777" w:rsidR="00657B06" w:rsidRPr="00D7771C"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7771C">
              <w:rPr>
                <w:rFonts w:ascii="Arial" w:eastAsia="Times New Roman" w:hAnsi="Arial" w:cs="Arial"/>
                <w:b/>
                <w:snapToGrid w:val="0"/>
                <w:lang w:val="en-GB"/>
              </w:rPr>
              <w:t xml:space="preserve">Total points for Price and SPECIFIC GOALS </w:t>
            </w:r>
          </w:p>
        </w:tc>
        <w:tc>
          <w:tcPr>
            <w:tcW w:w="1800" w:type="dxa"/>
            <w:shd w:val="clear" w:color="auto" w:fill="C00000"/>
          </w:tcPr>
          <w:p w14:paraId="00A5912E" w14:textId="77777777" w:rsidR="00657B06" w:rsidRPr="00D7771C"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7771C">
              <w:rPr>
                <w:rFonts w:ascii="Arial" w:eastAsia="Times New Roman" w:hAnsi="Arial" w:cs="Arial"/>
                <w:b/>
                <w:snapToGrid w:val="0"/>
                <w:lang w:val="en-GB"/>
              </w:rPr>
              <w:t>100</w:t>
            </w:r>
          </w:p>
        </w:tc>
      </w:tr>
    </w:tbl>
    <w:p w14:paraId="3633FBA2" w14:textId="57FD98DD" w:rsidR="00703016" w:rsidRPr="00BB0A82" w:rsidRDefault="00703016" w:rsidP="001A799E">
      <w:pPr>
        <w:spacing w:after="0"/>
        <w:jc w:val="both"/>
        <w:rPr>
          <w:rFonts w:ascii="Arial" w:hAnsi="Arial" w:cs="Arial"/>
          <w:b/>
          <w:color w:val="FF0000"/>
        </w:rPr>
      </w:pPr>
    </w:p>
    <w:p w14:paraId="03493ADD" w14:textId="77777777" w:rsidR="00703016" w:rsidRPr="00D7771C" w:rsidRDefault="00703016" w:rsidP="001A799E">
      <w:pPr>
        <w:spacing w:after="0"/>
        <w:jc w:val="both"/>
        <w:rPr>
          <w:rFonts w:ascii="Arial" w:hAnsi="Arial" w:cs="Arial"/>
          <w:b/>
        </w:rPr>
      </w:pPr>
      <w:r w:rsidRPr="00D7771C">
        <w:rPr>
          <w:rFonts w:ascii="Arial" w:hAnsi="Arial" w:cs="Arial"/>
          <w:b/>
        </w:rPr>
        <w:t>Preference goal</w:t>
      </w:r>
    </w:p>
    <w:p w14:paraId="2B63EEED" w14:textId="77777777" w:rsidR="00703016" w:rsidRPr="00D7771C" w:rsidRDefault="00703016" w:rsidP="001A799E">
      <w:pPr>
        <w:spacing w:after="0"/>
        <w:jc w:val="both"/>
        <w:rPr>
          <w:rFonts w:ascii="Arial" w:hAnsi="Arial" w:cs="Arial"/>
          <w:b/>
        </w:rPr>
      </w:pPr>
      <w:r w:rsidRPr="00D7771C">
        <w:rPr>
          <w:rFonts w:ascii="Arial" w:hAnsi="Arial" w:cs="Arial"/>
          <w:b/>
        </w:rPr>
        <w:t>B-BBEE status level contributor</w:t>
      </w:r>
    </w:p>
    <w:p w14:paraId="33D1CE3F" w14:textId="77777777" w:rsidR="00703016" w:rsidRPr="00D7771C"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BB0A82" w14:paraId="4DAC23D7" w14:textId="77777777" w:rsidTr="00703016">
        <w:trPr>
          <w:trHeight w:val="863"/>
        </w:trPr>
        <w:tc>
          <w:tcPr>
            <w:tcW w:w="3533" w:type="dxa"/>
            <w:shd w:val="clear" w:color="auto" w:fill="C00000"/>
            <w:vAlign w:val="center"/>
          </w:tcPr>
          <w:p w14:paraId="12E210B2" w14:textId="77777777" w:rsidR="00703016" w:rsidRPr="00D7771C" w:rsidRDefault="00703016" w:rsidP="00E06904">
            <w:pPr>
              <w:pStyle w:val="NormalWeb"/>
              <w:kinsoku w:val="0"/>
              <w:overflowPunct w:val="0"/>
              <w:spacing w:before="96" w:after="0"/>
              <w:jc w:val="center"/>
              <w:textAlignment w:val="baseline"/>
              <w:rPr>
                <w:rFonts w:ascii="Arial" w:hAnsi="Arial" w:cs="Arial"/>
                <w:b/>
                <w:sz w:val="22"/>
                <w:szCs w:val="22"/>
              </w:rPr>
            </w:pPr>
            <w:r w:rsidRPr="00D7771C">
              <w:rPr>
                <w:rFonts w:ascii="Arial" w:hAnsi="Arial" w:cs="Arial"/>
                <w:b/>
                <w:kern w:val="24"/>
                <w:sz w:val="22"/>
                <w:szCs w:val="22"/>
              </w:rPr>
              <w:t>B-BBEE Status Level of Contributor</w:t>
            </w:r>
          </w:p>
        </w:tc>
        <w:tc>
          <w:tcPr>
            <w:tcW w:w="6390" w:type="dxa"/>
            <w:shd w:val="clear" w:color="auto" w:fill="C00000"/>
            <w:vAlign w:val="center"/>
          </w:tcPr>
          <w:p w14:paraId="05A72CEC" w14:textId="77777777" w:rsidR="00703016" w:rsidRPr="00D7771C"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D7771C">
              <w:rPr>
                <w:rFonts w:ascii="Arial" w:hAnsi="Arial" w:cs="Arial"/>
                <w:b/>
                <w:kern w:val="24"/>
                <w:sz w:val="22"/>
                <w:szCs w:val="22"/>
              </w:rPr>
              <w:t>Number of points</w:t>
            </w:r>
          </w:p>
          <w:p w14:paraId="79730C4F" w14:textId="77777777" w:rsidR="00703016" w:rsidRPr="00D7771C" w:rsidRDefault="00703016" w:rsidP="00E06904">
            <w:pPr>
              <w:pStyle w:val="NormalWeb"/>
              <w:kinsoku w:val="0"/>
              <w:overflowPunct w:val="0"/>
              <w:spacing w:before="96" w:after="0"/>
              <w:jc w:val="center"/>
              <w:textAlignment w:val="baseline"/>
              <w:rPr>
                <w:rFonts w:ascii="Arial" w:hAnsi="Arial" w:cs="Arial"/>
                <w:b/>
                <w:sz w:val="22"/>
                <w:szCs w:val="22"/>
              </w:rPr>
            </w:pPr>
            <w:r w:rsidRPr="00D7771C">
              <w:rPr>
                <w:rFonts w:ascii="Arial" w:hAnsi="Arial" w:cs="Arial"/>
                <w:b/>
                <w:kern w:val="24"/>
                <w:sz w:val="22"/>
                <w:szCs w:val="22"/>
              </w:rPr>
              <w:t>(80/20 system)</w:t>
            </w:r>
          </w:p>
        </w:tc>
      </w:tr>
      <w:tr w:rsidR="00703016" w:rsidRPr="00BB0A82" w14:paraId="70558D22" w14:textId="77777777" w:rsidTr="00703016">
        <w:trPr>
          <w:trHeight w:val="317"/>
        </w:trPr>
        <w:tc>
          <w:tcPr>
            <w:tcW w:w="3533" w:type="dxa"/>
          </w:tcPr>
          <w:p w14:paraId="5FE7D3BC"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1</w:t>
            </w:r>
          </w:p>
        </w:tc>
        <w:tc>
          <w:tcPr>
            <w:tcW w:w="6390" w:type="dxa"/>
          </w:tcPr>
          <w:p w14:paraId="5BB2AAF6"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20</w:t>
            </w:r>
          </w:p>
        </w:tc>
      </w:tr>
      <w:tr w:rsidR="00703016" w:rsidRPr="00BB0A82" w14:paraId="1E845793" w14:textId="77777777" w:rsidTr="00703016">
        <w:trPr>
          <w:trHeight w:val="317"/>
        </w:trPr>
        <w:tc>
          <w:tcPr>
            <w:tcW w:w="3533" w:type="dxa"/>
          </w:tcPr>
          <w:p w14:paraId="1D145587"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2</w:t>
            </w:r>
          </w:p>
        </w:tc>
        <w:tc>
          <w:tcPr>
            <w:tcW w:w="6390" w:type="dxa"/>
          </w:tcPr>
          <w:p w14:paraId="3021DF68"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18</w:t>
            </w:r>
          </w:p>
        </w:tc>
      </w:tr>
      <w:tr w:rsidR="00703016" w:rsidRPr="00BB0A82" w14:paraId="2EBF9782" w14:textId="77777777" w:rsidTr="00703016">
        <w:trPr>
          <w:trHeight w:val="317"/>
        </w:trPr>
        <w:tc>
          <w:tcPr>
            <w:tcW w:w="3533" w:type="dxa"/>
          </w:tcPr>
          <w:p w14:paraId="56205E1F"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3</w:t>
            </w:r>
          </w:p>
        </w:tc>
        <w:tc>
          <w:tcPr>
            <w:tcW w:w="6390" w:type="dxa"/>
          </w:tcPr>
          <w:p w14:paraId="32C79C2F"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14</w:t>
            </w:r>
          </w:p>
        </w:tc>
      </w:tr>
      <w:tr w:rsidR="00703016" w:rsidRPr="00BB0A82" w14:paraId="743B7203" w14:textId="77777777" w:rsidTr="00703016">
        <w:trPr>
          <w:trHeight w:val="317"/>
        </w:trPr>
        <w:tc>
          <w:tcPr>
            <w:tcW w:w="3533" w:type="dxa"/>
          </w:tcPr>
          <w:p w14:paraId="0724274E"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4</w:t>
            </w:r>
          </w:p>
        </w:tc>
        <w:tc>
          <w:tcPr>
            <w:tcW w:w="6390" w:type="dxa"/>
          </w:tcPr>
          <w:p w14:paraId="11047CFB"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12</w:t>
            </w:r>
          </w:p>
        </w:tc>
      </w:tr>
      <w:tr w:rsidR="00703016" w:rsidRPr="00BB0A82" w14:paraId="72FD3C8F" w14:textId="77777777" w:rsidTr="00703016">
        <w:trPr>
          <w:trHeight w:val="317"/>
        </w:trPr>
        <w:tc>
          <w:tcPr>
            <w:tcW w:w="3533" w:type="dxa"/>
          </w:tcPr>
          <w:p w14:paraId="2791CC36"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5</w:t>
            </w:r>
          </w:p>
        </w:tc>
        <w:tc>
          <w:tcPr>
            <w:tcW w:w="6390" w:type="dxa"/>
          </w:tcPr>
          <w:p w14:paraId="1F53F57B"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8</w:t>
            </w:r>
          </w:p>
        </w:tc>
      </w:tr>
      <w:tr w:rsidR="00703016" w:rsidRPr="00BB0A82" w14:paraId="1D730816" w14:textId="77777777" w:rsidTr="00703016">
        <w:trPr>
          <w:trHeight w:val="317"/>
        </w:trPr>
        <w:tc>
          <w:tcPr>
            <w:tcW w:w="3533" w:type="dxa"/>
          </w:tcPr>
          <w:p w14:paraId="780921B9"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6</w:t>
            </w:r>
          </w:p>
        </w:tc>
        <w:tc>
          <w:tcPr>
            <w:tcW w:w="6390" w:type="dxa"/>
          </w:tcPr>
          <w:p w14:paraId="115FA614"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6</w:t>
            </w:r>
          </w:p>
        </w:tc>
      </w:tr>
      <w:tr w:rsidR="00703016" w:rsidRPr="00BB0A82" w14:paraId="09D16330" w14:textId="77777777" w:rsidTr="00703016">
        <w:trPr>
          <w:trHeight w:val="317"/>
        </w:trPr>
        <w:tc>
          <w:tcPr>
            <w:tcW w:w="3533" w:type="dxa"/>
          </w:tcPr>
          <w:p w14:paraId="6109FE05"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7</w:t>
            </w:r>
          </w:p>
        </w:tc>
        <w:tc>
          <w:tcPr>
            <w:tcW w:w="6390" w:type="dxa"/>
          </w:tcPr>
          <w:p w14:paraId="5762F156"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4</w:t>
            </w:r>
          </w:p>
        </w:tc>
      </w:tr>
      <w:tr w:rsidR="00703016" w:rsidRPr="00BB0A82" w14:paraId="655009EF" w14:textId="77777777" w:rsidTr="00703016">
        <w:trPr>
          <w:trHeight w:val="317"/>
        </w:trPr>
        <w:tc>
          <w:tcPr>
            <w:tcW w:w="3533" w:type="dxa"/>
          </w:tcPr>
          <w:p w14:paraId="40D6CDFA"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8</w:t>
            </w:r>
          </w:p>
        </w:tc>
        <w:tc>
          <w:tcPr>
            <w:tcW w:w="6390" w:type="dxa"/>
          </w:tcPr>
          <w:p w14:paraId="0BA8C9BD"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2</w:t>
            </w:r>
          </w:p>
        </w:tc>
      </w:tr>
      <w:tr w:rsidR="00703016" w:rsidRPr="00BB0A82" w14:paraId="7684C809" w14:textId="77777777" w:rsidTr="00703016">
        <w:trPr>
          <w:trHeight w:val="317"/>
        </w:trPr>
        <w:tc>
          <w:tcPr>
            <w:tcW w:w="3533" w:type="dxa"/>
          </w:tcPr>
          <w:p w14:paraId="4A9A1175"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Non-compliant contributor</w:t>
            </w:r>
          </w:p>
        </w:tc>
        <w:tc>
          <w:tcPr>
            <w:tcW w:w="6390" w:type="dxa"/>
          </w:tcPr>
          <w:p w14:paraId="139C841B" w14:textId="77777777" w:rsidR="00703016" w:rsidRPr="00D7771C" w:rsidRDefault="00703016" w:rsidP="00E06904">
            <w:pPr>
              <w:pStyle w:val="NormalWeb"/>
              <w:kinsoku w:val="0"/>
              <w:overflowPunct w:val="0"/>
              <w:spacing w:before="115" w:after="0"/>
              <w:jc w:val="center"/>
              <w:textAlignment w:val="baseline"/>
              <w:rPr>
                <w:rFonts w:ascii="Arial" w:hAnsi="Arial" w:cs="Arial"/>
                <w:sz w:val="22"/>
                <w:szCs w:val="22"/>
              </w:rPr>
            </w:pPr>
            <w:r w:rsidRPr="00D7771C">
              <w:rPr>
                <w:rFonts w:ascii="Arial" w:hAnsi="Arial" w:cs="Arial"/>
                <w:kern w:val="24"/>
                <w:sz w:val="22"/>
                <w:szCs w:val="22"/>
              </w:rPr>
              <w:t>0</w:t>
            </w:r>
          </w:p>
        </w:tc>
      </w:tr>
    </w:tbl>
    <w:p w14:paraId="7D393F09" w14:textId="7147910B" w:rsidR="001E7F96" w:rsidRPr="00D7771C" w:rsidRDefault="001E7F96" w:rsidP="001E7F96">
      <w:pPr>
        <w:pStyle w:val="ListParagraph"/>
        <w:spacing w:after="0"/>
        <w:ind w:left="360"/>
        <w:jc w:val="both"/>
        <w:rPr>
          <w:rFonts w:ascii="Arial" w:hAnsi="Arial" w:cs="Arial"/>
          <w:b/>
          <w:szCs w:val="24"/>
          <w:u w:val="single"/>
        </w:rPr>
      </w:pPr>
    </w:p>
    <w:p w14:paraId="6194348D" w14:textId="77777777" w:rsidR="002750E0" w:rsidRPr="00D7771C" w:rsidRDefault="002750E0" w:rsidP="001E7F96">
      <w:pPr>
        <w:pStyle w:val="ListParagraph"/>
        <w:spacing w:after="0"/>
        <w:ind w:left="360"/>
        <w:jc w:val="both"/>
        <w:rPr>
          <w:rFonts w:ascii="Arial" w:hAnsi="Arial" w:cs="Arial"/>
          <w:b/>
          <w:szCs w:val="24"/>
          <w:u w:val="single"/>
        </w:rPr>
      </w:pPr>
    </w:p>
    <w:p w14:paraId="15D23112" w14:textId="77777777" w:rsidR="0051572B" w:rsidRDefault="0051572B" w:rsidP="001E7F96">
      <w:pPr>
        <w:pStyle w:val="ListParagraph"/>
        <w:spacing w:after="0"/>
        <w:ind w:left="360"/>
        <w:jc w:val="both"/>
        <w:rPr>
          <w:rFonts w:ascii="Arial" w:hAnsi="Arial" w:cs="Arial"/>
          <w:b/>
          <w:szCs w:val="24"/>
          <w:u w:val="single"/>
        </w:rPr>
      </w:pPr>
    </w:p>
    <w:p w14:paraId="749C4AC2" w14:textId="77777777" w:rsidR="008E6A8B" w:rsidRDefault="008E6A8B" w:rsidP="001E7F96">
      <w:pPr>
        <w:pStyle w:val="ListParagraph"/>
        <w:spacing w:after="0"/>
        <w:ind w:left="360"/>
        <w:jc w:val="both"/>
        <w:rPr>
          <w:rFonts w:ascii="Arial" w:hAnsi="Arial" w:cs="Arial"/>
          <w:b/>
          <w:szCs w:val="24"/>
          <w:u w:val="single"/>
        </w:rPr>
      </w:pPr>
    </w:p>
    <w:p w14:paraId="2D978E5E" w14:textId="77777777" w:rsidR="008E6A8B" w:rsidRDefault="008E6A8B" w:rsidP="001E7F96">
      <w:pPr>
        <w:pStyle w:val="ListParagraph"/>
        <w:spacing w:after="0"/>
        <w:ind w:left="360"/>
        <w:jc w:val="both"/>
        <w:rPr>
          <w:rFonts w:ascii="Arial" w:hAnsi="Arial" w:cs="Arial"/>
          <w:b/>
          <w:szCs w:val="24"/>
          <w:u w:val="single"/>
        </w:rPr>
      </w:pPr>
    </w:p>
    <w:p w14:paraId="3547C4ED" w14:textId="77777777" w:rsidR="008E6A8B" w:rsidRDefault="008E6A8B" w:rsidP="001E7F96">
      <w:pPr>
        <w:pStyle w:val="ListParagraph"/>
        <w:spacing w:after="0"/>
        <w:ind w:left="360"/>
        <w:jc w:val="both"/>
        <w:rPr>
          <w:rFonts w:ascii="Arial" w:hAnsi="Arial" w:cs="Arial"/>
          <w:b/>
          <w:szCs w:val="24"/>
          <w:u w:val="single"/>
        </w:rPr>
      </w:pPr>
    </w:p>
    <w:p w14:paraId="54E93F99" w14:textId="77777777" w:rsidR="008E6A8B" w:rsidRPr="00D7771C" w:rsidRDefault="008E6A8B" w:rsidP="001E7F96">
      <w:pPr>
        <w:pStyle w:val="ListParagraph"/>
        <w:spacing w:after="0"/>
        <w:ind w:left="360"/>
        <w:jc w:val="both"/>
        <w:rPr>
          <w:rFonts w:ascii="Arial" w:hAnsi="Arial" w:cs="Arial"/>
          <w:b/>
          <w:szCs w:val="24"/>
          <w:u w:val="single"/>
        </w:rPr>
      </w:pPr>
    </w:p>
    <w:p w14:paraId="15966C11" w14:textId="7C41A3E3" w:rsidR="0096640D" w:rsidRPr="00D7771C" w:rsidRDefault="0096640D" w:rsidP="0096640D">
      <w:pPr>
        <w:pStyle w:val="ListParagraph"/>
        <w:numPr>
          <w:ilvl w:val="0"/>
          <w:numId w:val="3"/>
        </w:numPr>
        <w:spacing w:after="0"/>
        <w:jc w:val="both"/>
        <w:rPr>
          <w:rFonts w:ascii="Arial" w:hAnsi="Arial" w:cs="Arial"/>
          <w:b/>
          <w:sz w:val="24"/>
          <w:szCs w:val="24"/>
          <w:u w:val="single"/>
        </w:rPr>
      </w:pPr>
      <w:r w:rsidRPr="00D7771C">
        <w:rPr>
          <w:rFonts w:ascii="Arial" w:hAnsi="Arial" w:cs="Arial"/>
          <w:b/>
          <w:sz w:val="24"/>
          <w:szCs w:val="24"/>
          <w:u w:val="single"/>
        </w:rPr>
        <w:t>Required Documentation</w:t>
      </w:r>
    </w:p>
    <w:p w14:paraId="7CB1FAFD" w14:textId="77777777" w:rsidR="004F3022" w:rsidRPr="00D7771C" w:rsidRDefault="004F3022" w:rsidP="004F3022">
      <w:pPr>
        <w:pStyle w:val="ListParagraph"/>
        <w:spacing w:after="0"/>
        <w:ind w:left="360"/>
        <w:jc w:val="both"/>
        <w:rPr>
          <w:rFonts w:ascii="Arial" w:hAnsi="Arial" w:cs="Arial"/>
          <w:b/>
          <w:szCs w:val="24"/>
          <w:u w:val="single"/>
        </w:rPr>
      </w:pPr>
    </w:p>
    <w:p w14:paraId="46BC7F66" w14:textId="77777777" w:rsidR="0096640D" w:rsidRPr="00D7771C" w:rsidRDefault="0096640D" w:rsidP="0096640D">
      <w:pPr>
        <w:pStyle w:val="ListParagraph"/>
        <w:numPr>
          <w:ilvl w:val="0"/>
          <w:numId w:val="1"/>
        </w:numPr>
        <w:spacing w:after="0"/>
        <w:jc w:val="both"/>
        <w:rPr>
          <w:rFonts w:ascii="Arial" w:hAnsi="Arial" w:cs="Arial"/>
        </w:rPr>
      </w:pPr>
      <w:r w:rsidRPr="00D7771C">
        <w:rPr>
          <w:rFonts w:ascii="Arial" w:hAnsi="Arial" w:cs="Arial"/>
        </w:rPr>
        <w:t>Tax Clearance Certificate</w:t>
      </w:r>
      <w:r w:rsidR="00AB1010" w:rsidRPr="00D7771C">
        <w:rPr>
          <w:rFonts w:ascii="Arial" w:hAnsi="Arial" w:cs="Arial"/>
        </w:rPr>
        <w:t xml:space="preserve"> ( Tax pin issued by SARS)</w:t>
      </w:r>
    </w:p>
    <w:p w14:paraId="487040E0" w14:textId="77777777" w:rsidR="00AB1010" w:rsidRPr="00D7771C" w:rsidRDefault="00AB1010" w:rsidP="0096640D">
      <w:pPr>
        <w:pStyle w:val="ListParagraph"/>
        <w:numPr>
          <w:ilvl w:val="0"/>
          <w:numId w:val="1"/>
        </w:numPr>
        <w:spacing w:after="0"/>
        <w:jc w:val="both"/>
        <w:rPr>
          <w:rFonts w:ascii="Arial" w:hAnsi="Arial" w:cs="Arial"/>
        </w:rPr>
      </w:pPr>
      <w:r w:rsidRPr="00D7771C">
        <w:rPr>
          <w:rFonts w:ascii="Arial" w:hAnsi="Arial" w:cs="Arial"/>
        </w:rPr>
        <w:t>Declaration of interest ( SBD 4)</w:t>
      </w:r>
    </w:p>
    <w:p w14:paraId="15759C88" w14:textId="77777777" w:rsidR="0096640D" w:rsidRPr="00D7771C" w:rsidRDefault="0096640D" w:rsidP="0096640D">
      <w:pPr>
        <w:pStyle w:val="ListParagraph"/>
        <w:numPr>
          <w:ilvl w:val="0"/>
          <w:numId w:val="1"/>
        </w:numPr>
        <w:spacing w:after="0"/>
        <w:jc w:val="both"/>
        <w:rPr>
          <w:rFonts w:ascii="Arial" w:hAnsi="Arial" w:cs="Arial"/>
        </w:rPr>
      </w:pPr>
      <w:r w:rsidRPr="00D7771C">
        <w:rPr>
          <w:rFonts w:ascii="Arial" w:hAnsi="Arial" w:cs="Arial"/>
        </w:rPr>
        <w:t>BEE Certificate / Applicable Affidavit if classified as EME</w:t>
      </w:r>
    </w:p>
    <w:p w14:paraId="5C02C800" w14:textId="77777777" w:rsidR="0096640D" w:rsidRPr="00D7771C" w:rsidRDefault="0096640D" w:rsidP="0096640D">
      <w:pPr>
        <w:pStyle w:val="ListParagraph"/>
        <w:numPr>
          <w:ilvl w:val="0"/>
          <w:numId w:val="1"/>
        </w:numPr>
        <w:spacing w:after="0"/>
        <w:jc w:val="both"/>
        <w:rPr>
          <w:rFonts w:ascii="Arial" w:hAnsi="Arial" w:cs="Arial"/>
        </w:rPr>
      </w:pPr>
      <w:r w:rsidRPr="00D7771C">
        <w:rPr>
          <w:rFonts w:ascii="Arial" w:hAnsi="Arial" w:cs="Arial"/>
        </w:rPr>
        <w:t>Letter of Good Standing (COID) only if Applicable due to the nature of work required</w:t>
      </w:r>
    </w:p>
    <w:p w14:paraId="71BF837C" w14:textId="77777777" w:rsidR="0096640D" w:rsidRPr="00D7771C" w:rsidRDefault="0096640D" w:rsidP="0096640D">
      <w:pPr>
        <w:pStyle w:val="ListParagraph"/>
        <w:numPr>
          <w:ilvl w:val="0"/>
          <w:numId w:val="1"/>
        </w:numPr>
        <w:spacing w:after="0"/>
        <w:jc w:val="both"/>
        <w:rPr>
          <w:rFonts w:ascii="Arial" w:hAnsi="Arial" w:cs="Arial"/>
        </w:rPr>
      </w:pPr>
      <w:r w:rsidRPr="00D7771C">
        <w:rPr>
          <w:rFonts w:ascii="Arial" w:hAnsi="Arial" w:cs="Arial"/>
        </w:rPr>
        <w:t>Any other document or certification that might have been requested on this RFQ</w:t>
      </w:r>
    </w:p>
    <w:p w14:paraId="5B2423EE" w14:textId="77777777" w:rsidR="0096640D" w:rsidRPr="00BB0A82" w:rsidRDefault="0096640D" w:rsidP="0096640D">
      <w:pPr>
        <w:pStyle w:val="ListParagraph"/>
        <w:spacing w:after="0"/>
        <w:jc w:val="both"/>
        <w:rPr>
          <w:rFonts w:ascii="Arial" w:hAnsi="Arial" w:cs="Arial"/>
          <w:b/>
        </w:rPr>
      </w:pPr>
    </w:p>
    <w:p w14:paraId="14835348" w14:textId="77777777" w:rsidR="00302A0A" w:rsidRPr="00D7771C" w:rsidRDefault="00A44540" w:rsidP="0096640D">
      <w:pPr>
        <w:pStyle w:val="ListParagraph"/>
        <w:numPr>
          <w:ilvl w:val="0"/>
          <w:numId w:val="3"/>
        </w:numPr>
        <w:spacing w:after="0"/>
        <w:jc w:val="both"/>
        <w:rPr>
          <w:rFonts w:ascii="Arial" w:hAnsi="Arial" w:cs="Arial"/>
          <w:b/>
          <w:sz w:val="24"/>
          <w:szCs w:val="24"/>
          <w:u w:val="single"/>
        </w:rPr>
      </w:pPr>
      <w:r w:rsidRPr="00D7771C">
        <w:rPr>
          <w:rFonts w:ascii="Arial" w:hAnsi="Arial" w:cs="Arial"/>
          <w:b/>
          <w:sz w:val="24"/>
          <w:szCs w:val="24"/>
          <w:u w:val="single"/>
        </w:rPr>
        <w:t>Important</w:t>
      </w:r>
    </w:p>
    <w:p w14:paraId="6B1D5257" w14:textId="073A80FA" w:rsidR="00657B06" w:rsidRPr="00BB0A82" w:rsidRDefault="00657B06" w:rsidP="00657B06">
      <w:pPr>
        <w:spacing w:after="0"/>
        <w:jc w:val="both"/>
        <w:rPr>
          <w:rFonts w:ascii="Arial" w:hAnsi="Arial" w:cs="Arial"/>
          <w:b/>
          <w:szCs w:val="24"/>
          <w:u w:val="single"/>
        </w:rPr>
      </w:pPr>
    </w:p>
    <w:p w14:paraId="5EECCCFD" w14:textId="77777777" w:rsidR="000B5B8E" w:rsidRPr="00D7771C" w:rsidRDefault="000B5B8E" w:rsidP="00BB0A82">
      <w:pPr>
        <w:pStyle w:val="ListParagraph"/>
        <w:numPr>
          <w:ilvl w:val="1"/>
          <w:numId w:val="3"/>
        </w:numPr>
        <w:spacing w:after="0" w:line="360" w:lineRule="auto"/>
        <w:jc w:val="both"/>
        <w:rPr>
          <w:rFonts w:ascii="Arial" w:hAnsi="Arial" w:cs="Arial"/>
          <w:color w:val="000000"/>
          <w:szCs w:val="20"/>
        </w:rPr>
      </w:pPr>
      <w:r w:rsidRPr="00D7771C">
        <w:rPr>
          <w:rFonts w:ascii="Arial" w:hAnsi="Arial" w:cs="Arial"/>
          <w:color w:val="000000"/>
          <w:szCs w:val="20"/>
        </w:rPr>
        <w:t>Qu</w:t>
      </w:r>
      <w:r w:rsidR="00B9410C" w:rsidRPr="00D7771C">
        <w:rPr>
          <w:rFonts w:ascii="Arial" w:hAnsi="Arial" w:cs="Arial"/>
          <w:color w:val="000000"/>
          <w:szCs w:val="20"/>
        </w:rPr>
        <w:t>otation must be submitted</w:t>
      </w:r>
      <w:r w:rsidR="00657B06" w:rsidRPr="00D7771C">
        <w:rPr>
          <w:rFonts w:ascii="Arial" w:hAnsi="Arial" w:cs="Arial"/>
          <w:color w:val="000000"/>
          <w:szCs w:val="20"/>
        </w:rPr>
        <w:t xml:space="preserve"> on or before</w:t>
      </w:r>
      <w:r w:rsidRPr="00D7771C">
        <w:rPr>
          <w:rFonts w:ascii="Arial" w:hAnsi="Arial" w:cs="Arial"/>
          <w:color w:val="000000"/>
          <w:szCs w:val="20"/>
        </w:rPr>
        <w:t xml:space="preserve"> the RFQ closing date and time stated above.</w:t>
      </w:r>
    </w:p>
    <w:p w14:paraId="3D80E9A4" w14:textId="77777777" w:rsidR="000B5B8E" w:rsidRPr="00D7771C" w:rsidRDefault="008F1551" w:rsidP="00BB0A82">
      <w:pPr>
        <w:pStyle w:val="ListParagraph"/>
        <w:numPr>
          <w:ilvl w:val="1"/>
          <w:numId w:val="3"/>
        </w:numPr>
        <w:spacing w:after="0" w:line="360" w:lineRule="auto"/>
        <w:jc w:val="both"/>
        <w:rPr>
          <w:rFonts w:ascii="Arial" w:hAnsi="Arial" w:cs="Arial"/>
          <w:color w:val="000000"/>
          <w:szCs w:val="20"/>
        </w:rPr>
      </w:pPr>
      <w:r w:rsidRPr="00D7771C">
        <w:rPr>
          <w:rFonts w:ascii="Arial" w:hAnsi="Arial" w:cs="Arial"/>
          <w:color w:val="000000"/>
          <w:szCs w:val="20"/>
        </w:rPr>
        <w:t>Orders above R 30 000 will be evaluated according to the PPPFA 80/20-point system and a functionality scorecard where applicable and the ones above R 1 Million will be subjected to the tender process</w:t>
      </w:r>
      <w:r w:rsidR="001F169B" w:rsidRPr="00D7771C">
        <w:rPr>
          <w:rFonts w:ascii="Arial" w:hAnsi="Arial" w:cs="Arial"/>
          <w:color w:val="000000"/>
          <w:szCs w:val="20"/>
        </w:rPr>
        <w:t>.</w:t>
      </w:r>
      <w:r w:rsidR="000B5B8E" w:rsidRPr="00D7771C">
        <w:rPr>
          <w:rFonts w:ascii="Arial" w:hAnsi="Arial" w:cs="Arial"/>
          <w:color w:val="000000"/>
          <w:szCs w:val="20"/>
        </w:rPr>
        <w:t xml:space="preserve"> </w:t>
      </w:r>
    </w:p>
    <w:p w14:paraId="1590095B" w14:textId="53B52866" w:rsidR="008F1551" w:rsidRPr="00D7771C" w:rsidRDefault="008F1551" w:rsidP="00BB0A82">
      <w:pPr>
        <w:pStyle w:val="ListParagraph"/>
        <w:numPr>
          <w:ilvl w:val="1"/>
          <w:numId w:val="3"/>
        </w:numPr>
        <w:spacing w:after="0" w:line="360" w:lineRule="auto"/>
        <w:jc w:val="both"/>
        <w:rPr>
          <w:rFonts w:ascii="Arial" w:hAnsi="Arial" w:cs="Arial"/>
          <w:color w:val="000000"/>
          <w:szCs w:val="20"/>
        </w:rPr>
      </w:pPr>
      <w:r w:rsidRPr="00D7771C">
        <w:rPr>
          <w:rFonts w:ascii="Arial" w:hAnsi="Arial" w:cs="Arial"/>
          <w:color w:val="000000"/>
          <w:szCs w:val="20"/>
        </w:rPr>
        <w:t xml:space="preserve">This RFQ is subjected to the </w:t>
      </w:r>
      <w:proofErr w:type="spellStart"/>
      <w:r w:rsidRPr="00D7771C">
        <w:rPr>
          <w:rFonts w:ascii="Arial" w:hAnsi="Arial" w:cs="Arial"/>
          <w:color w:val="000000"/>
          <w:szCs w:val="20"/>
        </w:rPr>
        <w:t>Necsa’s</w:t>
      </w:r>
      <w:proofErr w:type="spellEnd"/>
      <w:r w:rsidRPr="00D7771C">
        <w:rPr>
          <w:rFonts w:ascii="Arial" w:hAnsi="Arial" w:cs="Arial"/>
          <w:color w:val="000000"/>
          <w:szCs w:val="20"/>
        </w:rPr>
        <w:t xml:space="preserve"> General Conditions of Purchase, Preferential Procurement Policy Framework Act 2000 and the Preferenti</w:t>
      </w:r>
      <w:r w:rsidR="00657B06" w:rsidRPr="00D7771C">
        <w:rPr>
          <w:rFonts w:ascii="Arial" w:hAnsi="Arial" w:cs="Arial"/>
          <w:color w:val="000000"/>
          <w:szCs w:val="20"/>
        </w:rPr>
        <w:t>al Procurement Regulations, 202</w:t>
      </w:r>
      <w:r w:rsidR="00703016" w:rsidRPr="00D7771C">
        <w:rPr>
          <w:rFonts w:ascii="Arial" w:hAnsi="Arial" w:cs="Arial"/>
          <w:color w:val="000000"/>
          <w:szCs w:val="20"/>
        </w:rPr>
        <w:t>2</w:t>
      </w:r>
      <w:r w:rsidRPr="00D7771C">
        <w:rPr>
          <w:rFonts w:ascii="Arial" w:hAnsi="Arial" w:cs="Arial"/>
          <w:color w:val="000000"/>
          <w:szCs w:val="20"/>
        </w:rPr>
        <w:t>, the General Conditions of Contract (GCC) and, if applicable, any other legislation or special conditions of contract</w:t>
      </w:r>
      <w:r w:rsidR="00E002BC" w:rsidRPr="00D7771C">
        <w:rPr>
          <w:rFonts w:ascii="Arial" w:hAnsi="Arial" w:cs="Arial"/>
          <w:color w:val="000000"/>
          <w:szCs w:val="20"/>
        </w:rPr>
        <w:t>.</w:t>
      </w:r>
      <w:r w:rsidRPr="00D7771C">
        <w:rPr>
          <w:rFonts w:ascii="Arial" w:hAnsi="Arial" w:cs="Arial"/>
          <w:color w:val="000000"/>
          <w:szCs w:val="20"/>
        </w:rPr>
        <w:t xml:space="preserve"> </w:t>
      </w:r>
    </w:p>
    <w:p w14:paraId="51C39431" w14:textId="77777777" w:rsidR="001F169B" w:rsidRPr="00D7771C" w:rsidRDefault="001F169B" w:rsidP="00BB0A82">
      <w:pPr>
        <w:pStyle w:val="ListParagraph"/>
        <w:numPr>
          <w:ilvl w:val="1"/>
          <w:numId w:val="3"/>
        </w:numPr>
        <w:spacing w:after="0" w:line="360" w:lineRule="auto"/>
        <w:jc w:val="both"/>
        <w:rPr>
          <w:rFonts w:ascii="Arial" w:hAnsi="Arial" w:cs="Arial"/>
          <w:color w:val="000000"/>
          <w:szCs w:val="20"/>
        </w:rPr>
      </w:pPr>
      <w:r w:rsidRPr="00D7771C">
        <w:rPr>
          <w:rFonts w:ascii="Arial" w:hAnsi="Arial" w:cs="Arial"/>
          <w:color w:val="000000"/>
          <w:szCs w:val="20"/>
        </w:rPr>
        <w:t>Failure on the part of a bidder to submit proof of B-BBEE Status level of contributor together with the bid, will be interpreted to mean that preference points for</w:t>
      </w:r>
      <w:r w:rsidR="00657B06" w:rsidRPr="00D7771C">
        <w:rPr>
          <w:rFonts w:ascii="Arial" w:hAnsi="Arial" w:cs="Arial"/>
          <w:color w:val="000000"/>
          <w:szCs w:val="20"/>
        </w:rPr>
        <w:t xml:space="preserve"> specific goals</w:t>
      </w:r>
      <w:r w:rsidRPr="00D7771C">
        <w:rPr>
          <w:rFonts w:ascii="Arial" w:hAnsi="Arial" w:cs="Arial"/>
          <w:color w:val="000000"/>
          <w:szCs w:val="20"/>
        </w:rPr>
        <w:t xml:space="preserve"> are not claimed. </w:t>
      </w:r>
    </w:p>
    <w:p w14:paraId="5718F51D" w14:textId="77777777" w:rsidR="001F169B" w:rsidRPr="00D7771C" w:rsidRDefault="001F169B" w:rsidP="00BB0A82">
      <w:pPr>
        <w:pStyle w:val="ListParagraph"/>
        <w:numPr>
          <w:ilvl w:val="1"/>
          <w:numId w:val="3"/>
        </w:numPr>
        <w:spacing w:after="0" w:line="360" w:lineRule="auto"/>
        <w:jc w:val="both"/>
        <w:rPr>
          <w:rFonts w:ascii="Arial" w:hAnsi="Arial" w:cs="Arial"/>
          <w:color w:val="000000"/>
          <w:szCs w:val="20"/>
        </w:rPr>
      </w:pPr>
      <w:r w:rsidRPr="00D7771C">
        <w:rPr>
          <w:rFonts w:ascii="Arial" w:hAnsi="Arial" w:cs="Arial"/>
          <w:color w:val="000000"/>
          <w:szCs w:val="20"/>
        </w:rPr>
        <w:t>The purchaser reserves the right to require of a bidder, either before a bid is adjudicated or at any time subsequently, to substantiate an</w:t>
      </w:r>
      <w:r w:rsidR="00703016" w:rsidRPr="00D7771C">
        <w:rPr>
          <w:rFonts w:ascii="Arial" w:hAnsi="Arial" w:cs="Arial"/>
          <w:color w:val="000000"/>
          <w:szCs w:val="20"/>
        </w:rPr>
        <w:t>y claim in regard to specific goals</w:t>
      </w:r>
      <w:r w:rsidRPr="00D7771C">
        <w:rPr>
          <w:rFonts w:ascii="Arial" w:hAnsi="Arial" w:cs="Arial"/>
          <w:color w:val="000000"/>
          <w:szCs w:val="20"/>
        </w:rPr>
        <w:t xml:space="preserve">, in any manner required by the purchaser. </w:t>
      </w:r>
    </w:p>
    <w:p w14:paraId="73804727" w14:textId="77777777" w:rsidR="00A93278" w:rsidRPr="00D7771C" w:rsidRDefault="00491C47" w:rsidP="00BB0A82">
      <w:pPr>
        <w:pStyle w:val="ListParagraph"/>
        <w:numPr>
          <w:ilvl w:val="1"/>
          <w:numId w:val="3"/>
        </w:numPr>
        <w:spacing w:after="0" w:line="360" w:lineRule="auto"/>
        <w:jc w:val="both"/>
        <w:rPr>
          <w:rFonts w:ascii="Arial" w:hAnsi="Arial" w:cs="Arial"/>
          <w:color w:val="000000"/>
          <w:szCs w:val="20"/>
        </w:rPr>
      </w:pPr>
      <w:r w:rsidRPr="00D7771C">
        <w:rPr>
          <w:rFonts w:ascii="Arial" w:hAnsi="Arial" w:cs="Arial"/>
          <w:color w:val="000000"/>
          <w:szCs w:val="20"/>
        </w:rPr>
        <w:t xml:space="preserve">For a Bidder to obtain clarity on any matter arising from or referred to in this document, please refer queries, in writing, to the contact details provided above. Under no circumstances may any other employee within </w:t>
      </w:r>
      <w:r w:rsidR="00703016" w:rsidRPr="00D7771C">
        <w:rPr>
          <w:rFonts w:ascii="Arial" w:hAnsi="Arial" w:cs="Arial"/>
          <w:color w:val="000000"/>
          <w:szCs w:val="20"/>
        </w:rPr>
        <w:t>Necsa</w:t>
      </w:r>
      <w:r w:rsidRPr="00D7771C">
        <w:rPr>
          <w:rFonts w:ascii="Arial" w:hAnsi="Arial" w:cs="Arial"/>
          <w:color w:val="000000"/>
          <w:szCs w:val="20"/>
        </w:rPr>
        <w:t xml:space="preserve"> be approached for any information. Any such action might result in a disqualification of a response submitted in competition to this RFQ.</w:t>
      </w:r>
    </w:p>
    <w:p w14:paraId="1B369968" w14:textId="77777777" w:rsidR="00A93278" w:rsidRPr="00D7771C" w:rsidRDefault="00491C47" w:rsidP="00BB0A82">
      <w:pPr>
        <w:pStyle w:val="ListParagraph"/>
        <w:numPr>
          <w:ilvl w:val="1"/>
          <w:numId w:val="3"/>
        </w:numPr>
        <w:spacing w:after="0" w:line="360" w:lineRule="auto"/>
        <w:jc w:val="both"/>
        <w:rPr>
          <w:rFonts w:ascii="Arial" w:hAnsi="Arial" w:cs="Arial"/>
          <w:color w:val="000000"/>
          <w:szCs w:val="20"/>
        </w:rPr>
      </w:pPr>
      <w:r w:rsidRPr="00D7771C">
        <w:rPr>
          <w:rFonts w:ascii="Arial" w:hAnsi="Arial" w:cs="Arial"/>
          <w:color w:val="000000"/>
          <w:szCs w:val="20"/>
        </w:rPr>
        <w:t xml:space="preserve"> No goods and/or ser</w:t>
      </w:r>
      <w:r w:rsidR="00703016" w:rsidRPr="00D7771C">
        <w:rPr>
          <w:rFonts w:ascii="Arial" w:hAnsi="Arial" w:cs="Arial"/>
          <w:color w:val="000000"/>
          <w:szCs w:val="20"/>
        </w:rPr>
        <w:t>vices should be delivered to Necsa without an official Necsa</w:t>
      </w:r>
      <w:r w:rsidRPr="00D7771C">
        <w:rPr>
          <w:rFonts w:ascii="Arial" w:hAnsi="Arial" w:cs="Arial"/>
          <w:color w:val="000000"/>
          <w:szCs w:val="20"/>
        </w:rPr>
        <w:t xml:space="preserve"> Purchase order.</w:t>
      </w:r>
    </w:p>
    <w:p w14:paraId="18A7F689" w14:textId="77777777" w:rsidR="00491C47" w:rsidRPr="00D7771C" w:rsidRDefault="00491C47" w:rsidP="00BB0A82">
      <w:pPr>
        <w:pStyle w:val="ListParagraph"/>
        <w:numPr>
          <w:ilvl w:val="1"/>
          <w:numId w:val="3"/>
        </w:numPr>
        <w:spacing w:after="0" w:line="360" w:lineRule="auto"/>
        <w:jc w:val="both"/>
        <w:rPr>
          <w:rFonts w:ascii="Arial" w:hAnsi="Arial" w:cs="Arial"/>
          <w:color w:val="000000"/>
          <w:szCs w:val="20"/>
        </w:rPr>
      </w:pPr>
      <w:r w:rsidRPr="00D7771C">
        <w:rPr>
          <w:rFonts w:ascii="Arial" w:hAnsi="Arial" w:cs="Arial"/>
          <w:color w:val="000000"/>
          <w:szCs w:val="20"/>
        </w:rPr>
        <w:t xml:space="preserve"> </w:t>
      </w:r>
      <w:r w:rsidR="00703016" w:rsidRPr="00D7771C">
        <w:rPr>
          <w:rFonts w:ascii="Arial" w:hAnsi="Arial" w:cs="Arial"/>
          <w:color w:val="000000"/>
          <w:szCs w:val="20"/>
        </w:rPr>
        <w:t>Necsa</w:t>
      </w:r>
      <w:r w:rsidR="00A44540" w:rsidRPr="00D7771C">
        <w:rPr>
          <w:rFonts w:ascii="Arial" w:hAnsi="Arial" w:cs="Arial"/>
          <w:color w:val="000000"/>
          <w:szCs w:val="20"/>
        </w:rPr>
        <w:t xml:space="preserve"> </w:t>
      </w:r>
      <w:r w:rsidRPr="00D7771C">
        <w:rPr>
          <w:rFonts w:ascii="Arial" w:hAnsi="Arial" w:cs="Arial"/>
          <w:color w:val="000000"/>
          <w:szCs w:val="20"/>
        </w:rPr>
        <w:t>reserves the right to; cancel or reject any quote and not to award the RFQ to the lowest Bidder or award parts of the RFQ to different Bidders, or not to award the RFQ at all.</w:t>
      </w:r>
    </w:p>
    <w:p w14:paraId="7EA9B1BE" w14:textId="77777777" w:rsidR="00491C47" w:rsidRPr="00D7771C" w:rsidRDefault="00E5291C" w:rsidP="00BB0A82">
      <w:pPr>
        <w:pStyle w:val="ListParagraph"/>
        <w:numPr>
          <w:ilvl w:val="1"/>
          <w:numId w:val="3"/>
        </w:numPr>
        <w:spacing w:after="0" w:line="360" w:lineRule="auto"/>
        <w:jc w:val="both"/>
        <w:rPr>
          <w:rFonts w:ascii="Arial" w:hAnsi="Arial" w:cs="Arial"/>
          <w:color w:val="000000"/>
          <w:szCs w:val="20"/>
        </w:rPr>
      </w:pPr>
      <w:r w:rsidRPr="00D7771C">
        <w:rPr>
          <w:rFonts w:ascii="Arial" w:hAnsi="Arial" w:cs="Arial"/>
          <w:color w:val="000000"/>
          <w:szCs w:val="20"/>
        </w:rPr>
        <w:t>The supplier shall under no circumstances offer, promise or make any gift, payment, loan, reward, inducement, benefit or other advantage, which may be construed as being made to</w:t>
      </w:r>
      <w:r w:rsidR="00703016" w:rsidRPr="00D7771C">
        <w:rPr>
          <w:rFonts w:ascii="Arial" w:hAnsi="Arial" w:cs="Arial"/>
          <w:color w:val="000000"/>
          <w:szCs w:val="20"/>
        </w:rPr>
        <w:t xml:space="preserve"> solicit any favour, to any Necsa</w:t>
      </w:r>
      <w:r w:rsidRPr="00D7771C">
        <w:rPr>
          <w:rFonts w:ascii="Arial" w:hAnsi="Arial" w:cs="Arial"/>
          <w:color w:val="000000"/>
          <w:szCs w:val="20"/>
        </w:rPr>
        <w:t xml:space="preserve"> employee or its representatives. Such an act shall constitute a material brea</w:t>
      </w:r>
      <w:r w:rsidR="00703016" w:rsidRPr="00D7771C">
        <w:rPr>
          <w:rFonts w:ascii="Arial" w:hAnsi="Arial" w:cs="Arial"/>
          <w:color w:val="000000"/>
          <w:szCs w:val="20"/>
        </w:rPr>
        <w:t>ch of the Agreement and the Necsa</w:t>
      </w:r>
      <w:r w:rsidRPr="00D7771C">
        <w:rPr>
          <w:rFonts w:ascii="Arial" w:hAnsi="Arial" w:cs="Arial"/>
          <w:color w:val="000000"/>
          <w:szCs w:val="20"/>
        </w:rPr>
        <w:t xml:space="preserve"> shall be entitled to terminate the Agreement forthwith, without prejudice to any of its rights</w:t>
      </w:r>
    </w:p>
    <w:p w14:paraId="4F14CD45" w14:textId="2342DCFB" w:rsidR="00707CE7" w:rsidRPr="00D7771C" w:rsidRDefault="008F1551" w:rsidP="00BB0A82">
      <w:pPr>
        <w:pStyle w:val="ListParagraph"/>
        <w:numPr>
          <w:ilvl w:val="1"/>
          <w:numId w:val="3"/>
        </w:numPr>
        <w:spacing w:after="0" w:line="360" w:lineRule="auto"/>
        <w:jc w:val="both"/>
        <w:rPr>
          <w:rFonts w:ascii="Arial" w:hAnsi="Arial" w:cs="Arial"/>
          <w:color w:val="000000"/>
          <w:szCs w:val="20"/>
        </w:rPr>
      </w:pPr>
      <w:r w:rsidRPr="00D7771C">
        <w:rPr>
          <w:rFonts w:ascii="Arial" w:hAnsi="Arial" w:cs="Arial"/>
          <w:color w:val="000000"/>
          <w:szCs w:val="20"/>
        </w:rPr>
        <w:t xml:space="preserve">By responding to this request, it shall be construed that: the bidder, hereby acknowledge to be fully conversant with the details and conditions set out in the </w:t>
      </w:r>
      <w:proofErr w:type="spellStart"/>
      <w:r w:rsidRPr="00D7771C">
        <w:rPr>
          <w:rFonts w:ascii="Arial" w:hAnsi="Arial" w:cs="Arial"/>
          <w:color w:val="000000"/>
          <w:szCs w:val="20"/>
        </w:rPr>
        <w:t>Necsa’s</w:t>
      </w:r>
      <w:proofErr w:type="spellEnd"/>
      <w:r w:rsidRPr="00D7771C">
        <w:rPr>
          <w:rFonts w:ascii="Arial" w:hAnsi="Arial" w:cs="Arial"/>
          <w:color w:val="000000"/>
          <w:szCs w:val="20"/>
        </w:rPr>
        <w:t xml:space="preserve"> General Conditions of Purchase, Preferential Procurement Policy Framework Act 2000 and the Preferenti</w:t>
      </w:r>
      <w:r w:rsidR="00703016" w:rsidRPr="00D7771C">
        <w:rPr>
          <w:rFonts w:ascii="Arial" w:hAnsi="Arial" w:cs="Arial"/>
          <w:color w:val="000000"/>
          <w:szCs w:val="20"/>
        </w:rPr>
        <w:t>al Procurement Regulations, 2022</w:t>
      </w:r>
      <w:r w:rsidRPr="00D7771C">
        <w:rPr>
          <w:rFonts w:ascii="Arial" w:hAnsi="Arial" w:cs="Arial"/>
          <w:color w:val="000000"/>
          <w:szCs w:val="20"/>
        </w:rPr>
        <w:t>, the General Conditions of Contract (GCC), Technical Information and Specifications attached, and hereby agree to supply, render services or perform works in accordance therewith</w:t>
      </w:r>
      <w:r w:rsidR="00BB0A82">
        <w:rPr>
          <w:rFonts w:ascii="Arial" w:hAnsi="Arial" w:cs="Arial"/>
          <w:color w:val="000000"/>
          <w:szCs w:val="20"/>
        </w:rPr>
        <w:t>.</w:t>
      </w:r>
    </w:p>
    <w:sectPr w:rsidR="00707CE7" w:rsidRPr="00D7771C" w:rsidSect="0028213E">
      <w:headerReference w:type="default" r:id="rId10"/>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5C4E" w14:textId="77777777" w:rsidR="007538D9" w:rsidRDefault="007538D9" w:rsidP="00990BD1">
      <w:pPr>
        <w:spacing w:after="0" w:line="240" w:lineRule="auto"/>
      </w:pPr>
      <w:r>
        <w:separator/>
      </w:r>
    </w:p>
  </w:endnote>
  <w:endnote w:type="continuationSeparator" w:id="0">
    <w:p w14:paraId="3C13DA40" w14:textId="77777777" w:rsidR="007538D9" w:rsidRDefault="007538D9"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2146" w14:textId="77777777" w:rsidR="007538D9" w:rsidRDefault="007538D9" w:rsidP="00990BD1">
      <w:pPr>
        <w:spacing w:after="0" w:line="240" w:lineRule="auto"/>
      </w:pPr>
      <w:r>
        <w:separator/>
      </w:r>
    </w:p>
  </w:footnote>
  <w:footnote w:type="continuationSeparator" w:id="0">
    <w:p w14:paraId="2D0F1DA0" w14:textId="77777777" w:rsidR="007538D9" w:rsidRDefault="007538D9"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02A7B898" w14:textId="77777777" w:rsidTr="00707CE7">
      <w:trPr>
        <w:trHeight w:val="319"/>
      </w:trPr>
      <w:tc>
        <w:tcPr>
          <w:tcW w:w="2065" w:type="dxa"/>
          <w:vMerge w:val="restart"/>
          <w:tcBorders>
            <w:bottom w:val="single" w:sz="8" w:space="0" w:color="000000"/>
            <w:right w:val="single" w:sz="8" w:space="0" w:color="000000"/>
          </w:tcBorders>
        </w:tcPr>
        <w:p w14:paraId="3FD4F8E8"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1927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49.8pt">
                <v:imagedata r:id="rId1" o:title=""/>
              </v:shape>
              <o:OLEObject Type="Embed" ProgID="MSPhotoEd.3" ShapeID="_x0000_i1025" DrawAspect="Content" ObjectID="_1824355403"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685DB9B7"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6EAA8EB9"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203248F8" w14:textId="3BE751B5" w:rsidR="008E0775" w:rsidRDefault="00DA6F66" w:rsidP="008E0775">
          <w:pPr>
            <w:rPr>
              <w:rFonts w:ascii="Arial" w:hAnsi="Arial" w:cs="Arial"/>
              <w:color w:val="696969"/>
              <w:sz w:val="17"/>
              <w:szCs w:val="17"/>
            </w:rPr>
          </w:pPr>
          <w:r>
            <w:rPr>
              <w:rFonts w:ascii="Arial" w:hAnsi="Arial" w:cs="Arial"/>
              <w:color w:val="696969"/>
              <w:sz w:val="17"/>
              <w:szCs w:val="17"/>
            </w:rPr>
            <w:br/>
          </w:r>
          <w:r w:rsidR="00193FB2" w:rsidRPr="00193FB2">
            <w:rPr>
              <w:rFonts w:ascii="Arial" w:hAnsi="Arial" w:cs="Arial"/>
              <w:color w:val="696969"/>
              <w:sz w:val="17"/>
              <w:szCs w:val="17"/>
            </w:rPr>
            <w:t>NLM-QUO-25/119</w:t>
          </w:r>
        </w:p>
        <w:p w14:paraId="44260C03" w14:textId="77777777" w:rsidR="00707CE7" w:rsidRDefault="00707CE7" w:rsidP="00707CE7">
          <w:pPr>
            <w:pStyle w:val="TableParagraph"/>
            <w:spacing w:before="23"/>
            <w:ind w:left="98"/>
            <w:rPr>
              <w:sz w:val="20"/>
            </w:rPr>
          </w:pPr>
        </w:p>
      </w:tc>
    </w:tr>
    <w:tr w:rsidR="00707CE7" w14:paraId="7A9A271C" w14:textId="77777777" w:rsidTr="00707CE7">
      <w:trPr>
        <w:trHeight w:val="320"/>
      </w:trPr>
      <w:tc>
        <w:tcPr>
          <w:tcW w:w="2065" w:type="dxa"/>
          <w:vMerge/>
          <w:tcBorders>
            <w:top w:val="nil"/>
            <w:bottom w:val="single" w:sz="8" w:space="0" w:color="000000"/>
            <w:right w:val="single" w:sz="8" w:space="0" w:color="000000"/>
          </w:tcBorders>
        </w:tcPr>
        <w:p w14:paraId="7761491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A3E58E4"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74E509B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11B2274B" w14:textId="0B2C986E" w:rsidR="00707CE7" w:rsidRDefault="00584D42" w:rsidP="00707CE7">
          <w:pPr>
            <w:pStyle w:val="TableParagraph"/>
            <w:spacing w:before="23"/>
            <w:ind w:left="98"/>
            <w:rPr>
              <w:sz w:val="20"/>
            </w:rPr>
          </w:pPr>
          <w:r>
            <w:rPr>
              <w:sz w:val="20"/>
            </w:rPr>
            <w:t>1</w:t>
          </w:r>
        </w:p>
      </w:tc>
    </w:tr>
    <w:tr w:rsidR="00707CE7" w14:paraId="5E71D575" w14:textId="77777777" w:rsidTr="00707CE7">
      <w:trPr>
        <w:trHeight w:val="320"/>
      </w:trPr>
      <w:tc>
        <w:tcPr>
          <w:tcW w:w="2065" w:type="dxa"/>
          <w:vMerge/>
          <w:tcBorders>
            <w:top w:val="nil"/>
            <w:bottom w:val="single" w:sz="8" w:space="0" w:color="000000"/>
            <w:right w:val="single" w:sz="8" w:space="0" w:color="000000"/>
          </w:tcBorders>
        </w:tcPr>
        <w:p w14:paraId="06DB463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2521C5A9"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1BA8ACC7"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30F9139A" w14:textId="64F85955" w:rsidR="00707CE7" w:rsidRDefault="00584D42" w:rsidP="00707CE7">
          <w:pPr>
            <w:pStyle w:val="TableParagraph"/>
            <w:spacing w:before="23"/>
            <w:ind w:left="94"/>
            <w:rPr>
              <w:sz w:val="20"/>
            </w:rPr>
          </w:pPr>
          <w:r>
            <w:rPr>
              <w:sz w:val="20"/>
            </w:rPr>
            <w:t>1</w:t>
          </w:r>
          <w:r w:rsidR="00707CE7">
            <w:rPr>
              <w:sz w:val="20"/>
            </w:rPr>
            <w:t xml:space="preserve"> of</w:t>
          </w:r>
          <w:r w:rsidR="00707CE7">
            <w:rPr>
              <w:spacing w:val="54"/>
              <w:sz w:val="20"/>
            </w:rPr>
            <w:t xml:space="preserve"> </w:t>
          </w:r>
          <w:r w:rsidR="00707CE7">
            <w:rPr>
              <w:spacing w:val="-10"/>
              <w:sz w:val="20"/>
            </w:rPr>
            <w:t>4</w:t>
          </w:r>
        </w:p>
      </w:tc>
    </w:tr>
  </w:tbl>
  <w:p w14:paraId="5016D387"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DEA04AB"/>
    <w:multiLevelType w:val="hybridMultilevel"/>
    <w:tmpl w:val="04E2D4B0"/>
    <w:lvl w:ilvl="0" w:tplc="DCE4A272">
      <w:start w:val="1"/>
      <w:numFmt w:val="lowerRoman"/>
      <w:lvlText w:val="%1)"/>
      <w:lvlJc w:val="righ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B910BD4"/>
    <w:multiLevelType w:val="hybridMultilevel"/>
    <w:tmpl w:val="793EB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32E2E42"/>
    <w:multiLevelType w:val="hybridMultilevel"/>
    <w:tmpl w:val="C8668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6C663DE"/>
    <w:multiLevelType w:val="hybridMultilevel"/>
    <w:tmpl w:val="0E2E3B5A"/>
    <w:lvl w:ilvl="0" w:tplc="04090001">
      <w:start w:val="1"/>
      <w:numFmt w:val="bullet"/>
      <w:lvlText w:val=""/>
      <w:lvlJc w:val="left"/>
      <w:pPr>
        <w:ind w:left="1440" w:hanging="360"/>
      </w:pPr>
      <w:rPr>
        <w:rFonts w:ascii="Symbol" w:hAnsi="Symbol"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16cid:durableId="2145653513">
    <w:abstractNumId w:val="5"/>
  </w:num>
  <w:num w:numId="2" w16cid:durableId="1110665045">
    <w:abstractNumId w:val="7"/>
  </w:num>
  <w:num w:numId="3" w16cid:durableId="1883665770">
    <w:abstractNumId w:val="4"/>
  </w:num>
  <w:num w:numId="4" w16cid:durableId="1099838059">
    <w:abstractNumId w:val="11"/>
  </w:num>
  <w:num w:numId="5" w16cid:durableId="2121677952">
    <w:abstractNumId w:val="0"/>
  </w:num>
  <w:num w:numId="6" w16cid:durableId="2063598792">
    <w:abstractNumId w:val="9"/>
  </w:num>
  <w:num w:numId="7" w16cid:durableId="1519197989">
    <w:abstractNumId w:val="2"/>
  </w:num>
  <w:num w:numId="8" w16cid:durableId="1838495165">
    <w:abstractNumId w:val="3"/>
  </w:num>
  <w:num w:numId="9" w16cid:durableId="227955914">
    <w:abstractNumId w:val="1"/>
  </w:num>
  <w:num w:numId="10" w16cid:durableId="655301205">
    <w:abstractNumId w:val="8"/>
  </w:num>
  <w:num w:numId="11" w16cid:durableId="1183472187">
    <w:abstractNumId w:val="10"/>
  </w:num>
  <w:num w:numId="12" w16cid:durableId="145833580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99"/>
    <w:rsid w:val="0000129C"/>
    <w:rsid w:val="00015673"/>
    <w:rsid w:val="00015AF1"/>
    <w:rsid w:val="00024434"/>
    <w:rsid w:val="0002535F"/>
    <w:rsid w:val="00026653"/>
    <w:rsid w:val="0002678D"/>
    <w:rsid w:val="000308D0"/>
    <w:rsid w:val="00033F30"/>
    <w:rsid w:val="00052FAE"/>
    <w:rsid w:val="00060268"/>
    <w:rsid w:val="00067040"/>
    <w:rsid w:val="00067F0B"/>
    <w:rsid w:val="00073E6A"/>
    <w:rsid w:val="000B4C17"/>
    <w:rsid w:val="000B5B8E"/>
    <w:rsid w:val="000B6714"/>
    <w:rsid w:val="000C0511"/>
    <w:rsid w:val="000C5B2D"/>
    <w:rsid w:val="000C6AA4"/>
    <w:rsid w:val="000D25E1"/>
    <w:rsid w:val="000D5F78"/>
    <w:rsid w:val="000D69F9"/>
    <w:rsid w:val="000E07D2"/>
    <w:rsid w:val="000E0A2F"/>
    <w:rsid w:val="000F5818"/>
    <w:rsid w:val="001036AD"/>
    <w:rsid w:val="0011404B"/>
    <w:rsid w:val="00120F01"/>
    <w:rsid w:val="00123663"/>
    <w:rsid w:val="001311EE"/>
    <w:rsid w:val="00140E47"/>
    <w:rsid w:val="0014285C"/>
    <w:rsid w:val="0014302D"/>
    <w:rsid w:val="001448BD"/>
    <w:rsid w:val="00155894"/>
    <w:rsid w:val="00160B04"/>
    <w:rsid w:val="00166F53"/>
    <w:rsid w:val="0017062B"/>
    <w:rsid w:val="00172242"/>
    <w:rsid w:val="0017570A"/>
    <w:rsid w:val="00176A20"/>
    <w:rsid w:val="001911FD"/>
    <w:rsid w:val="00193FB2"/>
    <w:rsid w:val="001A061D"/>
    <w:rsid w:val="001A0CA1"/>
    <w:rsid w:val="001A799E"/>
    <w:rsid w:val="001B1D1B"/>
    <w:rsid w:val="001B2823"/>
    <w:rsid w:val="001C316D"/>
    <w:rsid w:val="001C3E70"/>
    <w:rsid w:val="001C7C35"/>
    <w:rsid w:val="001D4A9A"/>
    <w:rsid w:val="001D77EE"/>
    <w:rsid w:val="001E7F96"/>
    <w:rsid w:val="001F0EB1"/>
    <w:rsid w:val="001F169B"/>
    <w:rsid w:val="001F2242"/>
    <w:rsid w:val="002010F5"/>
    <w:rsid w:val="00203B76"/>
    <w:rsid w:val="00203E56"/>
    <w:rsid w:val="00204DB6"/>
    <w:rsid w:val="00205B57"/>
    <w:rsid w:val="002121C7"/>
    <w:rsid w:val="00212DB4"/>
    <w:rsid w:val="00226D24"/>
    <w:rsid w:val="00230A95"/>
    <w:rsid w:val="00230CB3"/>
    <w:rsid w:val="00236A4D"/>
    <w:rsid w:val="00240CE3"/>
    <w:rsid w:val="002579DE"/>
    <w:rsid w:val="0026043B"/>
    <w:rsid w:val="00263297"/>
    <w:rsid w:val="0026416E"/>
    <w:rsid w:val="00266E5A"/>
    <w:rsid w:val="00267E19"/>
    <w:rsid w:val="00274FF6"/>
    <w:rsid w:val="002750E0"/>
    <w:rsid w:val="00277F77"/>
    <w:rsid w:val="0028213E"/>
    <w:rsid w:val="0028252E"/>
    <w:rsid w:val="00283D7E"/>
    <w:rsid w:val="00297C2A"/>
    <w:rsid w:val="002A7BBC"/>
    <w:rsid w:val="002B17CE"/>
    <w:rsid w:val="002B7E0B"/>
    <w:rsid w:val="002C1C0C"/>
    <w:rsid w:val="002F5C7B"/>
    <w:rsid w:val="002F70F7"/>
    <w:rsid w:val="00302A0A"/>
    <w:rsid w:val="0031186D"/>
    <w:rsid w:val="00311D93"/>
    <w:rsid w:val="00320717"/>
    <w:rsid w:val="00320C38"/>
    <w:rsid w:val="0033118F"/>
    <w:rsid w:val="00351BBE"/>
    <w:rsid w:val="00353BF5"/>
    <w:rsid w:val="003616F8"/>
    <w:rsid w:val="0036206D"/>
    <w:rsid w:val="00366739"/>
    <w:rsid w:val="00367AA8"/>
    <w:rsid w:val="00373606"/>
    <w:rsid w:val="0038494D"/>
    <w:rsid w:val="0038666F"/>
    <w:rsid w:val="003904E1"/>
    <w:rsid w:val="00393DB5"/>
    <w:rsid w:val="003A014A"/>
    <w:rsid w:val="003A56F0"/>
    <w:rsid w:val="003A627D"/>
    <w:rsid w:val="003B0257"/>
    <w:rsid w:val="003B5BB2"/>
    <w:rsid w:val="003B760D"/>
    <w:rsid w:val="003C4628"/>
    <w:rsid w:val="003D16E2"/>
    <w:rsid w:val="003D36A1"/>
    <w:rsid w:val="003E1620"/>
    <w:rsid w:val="003E1B43"/>
    <w:rsid w:val="003E6953"/>
    <w:rsid w:val="003F56B1"/>
    <w:rsid w:val="00402EF8"/>
    <w:rsid w:val="00414409"/>
    <w:rsid w:val="00421D7E"/>
    <w:rsid w:val="00425664"/>
    <w:rsid w:val="00426FEC"/>
    <w:rsid w:val="004364B2"/>
    <w:rsid w:val="00452004"/>
    <w:rsid w:val="00457503"/>
    <w:rsid w:val="00462CDE"/>
    <w:rsid w:val="00485665"/>
    <w:rsid w:val="00491C47"/>
    <w:rsid w:val="00494B37"/>
    <w:rsid w:val="004D0F51"/>
    <w:rsid w:val="004D54EE"/>
    <w:rsid w:val="004E1461"/>
    <w:rsid w:val="004E19C2"/>
    <w:rsid w:val="004E60F3"/>
    <w:rsid w:val="004F3022"/>
    <w:rsid w:val="005062BF"/>
    <w:rsid w:val="00514AE5"/>
    <w:rsid w:val="0051572B"/>
    <w:rsid w:val="0051660E"/>
    <w:rsid w:val="005307F6"/>
    <w:rsid w:val="00530B1C"/>
    <w:rsid w:val="00533645"/>
    <w:rsid w:val="00537523"/>
    <w:rsid w:val="005400AC"/>
    <w:rsid w:val="00547AF9"/>
    <w:rsid w:val="00547EEE"/>
    <w:rsid w:val="005576A0"/>
    <w:rsid w:val="00557828"/>
    <w:rsid w:val="00560B78"/>
    <w:rsid w:val="00560F8F"/>
    <w:rsid w:val="00584D42"/>
    <w:rsid w:val="005921AA"/>
    <w:rsid w:val="00596A19"/>
    <w:rsid w:val="005A0161"/>
    <w:rsid w:val="005A0E84"/>
    <w:rsid w:val="005A61E7"/>
    <w:rsid w:val="005A7782"/>
    <w:rsid w:val="005B31AF"/>
    <w:rsid w:val="005B51B7"/>
    <w:rsid w:val="005B71AA"/>
    <w:rsid w:val="005C547A"/>
    <w:rsid w:val="005D1F14"/>
    <w:rsid w:val="005D251E"/>
    <w:rsid w:val="005D3EA3"/>
    <w:rsid w:val="005D4B22"/>
    <w:rsid w:val="005D6F92"/>
    <w:rsid w:val="005F717D"/>
    <w:rsid w:val="006059F7"/>
    <w:rsid w:val="006346AD"/>
    <w:rsid w:val="006356B0"/>
    <w:rsid w:val="0063737F"/>
    <w:rsid w:val="006434D7"/>
    <w:rsid w:val="00644904"/>
    <w:rsid w:val="00650E63"/>
    <w:rsid w:val="006554AE"/>
    <w:rsid w:val="00657B06"/>
    <w:rsid w:val="0066139F"/>
    <w:rsid w:val="0066174C"/>
    <w:rsid w:val="006626DF"/>
    <w:rsid w:val="00685D21"/>
    <w:rsid w:val="00693BEA"/>
    <w:rsid w:val="0069514B"/>
    <w:rsid w:val="006969EA"/>
    <w:rsid w:val="006A421D"/>
    <w:rsid w:val="006A5715"/>
    <w:rsid w:val="006A785C"/>
    <w:rsid w:val="006B1B37"/>
    <w:rsid w:val="006B7AC5"/>
    <w:rsid w:val="006C0D15"/>
    <w:rsid w:val="006D11CD"/>
    <w:rsid w:val="006D3A67"/>
    <w:rsid w:val="006D4084"/>
    <w:rsid w:val="006D7113"/>
    <w:rsid w:val="006F7A6D"/>
    <w:rsid w:val="007013A7"/>
    <w:rsid w:val="00703016"/>
    <w:rsid w:val="007060B1"/>
    <w:rsid w:val="00707CE7"/>
    <w:rsid w:val="00712300"/>
    <w:rsid w:val="007236D2"/>
    <w:rsid w:val="00725378"/>
    <w:rsid w:val="00725B31"/>
    <w:rsid w:val="00731FA5"/>
    <w:rsid w:val="00740E16"/>
    <w:rsid w:val="00745227"/>
    <w:rsid w:val="00745D44"/>
    <w:rsid w:val="007533CE"/>
    <w:rsid w:val="007538D9"/>
    <w:rsid w:val="00756381"/>
    <w:rsid w:val="00774F77"/>
    <w:rsid w:val="00776A67"/>
    <w:rsid w:val="00796CA4"/>
    <w:rsid w:val="007A0DAA"/>
    <w:rsid w:val="007A1178"/>
    <w:rsid w:val="007A7CBD"/>
    <w:rsid w:val="007B0C1A"/>
    <w:rsid w:val="007C0CF5"/>
    <w:rsid w:val="007C2059"/>
    <w:rsid w:val="007C281F"/>
    <w:rsid w:val="007C4B50"/>
    <w:rsid w:val="007C5409"/>
    <w:rsid w:val="007D649C"/>
    <w:rsid w:val="007F2BF1"/>
    <w:rsid w:val="007F5F07"/>
    <w:rsid w:val="008058DC"/>
    <w:rsid w:val="0080596B"/>
    <w:rsid w:val="00807E6D"/>
    <w:rsid w:val="00833150"/>
    <w:rsid w:val="00833B45"/>
    <w:rsid w:val="00842345"/>
    <w:rsid w:val="00845022"/>
    <w:rsid w:val="00845426"/>
    <w:rsid w:val="008526EC"/>
    <w:rsid w:val="00864579"/>
    <w:rsid w:val="00883ADB"/>
    <w:rsid w:val="00883C4E"/>
    <w:rsid w:val="008947FB"/>
    <w:rsid w:val="0089720E"/>
    <w:rsid w:val="008A34C2"/>
    <w:rsid w:val="008B6F0C"/>
    <w:rsid w:val="008C5A9B"/>
    <w:rsid w:val="008E0775"/>
    <w:rsid w:val="008E2BB3"/>
    <w:rsid w:val="008E3E00"/>
    <w:rsid w:val="008E4B98"/>
    <w:rsid w:val="008E6A8B"/>
    <w:rsid w:val="008F1551"/>
    <w:rsid w:val="008F2A30"/>
    <w:rsid w:val="008F606C"/>
    <w:rsid w:val="009033BD"/>
    <w:rsid w:val="00916503"/>
    <w:rsid w:val="0093123C"/>
    <w:rsid w:val="00943AD3"/>
    <w:rsid w:val="00946ACA"/>
    <w:rsid w:val="00950AD1"/>
    <w:rsid w:val="00957BB2"/>
    <w:rsid w:val="0096640D"/>
    <w:rsid w:val="00972128"/>
    <w:rsid w:val="00975603"/>
    <w:rsid w:val="0098183A"/>
    <w:rsid w:val="00990BD1"/>
    <w:rsid w:val="0099245F"/>
    <w:rsid w:val="0099630E"/>
    <w:rsid w:val="009A1B1F"/>
    <w:rsid w:val="009A3F2F"/>
    <w:rsid w:val="009B1A76"/>
    <w:rsid w:val="009B2E6B"/>
    <w:rsid w:val="009B5BA1"/>
    <w:rsid w:val="009B5E41"/>
    <w:rsid w:val="009B6299"/>
    <w:rsid w:val="009C5499"/>
    <w:rsid w:val="009D6BF6"/>
    <w:rsid w:val="009E3142"/>
    <w:rsid w:val="009F581E"/>
    <w:rsid w:val="009F5863"/>
    <w:rsid w:val="00A01998"/>
    <w:rsid w:val="00A12161"/>
    <w:rsid w:val="00A1229A"/>
    <w:rsid w:val="00A21272"/>
    <w:rsid w:val="00A221D7"/>
    <w:rsid w:val="00A41113"/>
    <w:rsid w:val="00A44540"/>
    <w:rsid w:val="00A66B8F"/>
    <w:rsid w:val="00A708D2"/>
    <w:rsid w:val="00A77706"/>
    <w:rsid w:val="00A8180F"/>
    <w:rsid w:val="00A93278"/>
    <w:rsid w:val="00A95F92"/>
    <w:rsid w:val="00A96C52"/>
    <w:rsid w:val="00A97702"/>
    <w:rsid w:val="00AA02CB"/>
    <w:rsid w:val="00AB1010"/>
    <w:rsid w:val="00AB1029"/>
    <w:rsid w:val="00AB1545"/>
    <w:rsid w:val="00AB42EC"/>
    <w:rsid w:val="00AB6E44"/>
    <w:rsid w:val="00AC34A9"/>
    <w:rsid w:val="00AD0FB2"/>
    <w:rsid w:val="00AD2401"/>
    <w:rsid w:val="00AE3D34"/>
    <w:rsid w:val="00AE44A6"/>
    <w:rsid w:val="00AF7ECE"/>
    <w:rsid w:val="00B10B85"/>
    <w:rsid w:val="00B20A80"/>
    <w:rsid w:val="00B247BB"/>
    <w:rsid w:val="00B30CDC"/>
    <w:rsid w:val="00B54B8A"/>
    <w:rsid w:val="00B70805"/>
    <w:rsid w:val="00B84D00"/>
    <w:rsid w:val="00B905C5"/>
    <w:rsid w:val="00B92E63"/>
    <w:rsid w:val="00B9410C"/>
    <w:rsid w:val="00B96826"/>
    <w:rsid w:val="00BA4051"/>
    <w:rsid w:val="00BA79B5"/>
    <w:rsid w:val="00BB0A82"/>
    <w:rsid w:val="00BB2218"/>
    <w:rsid w:val="00BB2F0D"/>
    <w:rsid w:val="00BB4DF3"/>
    <w:rsid w:val="00BD22E5"/>
    <w:rsid w:val="00BE10D6"/>
    <w:rsid w:val="00BE29E0"/>
    <w:rsid w:val="00BE758C"/>
    <w:rsid w:val="00BE7BDB"/>
    <w:rsid w:val="00C03258"/>
    <w:rsid w:val="00C03A7C"/>
    <w:rsid w:val="00C1130D"/>
    <w:rsid w:val="00C27ADD"/>
    <w:rsid w:val="00C30258"/>
    <w:rsid w:val="00C40CD0"/>
    <w:rsid w:val="00C56DCF"/>
    <w:rsid w:val="00C57054"/>
    <w:rsid w:val="00C6118E"/>
    <w:rsid w:val="00C75561"/>
    <w:rsid w:val="00C9581D"/>
    <w:rsid w:val="00CB52FA"/>
    <w:rsid w:val="00CC0306"/>
    <w:rsid w:val="00CD046C"/>
    <w:rsid w:val="00CD0B19"/>
    <w:rsid w:val="00CD623A"/>
    <w:rsid w:val="00CE5158"/>
    <w:rsid w:val="00CF3A11"/>
    <w:rsid w:val="00CF433C"/>
    <w:rsid w:val="00CF6BC3"/>
    <w:rsid w:val="00D02017"/>
    <w:rsid w:val="00D02998"/>
    <w:rsid w:val="00D11878"/>
    <w:rsid w:val="00D14D6A"/>
    <w:rsid w:val="00D1798F"/>
    <w:rsid w:val="00D2386A"/>
    <w:rsid w:val="00D40FB7"/>
    <w:rsid w:val="00D51675"/>
    <w:rsid w:val="00D54811"/>
    <w:rsid w:val="00D7771C"/>
    <w:rsid w:val="00D86CE9"/>
    <w:rsid w:val="00DA2400"/>
    <w:rsid w:val="00DA6F66"/>
    <w:rsid w:val="00DC0ABA"/>
    <w:rsid w:val="00DC1244"/>
    <w:rsid w:val="00DC12C6"/>
    <w:rsid w:val="00DD468D"/>
    <w:rsid w:val="00DE114A"/>
    <w:rsid w:val="00DE1794"/>
    <w:rsid w:val="00DE2C2E"/>
    <w:rsid w:val="00DE3AAE"/>
    <w:rsid w:val="00DF6EEF"/>
    <w:rsid w:val="00E002BC"/>
    <w:rsid w:val="00E024B7"/>
    <w:rsid w:val="00E361E4"/>
    <w:rsid w:val="00E37641"/>
    <w:rsid w:val="00E4190B"/>
    <w:rsid w:val="00E45BA0"/>
    <w:rsid w:val="00E5291C"/>
    <w:rsid w:val="00E52A7E"/>
    <w:rsid w:val="00E5408B"/>
    <w:rsid w:val="00E55591"/>
    <w:rsid w:val="00E57686"/>
    <w:rsid w:val="00E66CBE"/>
    <w:rsid w:val="00E73129"/>
    <w:rsid w:val="00E75686"/>
    <w:rsid w:val="00E81AE6"/>
    <w:rsid w:val="00E85C21"/>
    <w:rsid w:val="00E90D07"/>
    <w:rsid w:val="00EA1CA2"/>
    <w:rsid w:val="00EB19C1"/>
    <w:rsid w:val="00EB5670"/>
    <w:rsid w:val="00EC1E7D"/>
    <w:rsid w:val="00EC23A7"/>
    <w:rsid w:val="00ED0194"/>
    <w:rsid w:val="00ED6867"/>
    <w:rsid w:val="00EF5622"/>
    <w:rsid w:val="00F224EF"/>
    <w:rsid w:val="00F22FC7"/>
    <w:rsid w:val="00F27238"/>
    <w:rsid w:val="00F27709"/>
    <w:rsid w:val="00F3484A"/>
    <w:rsid w:val="00F354EB"/>
    <w:rsid w:val="00F42EDE"/>
    <w:rsid w:val="00F64CD1"/>
    <w:rsid w:val="00F733A2"/>
    <w:rsid w:val="00F925BC"/>
    <w:rsid w:val="00F9542C"/>
    <w:rsid w:val="00FA6CB2"/>
    <w:rsid w:val="00FC3F2A"/>
    <w:rsid w:val="00FC4369"/>
    <w:rsid w:val="00FD7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4318"/>
  <w15:docId w15:val="{92EDA7AE-4577-41FA-A436-A733CC5F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character" w:customStyle="1" w:styleId="UnresolvedMention1">
    <w:name w:val="Unresolved Mention1"/>
    <w:basedOn w:val="DefaultParagraphFont"/>
    <w:uiPriority w:val="99"/>
    <w:semiHidden/>
    <w:unhideWhenUsed/>
    <w:rsid w:val="006059F7"/>
    <w:rPr>
      <w:color w:val="605E5C"/>
      <w:shd w:val="clear" w:color="auto" w:fill="E1DFDD"/>
    </w:rPr>
  </w:style>
  <w:style w:type="paragraph" w:styleId="Revision">
    <w:name w:val="Revision"/>
    <w:hidden/>
    <w:uiPriority w:val="99"/>
    <w:semiHidden/>
    <w:rsid w:val="00605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lile.sokhela@necs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csa.co.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E374-5A49-4E8C-94B0-52FE00F5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Jacobus Douglas</dc:creator>
  <cp:lastModifiedBy>Thulile Sokhela</cp:lastModifiedBy>
  <cp:revision>2</cp:revision>
  <cp:lastPrinted>2021-07-16T10:07:00Z</cp:lastPrinted>
  <dcterms:created xsi:type="dcterms:W3CDTF">2025-11-11T06:37:00Z</dcterms:created>
  <dcterms:modified xsi:type="dcterms:W3CDTF">2025-11-11T06:37:00Z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