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897" w:type="dxa"/>
        <w:jc w:val="center"/>
        <w:tblLook w:val="04A0" w:firstRow="1" w:lastRow="0" w:firstColumn="1" w:lastColumn="0" w:noHBand="0" w:noVBand="1"/>
      </w:tblPr>
      <w:tblGrid>
        <w:gridCol w:w="5116"/>
        <w:gridCol w:w="2126"/>
        <w:gridCol w:w="7655"/>
      </w:tblGrid>
      <w:tr w:rsidR="00A41BC6" w:rsidRPr="00A41BC6" w14:paraId="4177263B" w14:textId="77777777" w:rsidTr="005F2710">
        <w:trPr>
          <w:trHeight w:val="439"/>
          <w:jc w:val="center"/>
        </w:trPr>
        <w:tc>
          <w:tcPr>
            <w:tcW w:w="5116" w:type="dxa"/>
            <w:vMerge w:val="restart"/>
          </w:tcPr>
          <w:p w14:paraId="4C893A74" w14:textId="77777777" w:rsidR="00A41BC6" w:rsidRPr="00A41BC6" w:rsidRDefault="00A41BC6" w:rsidP="00A41BC6">
            <w:pPr>
              <w:rPr>
                <w:rFonts w:ascii="Arial" w:eastAsia="Calibri" w:hAnsi="Arial" w:cs="Arial"/>
                <w:b/>
                <w:bCs/>
              </w:rPr>
            </w:pPr>
            <w:r w:rsidRPr="00A41BC6">
              <w:rPr>
                <w:rFonts w:ascii="Arial" w:eastAsia="Calibri" w:hAnsi="Arial" w:cs="Arial"/>
                <w:b/>
                <w:bCs/>
              </w:rPr>
              <w:t>To whom it may concern</w:t>
            </w:r>
          </w:p>
        </w:tc>
        <w:tc>
          <w:tcPr>
            <w:tcW w:w="2126" w:type="dxa"/>
          </w:tcPr>
          <w:p w14:paraId="47945087" w14:textId="77777777" w:rsidR="00A41BC6" w:rsidRPr="00A41BC6" w:rsidRDefault="00A41BC6" w:rsidP="00A41BC6">
            <w:pPr>
              <w:rPr>
                <w:rFonts w:ascii="Arial" w:eastAsia="Calibri" w:hAnsi="Arial" w:cs="Arial"/>
                <w:b/>
                <w:bCs/>
                <w:sz w:val="28"/>
                <w:szCs w:val="28"/>
                <w:u w:val="single"/>
              </w:rPr>
            </w:pPr>
            <w:r w:rsidRPr="00A41BC6">
              <w:rPr>
                <w:rFonts w:ascii="Arial" w:eastAsia="Calibri" w:hAnsi="Arial" w:cs="Arial"/>
                <w:b/>
                <w:bCs/>
              </w:rPr>
              <w:t>Date</w:t>
            </w:r>
          </w:p>
        </w:tc>
        <w:tc>
          <w:tcPr>
            <w:tcW w:w="7655" w:type="dxa"/>
          </w:tcPr>
          <w:p w14:paraId="1FE22376" w14:textId="11E42F99" w:rsidR="00A41BC6" w:rsidRPr="00277B27" w:rsidRDefault="00A9640C" w:rsidP="00A41BC6">
            <w:pPr>
              <w:rPr>
                <w:rFonts w:ascii="Arial" w:hAnsi="Arial" w:cs="Arial"/>
                <w:bCs/>
                <w:caps/>
              </w:rPr>
            </w:pPr>
            <w:r>
              <w:rPr>
                <w:rFonts w:ascii="Arial" w:hAnsi="Arial" w:cs="Arial"/>
                <w:bCs/>
                <w:caps/>
              </w:rPr>
              <w:t>5</w:t>
            </w:r>
            <w:r w:rsidR="007E00C5">
              <w:rPr>
                <w:rFonts w:ascii="Arial" w:hAnsi="Arial" w:cs="Arial"/>
                <w:bCs/>
                <w:caps/>
              </w:rPr>
              <w:t xml:space="preserve"> JUNE</w:t>
            </w:r>
            <w:r w:rsidR="00740347" w:rsidRPr="00277B27">
              <w:rPr>
                <w:rFonts w:ascii="Arial" w:hAnsi="Arial" w:cs="Arial"/>
                <w:bCs/>
                <w:caps/>
              </w:rPr>
              <w:t xml:space="preserve"> 202</w:t>
            </w:r>
            <w:r w:rsidR="00FE5E0D">
              <w:rPr>
                <w:rFonts w:ascii="Arial" w:hAnsi="Arial" w:cs="Arial"/>
                <w:bCs/>
                <w:caps/>
              </w:rPr>
              <w:t>6</w:t>
            </w:r>
          </w:p>
        </w:tc>
      </w:tr>
      <w:tr w:rsidR="00A41BC6" w:rsidRPr="00A41BC6" w14:paraId="08D31B03" w14:textId="77777777" w:rsidTr="005F2710">
        <w:trPr>
          <w:trHeight w:val="439"/>
          <w:jc w:val="center"/>
        </w:trPr>
        <w:tc>
          <w:tcPr>
            <w:tcW w:w="5116" w:type="dxa"/>
            <w:vMerge/>
          </w:tcPr>
          <w:p w14:paraId="13028066" w14:textId="77777777" w:rsidR="00A41BC6" w:rsidRPr="00A41BC6" w:rsidRDefault="00A41BC6" w:rsidP="00A41BC6">
            <w:pPr>
              <w:rPr>
                <w:rFonts w:ascii="Arial" w:eastAsia="Calibri" w:hAnsi="Arial" w:cs="Arial"/>
                <w:b/>
                <w:bCs/>
                <w:sz w:val="28"/>
                <w:szCs w:val="28"/>
                <w:u w:val="single"/>
              </w:rPr>
            </w:pPr>
          </w:p>
        </w:tc>
        <w:tc>
          <w:tcPr>
            <w:tcW w:w="2126" w:type="dxa"/>
          </w:tcPr>
          <w:p w14:paraId="62049029" w14:textId="77777777" w:rsidR="00A41BC6" w:rsidRPr="00A41BC6" w:rsidRDefault="00A41BC6" w:rsidP="00A41BC6">
            <w:pPr>
              <w:rPr>
                <w:rFonts w:ascii="Arial" w:eastAsia="Calibri" w:hAnsi="Arial" w:cs="Arial"/>
                <w:b/>
                <w:bCs/>
                <w:sz w:val="28"/>
                <w:szCs w:val="28"/>
                <w:u w:val="single"/>
              </w:rPr>
            </w:pPr>
            <w:r w:rsidRPr="00A41BC6">
              <w:rPr>
                <w:rFonts w:ascii="Arial" w:eastAsia="Calibri" w:hAnsi="Arial" w:cs="Arial"/>
                <w:b/>
                <w:bCs/>
              </w:rPr>
              <w:t>Enquiries</w:t>
            </w:r>
          </w:p>
        </w:tc>
        <w:tc>
          <w:tcPr>
            <w:tcW w:w="7655" w:type="dxa"/>
          </w:tcPr>
          <w:p w14:paraId="641B5D31" w14:textId="66580985" w:rsidR="00A41BC6" w:rsidRPr="00277B27" w:rsidRDefault="00FE5E0D" w:rsidP="00A41BC6">
            <w:pPr>
              <w:rPr>
                <w:rFonts w:ascii="Arial" w:hAnsi="Arial" w:cs="Arial"/>
                <w:bCs/>
                <w:caps/>
              </w:rPr>
            </w:pPr>
            <w:r>
              <w:rPr>
                <w:rFonts w:ascii="Arial" w:hAnsi="Arial" w:cs="Arial"/>
                <w:bCs/>
                <w:caps/>
              </w:rPr>
              <w:t>Clarification Meeting</w:t>
            </w:r>
          </w:p>
        </w:tc>
      </w:tr>
      <w:tr w:rsidR="00A41BC6" w:rsidRPr="00A9640C" w14:paraId="6D5659FE" w14:textId="77777777" w:rsidTr="005F2710">
        <w:trPr>
          <w:trHeight w:val="439"/>
          <w:jc w:val="center"/>
        </w:trPr>
        <w:tc>
          <w:tcPr>
            <w:tcW w:w="5116" w:type="dxa"/>
            <w:vMerge/>
          </w:tcPr>
          <w:p w14:paraId="25BFFF62" w14:textId="77777777" w:rsidR="00A41BC6" w:rsidRPr="00A41BC6" w:rsidRDefault="00A41BC6" w:rsidP="00A41BC6">
            <w:pPr>
              <w:rPr>
                <w:rFonts w:ascii="Arial" w:eastAsia="Calibri" w:hAnsi="Arial" w:cs="Arial"/>
                <w:b/>
                <w:bCs/>
                <w:sz w:val="28"/>
                <w:szCs w:val="28"/>
                <w:u w:val="single"/>
              </w:rPr>
            </w:pPr>
          </w:p>
        </w:tc>
        <w:tc>
          <w:tcPr>
            <w:tcW w:w="2126" w:type="dxa"/>
          </w:tcPr>
          <w:p w14:paraId="51B51C68" w14:textId="77777777" w:rsidR="00A41BC6" w:rsidRPr="00A41BC6" w:rsidRDefault="00A41BC6" w:rsidP="00A41BC6">
            <w:pPr>
              <w:rPr>
                <w:rFonts w:ascii="Arial" w:eastAsia="Calibri" w:hAnsi="Arial" w:cs="Arial"/>
                <w:b/>
                <w:bCs/>
                <w:sz w:val="28"/>
                <w:szCs w:val="28"/>
                <w:u w:val="single"/>
              </w:rPr>
            </w:pPr>
            <w:r w:rsidRPr="00A41BC6">
              <w:rPr>
                <w:rFonts w:ascii="Arial" w:eastAsia="Calibri" w:hAnsi="Arial" w:cs="Arial"/>
                <w:b/>
                <w:bCs/>
              </w:rPr>
              <w:t>E-mail address</w:t>
            </w:r>
          </w:p>
        </w:tc>
        <w:tc>
          <w:tcPr>
            <w:tcW w:w="7655" w:type="dxa"/>
          </w:tcPr>
          <w:p w14:paraId="2C0F9866" w14:textId="2ABD2986" w:rsidR="00A41BC6" w:rsidRPr="00A9640C" w:rsidRDefault="00A9640C" w:rsidP="00A41BC6">
            <w:pPr>
              <w:rPr>
                <w:rFonts w:ascii="Arial" w:hAnsi="Arial" w:cs="Arial"/>
                <w:bCs/>
                <w:caps/>
                <w:lang w:val="nl-NL"/>
              </w:rPr>
            </w:pPr>
            <w:r w:rsidRPr="00A9640C">
              <w:rPr>
                <w:rFonts w:ascii="Arial" w:hAnsi="Arial" w:cs="Arial"/>
                <w:bCs/>
                <w:caps/>
                <w:lang w:val="nl-NL"/>
              </w:rPr>
              <w:t>MakumeJ@eskom.co.za</w:t>
            </w:r>
          </w:p>
        </w:tc>
      </w:tr>
    </w:tbl>
    <w:p w14:paraId="24C7566B" w14:textId="5B57BDDB" w:rsidR="00A41BC6" w:rsidRPr="00A41BC6" w:rsidRDefault="00A41BC6" w:rsidP="00A41BC6">
      <w:pPr>
        <w:spacing w:before="360" w:line="240" w:lineRule="auto"/>
        <w:ind w:left="709" w:hanging="709"/>
        <w:rPr>
          <w:rFonts w:ascii="Arial" w:eastAsia="Times New Roman" w:hAnsi="Arial" w:cs="Arial"/>
          <w:lang w:val="en-US"/>
        </w:rPr>
      </w:pPr>
      <w:r w:rsidRPr="00A41BC6">
        <w:rPr>
          <w:rFonts w:ascii="Arial" w:eastAsia="Times New Roman" w:hAnsi="Arial" w:cs="Arial"/>
          <w:lang w:val="en-US"/>
        </w:rPr>
        <w:t>Dear Sir/Madam</w:t>
      </w:r>
    </w:p>
    <w:tbl>
      <w:tblPr>
        <w:tblStyle w:val="TableGrid"/>
        <w:tblW w:w="15304" w:type="dxa"/>
        <w:jc w:val="center"/>
        <w:tblLook w:val="04A0" w:firstRow="1" w:lastRow="0" w:firstColumn="1" w:lastColumn="0" w:noHBand="0" w:noVBand="1"/>
      </w:tblPr>
      <w:tblGrid>
        <w:gridCol w:w="3871"/>
        <w:gridCol w:w="11433"/>
      </w:tblGrid>
      <w:tr w:rsidR="00A41BC6" w:rsidRPr="00A41BC6" w14:paraId="76896201" w14:textId="77777777" w:rsidTr="007E3CA8">
        <w:trPr>
          <w:trHeight w:val="414"/>
          <w:jc w:val="center"/>
        </w:trPr>
        <w:tc>
          <w:tcPr>
            <w:tcW w:w="3871" w:type="dxa"/>
          </w:tcPr>
          <w:p w14:paraId="0E4B0524" w14:textId="06C9E3AE" w:rsidR="00A41BC6" w:rsidRPr="00A41BC6" w:rsidRDefault="00A41BC6" w:rsidP="00A41BC6">
            <w:pPr>
              <w:rPr>
                <w:rFonts w:ascii="Arial" w:eastAsia="Calibri" w:hAnsi="Arial" w:cs="Arial"/>
                <w:b/>
                <w:bCs/>
                <w:sz w:val="28"/>
                <w:szCs w:val="28"/>
                <w:u w:val="single"/>
              </w:rPr>
            </w:pPr>
            <w:r w:rsidRPr="00A41BC6">
              <w:rPr>
                <w:rFonts w:ascii="Arial" w:eastAsia="Calibri" w:hAnsi="Arial" w:cs="Arial"/>
                <w:b/>
                <w:bCs/>
              </w:rPr>
              <w:t>Request for Enquiry N</w:t>
            </w:r>
            <w:r w:rsidR="007F627F">
              <w:rPr>
                <w:rFonts w:ascii="Arial" w:eastAsia="Calibri" w:hAnsi="Arial" w:cs="Arial"/>
                <w:b/>
                <w:bCs/>
              </w:rPr>
              <w:t>umber</w:t>
            </w:r>
          </w:p>
        </w:tc>
        <w:tc>
          <w:tcPr>
            <w:tcW w:w="11433" w:type="dxa"/>
          </w:tcPr>
          <w:p w14:paraId="6F10E761" w14:textId="4164603E" w:rsidR="00A41BC6" w:rsidRPr="00277B27" w:rsidRDefault="007E3CA8" w:rsidP="00740347">
            <w:pPr>
              <w:rPr>
                <w:rFonts w:ascii="Arial" w:eastAsia="Calibri" w:hAnsi="Arial" w:cs="Arial"/>
                <w:bCs/>
              </w:rPr>
            </w:pPr>
            <w:r>
              <w:rPr>
                <w:rFonts w:ascii="Arial" w:eastAsia="Calibri" w:hAnsi="Arial" w:cs="Arial"/>
                <w:bCs/>
              </w:rPr>
              <w:t>E</w:t>
            </w:r>
            <w:r w:rsidR="00A9640C" w:rsidRPr="00A9640C">
              <w:rPr>
                <w:rFonts w:ascii="Arial" w:eastAsia="Calibri" w:hAnsi="Arial" w:cs="Arial"/>
                <w:bCs/>
              </w:rPr>
              <w:t>2</w:t>
            </w:r>
            <w:r w:rsidR="008B79C6">
              <w:rPr>
                <w:rFonts w:ascii="Arial" w:eastAsia="Calibri" w:hAnsi="Arial" w:cs="Arial"/>
                <w:bCs/>
              </w:rPr>
              <w:t>951</w:t>
            </w:r>
            <w:r w:rsidR="00A9640C" w:rsidRPr="00A9640C">
              <w:rPr>
                <w:rFonts w:ascii="Arial" w:eastAsia="Calibri" w:hAnsi="Arial" w:cs="Arial"/>
                <w:bCs/>
              </w:rPr>
              <w:t>CXMWP</w:t>
            </w:r>
          </w:p>
        </w:tc>
      </w:tr>
      <w:tr w:rsidR="00A41BC6" w:rsidRPr="00A41BC6" w14:paraId="11EC01B1" w14:textId="77777777" w:rsidTr="007E3CA8">
        <w:trPr>
          <w:trHeight w:val="414"/>
          <w:jc w:val="center"/>
        </w:trPr>
        <w:tc>
          <w:tcPr>
            <w:tcW w:w="3871" w:type="dxa"/>
          </w:tcPr>
          <w:p w14:paraId="0F81C49D" w14:textId="77777777" w:rsidR="00A41BC6" w:rsidRPr="00A41BC6" w:rsidRDefault="00A41BC6" w:rsidP="00A41BC6">
            <w:pPr>
              <w:rPr>
                <w:rFonts w:ascii="Arial" w:eastAsia="Calibri" w:hAnsi="Arial" w:cs="Arial"/>
                <w:b/>
                <w:bCs/>
                <w:sz w:val="28"/>
                <w:szCs w:val="28"/>
                <w:u w:val="single"/>
              </w:rPr>
            </w:pPr>
            <w:r w:rsidRPr="00A41BC6">
              <w:rPr>
                <w:rFonts w:ascii="Arial" w:eastAsia="Calibri" w:hAnsi="Arial" w:cs="Arial"/>
                <w:b/>
                <w:bCs/>
              </w:rPr>
              <w:t>Description / Project Title</w:t>
            </w:r>
          </w:p>
        </w:tc>
        <w:tc>
          <w:tcPr>
            <w:tcW w:w="11433" w:type="dxa"/>
          </w:tcPr>
          <w:p w14:paraId="00608571" w14:textId="5957BA47" w:rsidR="00A41BC6" w:rsidRPr="00277B27" w:rsidRDefault="00A9640C" w:rsidP="00CA4F2E">
            <w:pPr>
              <w:spacing w:beforeLines="40" w:before="96" w:afterLines="40" w:after="96"/>
              <w:rPr>
                <w:rFonts w:ascii="Arial" w:hAnsi="Arial" w:cs="Arial"/>
                <w:bCs/>
                <w:caps/>
              </w:rPr>
            </w:pPr>
            <w:r w:rsidRPr="00A9640C">
              <w:rPr>
                <w:rFonts w:ascii="Arial" w:hAnsi="Arial" w:cs="Arial"/>
                <w:bCs/>
                <w:caps/>
              </w:rPr>
              <w:t>FOR PROVISION OF TRANSACTIONAL ADVISOR FOR A VERTICALLY INTEGRATED PV MANUFACTURING FACILITY FEASIBILITY STUDY FOR A PERIOD OF TWENTY (20) MONTHS AT RESEARCH TESTING AND DEVELOPMENT</w:t>
            </w:r>
          </w:p>
        </w:tc>
      </w:tr>
      <w:tr w:rsidR="00A41BC6" w:rsidRPr="00A41BC6" w14:paraId="03CDDAC9" w14:textId="77777777" w:rsidTr="007E3CA8">
        <w:trPr>
          <w:trHeight w:val="414"/>
          <w:jc w:val="center"/>
        </w:trPr>
        <w:tc>
          <w:tcPr>
            <w:tcW w:w="3871" w:type="dxa"/>
          </w:tcPr>
          <w:p w14:paraId="26099B47" w14:textId="4C3C9FFA" w:rsidR="00A41BC6" w:rsidRPr="00A41BC6" w:rsidRDefault="00A41BC6" w:rsidP="00A41BC6">
            <w:pPr>
              <w:rPr>
                <w:rFonts w:ascii="Arial" w:eastAsia="Calibri" w:hAnsi="Arial" w:cs="Arial"/>
                <w:b/>
                <w:bCs/>
                <w:sz w:val="28"/>
                <w:szCs w:val="28"/>
                <w:u w:val="single"/>
              </w:rPr>
            </w:pPr>
            <w:r w:rsidRPr="00A41BC6">
              <w:rPr>
                <w:rFonts w:ascii="Arial" w:eastAsia="Calibri" w:hAnsi="Arial" w:cs="Arial"/>
                <w:b/>
                <w:bCs/>
              </w:rPr>
              <w:t xml:space="preserve">Tender </w:t>
            </w:r>
            <w:r w:rsidR="007F627F" w:rsidRPr="00A41BC6">
              <w:rPr>
                <w:rFonts w:ascii="Arial" w:eastAsia="Calibri" w:hAnsi="Arial" w:cs="Arial"/>
                <w:b/>
                <w:bCs/>
              </w:rPr>
              <w:t>Questions Closing Date</w:t>
            </w:r>
          </w:p>
        </w:tc>
        <w:tc>
          <w:tcPr>
            <w:tcW w:w="11433" w:type="dxa"/>
          </w:tcPr>
          <w:p w14:paraId="5996A892" w14:textId="7F596721" w:rsidR="00A41BC6" w:rsidRPr="00277B27" w:rsidRDefault="007F7D2F" w:rsidP="00A41BC6">
            <w:pPr>
              <w:rPr>
                <w:rFonts w:ascii="Arial" w:eastAsia="Calibri" w:hAnsi="Arial" w:cs="Arial"/>
                <w:bCs/>
              </w:rPr>
            </w:pPr>
            <w:r>
              <w:rPr>
                <w:rFonts w:ascii="Arial" w:eastAsia="Calibri" w:hAnsi="Arial" w:cs="Arial"/>
                <w:bCs/>
              </w:rPr>
              <w:t>25</w:t>
            </w:r>
            <w:r w:rsidR="00FE5E0D">
              <w:rPr>
                <w:rFonts w:ascii="Arial" w:eastAsia="Calibri" w:hAnsi="Arial" w:cs="Arial"/>
                <w:bCs/>
              </w:rPr>
              <w:t xml:space="preserve"> </w:t>
            </w:r>
            <w:r w:rsidR="007E3CA8">
              <w:rPr>
                <w:rFonts w:ascii="Arial" w:eastAsia="Calibri" w:hAnsi="Arial" w:cs="Arial"/>
                <w:bCs/>
              </w:rPr>
              <w:t>JULY</w:t>
            </w:r>
            <w:r w:rsidR="00CA4F2E" w:rsidRPr="00277B27">
              <w:rPr>
                <w:rFonts w:ascii="Arial" w:eastAsia="Calibri" w:hAnsi="Arial" w:cs="Arial"/>
                <w:bCs/>
              </w:rPr>
              <w:t xml:space="preserve"> 2025</w:t>
            </w:r>
          </w:p>
        </w:tc>
      </w:tr>
    </w:tbl>
    <w:p w14:paraId="0B4EFA29" w14:textId="77777777" w:rsidR="00A41BC6" w:rsidRPr="00A41BC6" w:rsidRDefault="00A41BC6" w:rsidP="00A41BC6">
      <w:pPr>
        <w:spacing w:after="160" w:line="259" w:lineRule="auto"/>
        <w:rPr>
          <w:rFonts w:ascii="Arial" w:eastAsia="Calibri" w:hAnsi="Arial" w:cs="Arial"/>
          <w:b/>
          <w:bCs/>
          <w:sz w:val="24"/>
          <w:szCs w:val="24"/>
          <w:u w:val="single"/>
        </w:rPr>
      </w:pPr>
    </w:p>
    <w:tbl>
      <w:tblPr>
        <w:tblStyle w:val="TableGrid"/>
        <w:tblW w:w="15540" w:type="dxa"/>
        <w:jc w:val="center"/>
        <w:tblLook w:val="04A0" w:firstRow="1" w:lastRow="0" w:firstColumn="1" w:lastColumn="0" w:noHBand="0" w:noVBand="1"/>
      </w:tblPr>
      <w:tblGrid>
        <w:gridCol w:w="669"/>
        <w:gridCol w:w="1831"/>
        <w:gridCol w:w="5859"/>
        <w:gridCol w:w="5670"/>
        <w:gridCol w:w="1511"/>
      </w:tblGrid>
      <w:tr w:rsidR="007E00C5" w:rsidRPr="00A2299C" w14:paraId="114B9B41" w14:textId="77777777" w:rsidTr="2DC7843C">
        <w:trPr>
          <w:trHeight w:val="405"/>
          <w:jc w:val="center"/>
        </w:trPr>
        <w:tc>
          <w:tcPr>
            <w:tcW w:w="669" w:type="dxa"/>
          </w:tcPr>
          <w:p w14:paraId="6FDF9FA7" w14:textId="77777777" w:rsidR="007E00C5" w:rsidRPr="00A2299C" w:rsidRDefault="007E00C5" w:rsidP="00010263">
            <w:pPr>
              <w:spacing w:line="276" w:lineRule="auto"/>
              <w:rPr>
                <w:rFonts w:ascii="Arial" w:eastAsia="Calibri" w:hAnsi="Arial" w:cs="Arial"/>
                <w:lang w:val="en-US"/>
              </w:rPr>
            </w:pPr>
            <w:r w:rsidRPr="00A2299C">
              <w:rPr>
                <w:rFonts w:ascii="Arial" w:eastAsia="Calibri" w:hAnsi="Arial" w:cs="Arial"/>
                <w:b/>
                <w:bCs/>
                <w:lang w:val="en-US"/>
              </w:rPr>
              <w:t xml:space="preserve">Item </w:t>
            </w:r>
          </w:p>
        </w:tc>
        <w:tc>
          <w:tcPr>
            <w:tcW w:w="1831" w:type="dxa"/>
          </w:tcPr>
          <w:p w14:paraId="5293E622" w14:textId="152D87A4" w:rsidR="007E00C5" w:rsidRPr="00A2299C" w:rsidRDefault="00676479" w:rsidP="00010263">
            <w:pPr>
              <w:spacing w:line="276" w:lineRule="auto"/>
              <w:rPr>
                <w:rFonts w:ascii="Arial" w:eastAsia="Calibri" w:hAnsi="Arial" w:cs="Arial"/>
                <w:b/>
                <w:bCs/>
                <w:lang w:val="en-US"/>
              </w:rPr>
            </w:pPr>
            <w:r w:rsidRPr="00A2299C">
              <w:rPr>
                <w:rFonts w:ascii="Arial" w:eastAsia="Calibri" w:hAnsi="Arial" w:cs="Arial"/>
                <w:b/>
                <w:bCs/>
                <w:lang w:val="en-US"/>
              </w:rPr>
              <w:t>Reference:</w:t>
            </w:r>
          </w:p>
        </w:tc>
        <w:tc>
          <w:tcPr>
            <w:tcW w:w="5859" w:type="dxa"/>
          </w:tcPr>
          <w:p w14:paraId="70FCC2AD" w14:textId="11FDD9A9" w:rsidR="007E00C5" w:rsidRPr="00A2299C" w:rsidRDefault="007E00C5" w:rsidP="00010263">
            <w:pPr>
              <w:spacing w:line="276" w:lineRule="auto"/>
              <w:rPr>
                <w:rFonts w:ascii="Arial" w:eastAsia="Calibri" w:hAnsi="Arial" w:cs="Arial"/>
                <w:lang w:val="en-US"/>
              </w:rPr>
            </w:pPr>
            <w:r w:rsidRPr="00A2299C">
              <w:rPr>
                <w:rFonts w:ascii="Arial" w:eastAsia="Calibri" w:hAnsi="Arial" w:cs="Arial"/>
                <w:b/>
                <w:bCs/>
                <w:lang w:val="en-US"/>
              </w:rPr>
              <w:t xml:space="preserve">Questions </w:t>
            </w:r>
          </w:p>
        </w:tc>
        <w:tc>
          <w:tcPr>
            <w:tcW w:w="5670" w:type="dxa"/>
          </w:tcPr>
          <w:p w14:paraId="2BC54E2D" w14:textId="77777777" w:rsidR="007E00C5" w:rsidRPr="00A2299C" w:rsidRDefault="007E00C5" w:rsidP="00010263">
            <w:pPr>
              <w:spacing w:line="276" w:lineRule="auto"/>
              <w:rPr>
                <w:rFonts w:ascii="Arial" w:eastAsia="Calibri" w:hAnsi="Arial" w:cs="Arial"/>
                <w:lang w:val="en-US"/>
              </w:rPr>
            </w:pPr>
            <w:r w:rsidRPr="00A2299C">
              <w:rPr>
                <w:rFonts w:ascii="Arial" w:eastAsia="Calibri" w:hAnsi="Arial" w:cs="Arial"/>
                <w:b/>
                <w:bCs/>
                <w:lang w:val="en-US"/>
              </w:rPr>
              <w:t xml:space="preserve">Answers </w:t>
            </w:r>
          </w:p>
        </w:tc>
        <w:tc>
          <w:tcPr>
            <w:tcW w:w="1511" w:type="dxa"/>
          </w:tcPr>
          <w:p w14:paraId="4B54DA68" w14:textId="6F1440C4" w:rsidR="007E00C5" w:rsidRPr="00A2299C" w:rsidRDefault="007E00C5" w:rsidP="00010263">
            <w:pPr>
              <w:spacing w:line="276" w:lineRule="auto"/>
              <w:rPr>
                <w:rFonts w:ascii="Arial" w:eastAsia="Calibri" w:hAnsi="Arial" w:cs="Arial"/>
                <w:lang w:val="en-US"/>
              </w:rPr>
            </w:pPr>
            <w:r w:rsidRPr="00A2299C">
              <w:rPr>
                <w:rFonts w:ascii="Arial" w:eastAsia="Calibri" w:hAnsi="Arial" w:cs="Arial"/>
                <w:b/>
                <w:bCs/>
                <w:lang w:val="en-US"/>
              </w:rPr>
              <w:t xml:space="preserve">Clarity Published Dates </w:t>
            </w:r>
          </w:p>
        </w:tc>
      </w:tr>
      <w:tr w:rsidR="007E00C5" w:rsidRPr="00A2299C" w14:paraId="1A2F2229" w14:textId="77777777" w:rsidTr="2DC7843C">
        <w:trPr>
          <w:trHeight w:val="405"/>
          <w:jc w:val="center"/>
        </w:trPr>
        <w:tc>
          <w:tcPr>
            <w:tcW w:w="669" w:type="dxa"/>
          </w:tcPr>
          <w:p w14:paraId="1C8FCD6E" w14:textId="77777777" w:rsidR="007E00C5" w:rsidRPr="00A2299C" w:rsidRDefault="007E00C5" w:rsidP="00010263">
            <w:pPr>
              <w:numPr>
                <w:ilvl w:val="0"/>
                <w:numId w:val="5"/>
              </w:numPr>
              <w:spacing w:line="276" w:lineRule="auto"/>
              <w:ind w:left="360"/>
              <w:rPr>
                <w:rFonts w:ascii="Arial" w:eastAsia="Calibri" w:hAnsi="Arial" w:cs="Arial"/>
                <w:lang w:val="en-US"/>
              </w:rPr>
            </w:pPr>
          </w:p>
        </w:tc>
        <w:tc>
          <w:tcPr>
            <w:tcW w:w="1831" w:type="dxa"/>
          </w:tcPr>
          <w:p w14:paraId="67F4CA4F" w14:textId="0C1ACE11" w:rsidR="00103FD9" w:rsidRPr="00A2299C" w:rsidRDefault="003E1D80" w:rsidP="00010263">
            <w:pPr>
              <w:spacing w:line="276" w:lineRule="auto"/>
              <w:rPr>
                <w:rFonts w:ascii="Arial" w:eastAsia="Calibri" w:hAnsi="Arial" w:cs="Arial"/>
              </w:rPr>
            </w:pPr>
            <w:r>
              <w:rPr>
                <w:rFonts w:ascii="Arial" w:eastAsia="Calibri" w:hAnsi="Arial" w:cs="Arial"/>
              </w:rPr>
              <w:t>09/06/20</w:t>
            </w:r>
            <w:r w:rsidR="00D72A3A">
              <w:rPr>
                <w:rFonts w:ascii="Arial" w:eastAsia="Calibri" w:hAnsi="Arial" w:cs="Arial"/>
              </w:rPr>
              <w:t>26</w:t>
            </w:r>
          </w:p>
        </w:tc>
        <w:tc>
          <w:tcPr>
            <w:tcW w:w="5859" w:type="dxa"/>
          </w:tcPr>
          <w:p w14:paraId="53C8AD02" w14:textId="738B018C" w:rsidR="007E00C5" w:rsidRPr="00A2299C" w:rsidRDefault="00A9640C" w:rsidP="007E3CA8">
            <w:pPr>
              <w:rPr>
                <w:rFonts w:ascii="Arial" w:eastAsia="Calibri" w:hAnsi="Arial" w:cs="Arial"/>
                <w:lang w:val="en-US"/>
              </w:rPr>
            </w:pPr>
            <w:r w:rsidRPr="00A9640C">
              <w:rPr>
                <w:rFonts w:ascii="Arial" w:eastAsia="Calibri" w:hAnsi="Arial" w:cs="Arial"/>
                <w:lang w:val="en-US"/>
              </w:rPr>
              <w:t>The project scope refers to mineral beneficiation and production of solar PV wafers. Does this mean that the feasibility must cover assessment of raw mineral availability, application for minerals, mine feasibility, mine EIA, etc.</w:t>
            </w:r>
          </w:p>
        </w:tc>
        <w:tc>
          <w:tcPr>
            <w:tcW w:w="5670" w:type="dxa"/>
          </w:tcPr>
          <w:p w14:paraId="2EB3B4A7" w14:textId="77777777" w:rsidR="00FF5CE6" w:rsidRPr="00FF5CE6" w:rsidRDefault="2AD9611B" w:rsidP="00094AED">
            <w:pPr>
              <w:jc w:val="both"/>
              <w:rPr>
                <w:rFonts w:ascii="Arial" w:hAnsi="Arial" w:cs="Arial"/>
                <w:lang w:val="en-US"/>
              </w:rPr>
            </w:pPr>
            <w:r w:rsidRPr="2D12A4FC">
              <w:rPr>
                <w:rFonts w:ascii="Arial" w:hAnsi="Arial" w:cs="Arial"/>
                <w:lang w:val="en-US"/>
              </w:rPr>
              <w:t>No. The feasibility study is not intended to include the development of a new mine, application for mining or prospecting rights, detailed mine feasibility studies, or mine specific Environmental Impact Assessments.</w:t>
            </w:r>
          </w:p>
          <w:p w14:paraId="3F264482" w14:textId="77777777" w:rsidR="00FF5CE6" w:rsidRPr="00FF5CE6" w:rsidRDefault="00FF5CE6" w:rsidP="00094AED">
            <w:pPr>
              <w:jc w:val="both"/>
              <w:rPr>
                <w:rFonts w:ascii="Arial" w:hAnsi="Arial" w:cs="Arial"/>
                <w:lang w:val="en-US"/>
              </w:rPr>
            </w:pPr>
          </w:p>
          <w:p w14:paraId="3A1F00E6" w14:textId="77777777" w:rsidR="00FF5CE6" w:rsidRPr="00FF5CE6" w:rsidRDefault="00FF5CE6" w:rsidP="00094AED">
            <w:pPr>
              <w:jc w:val="both"/>
              <w:rPr>
                <w:rFonts w:ascii="Arial" w:hAnsi="Arial" w:cs="Arial"/>
                <w:lang w:val="en-US"/>
              </w:rPr>
            </w:pPr>
            <w:r w:rsidRPr="00FF5CE6">
              <w:rPr>
                <w:rFonts w:ascii="Arial" w:hAnsi="Arial" w:cs="Arial"/>
                <w:lang w:val="en-US"/>
              </w:rPr>
              <w:t xml:space="preserve">The mineral beneficiation scope is limited to assessing the availability, quality, location, security of supply and commercial accessibility of relevant raw materials required for the PV manufacturing value chain. This includes evaluating existing or potential supply sources, </w:t>
            </w:r>
            <w:r w:rsidRPr="00FF5CE6">
              <w:rPr>
                <w:rFonts w:ascii="Arial" w:hAnsi="Arial" w:cs="Arial"/>
                <w:lang w:val="en-US"/>
              </w:rPr>
              <w:lastRenderedPageBreak/>
              <w:t>beneficiation requirements, technology pathways, infrastructure, logistics, indicative costs, regulatory considerations and the techno-economic viability of converting suitable feedstocks, for example such as high-purity quartz or silica, into metallurgical-grade silicon, polysilicon, ingots and wafers.</w:t>
            </w:r>
          </w:p>
          <w:p w14:paraId="527250F1" w14:textId="77777777" w:rsidR="00FF5CE6" w:rsidRPr="00FF5CE6" w:rsidRDefault="00FF5CE6" w:rsidP="00094AED">
            <w:pPr>
              <w:jc w:val="both"/>
              <w:rPr>
                <w:rFonts w:ascii="Arial" w:hAnsi="Arial" w:cs="Arial"/>
                <w:lang w:val="en-US"/>
              </w:rPr>
            </w:pPr>
          </w:p>
          <w:p w14:paraId="54A1FA78" w14:textId="06982225" w:rsidR="007E00C5" w:rsidRPr="00A2299C" w:rsidRDefault="00FF5CE6" w:rsidP="00094AED">
            <w:pPr>
              <w:jc w:val="both"/>
              <w:rPr>
                <w:rFonts w:ascii="Arial" w:hAnsi="Arial" w:cs="Arial"/>
                <w:lang w:val="en-US"/>
              </w:rPr>
            </w:pPr>
            <w:r w:rsidRPr="00FF5CE6">
              <w:rPr>
                <w:rFonts w:ascii="Arial" w:hAnsi="Arial" w:cs="Arial"/>
                <w:lang w:val="en-US"/>
              </w:rPr>
              <w:t xml:space="preserve">A key objective of this assessment is to identify opportunities for strategic partnerships with existing mining companies </w:t>
            </w:r>
            <w:r w:rsidRPr="00FF5CE6">
              <w:rPr>
                <w:rFonts w:ascii="Arial" w:hAnsi="Arial" w:cs="Arial"/>
                <w:i/>
                <w:iCs/>
                <w:lang w:val="en-US"/>
              </w:rPr>
              <w:t>(not limited to SA but venturing into the SADC region)</w:t>
            </w:r>
            <w:r w:rsidRPr="00FF5CE6">
              <w:rPr>
                <w:rFonts w:ascii="Arial" w:hAnsi="Arial" w:cs="Arial"/>
                <w:lang w:val="en-US"/>
              </w:rPr>
              <w:t>, mineral processors and other relevant stakeholders to secure sustainable feedstock supply and support local beneficiation. Where mineral deposits or potential upstream projects are identified, the Consultant should outline the associated permitting, environmental, technical and commercial requirements at a high level.</w:t>
            </w:r>
          </w:p>
        </w:tc>
        <w:tc>
          <w:tcPr>
            <w:tcW w:w="1511" w:type="dxa"/>
          </w:tcPr>
          <w:p w14:paraId="6512B824" w14:textId="2687259C" w:rsidR="007E00C5" w:rsidRPr="00A2299C" w:rsidRDefault="007F7D2F" w:rsidP="00010263">
            <w:pPr>
              <w:spacing w:line="276" w:lineRule="auto"/>
              <w:rPr>
                <w:rFonts w:ascii="Arial" w:eastAsia="Calibri" w:hAnsi="Arial" w:cs="Arial"/>
                <w:lang w:val="en-US"/>
              </w:rPr>
            </w:pPr>
            <w:r>
              <w:rPr>
                <w:rFonts w:ascii="Arial" w:eastAsia="Calibri" w:hAnsi="Arial" w:cs="Arial"/>
                <w:lang w:val="en-US"/>
              </w:rPr>
              <w:lastRenderedPageBreak/>
              <w:t>10 July 2026</w:t>
            </w:r>
          </w:p>
        </w:tc>
      </w:tr>
      <w:tr w:rsidR="00DB4B31" w:rsidRPr="00A2299C" w14:paraId="5A73B458" w14:textId="77777777" w:rsidTr="2DC7843C">
        <w:trPr>
          <w:trHeight w:val="405"/>
          <w:jc w:val="center"/>
        </w:trPr>
        <w:tc>
          <w:tcPr>
            <w:tcW w:w="669" w:type="dxa"/>
          </w:tcPr>
          <w:p w14:paraId="1D3E33A6" w14:textId="77777777" w:rsidR="00DB4B31" w:rsidRPr="00A2299C" w:rsidRDefault="00DB4B31" w:rsidP="00010263">
            <w:pPr>
              <w:numPr>
                <w:ilvl w:val="0"/>
                <w:numId w:val="5"/>
              </w:numPr>
              <w:spacing w:line="276" w:lineRule="auto"/>
              <w:ind w:left="360"/>
              <w:rPr>
                <w:rFonts w:ascii="Arial" w:eastAsia="Calibri" w:hAnsi="Arial" w:cs="Arial"/>
                <w:lang w:val="en-US"/>
              </w:rPr>
            </w:pPr>
          </w:p>
        </w:tc>
        <w:tc>
          <w:tcPr>
            <w:tcW w:w="1831" w:type="dxa"/>
          </w:tcPr>
          <w:p w14:paraId="19CA2DFA" w14:textId="2F960011" w:rsidR="00DB4B31" w:rsidRPr="00A2299C" w:rsidRDefault="00D72A3A" w:rsidP="00010263">
            <w:pPr>
              <w:spacing w:line="276" w:lineRule="auto"/>
              <w:rPr>
                <w:rFonts w:ascii="Arial" w:eastAsia="Calibri" w:hAnsi="Arial" w:cs="Arial"/>
                <w:lang w:val="en-US"/>
              </w:rPr>
            </w:pPr>
            <w:r>
              <w:rPr>
                <w:rFonts w:ascii="Arial" w:eastAsia="Calibri" w:hAnsi="Arial" w:cs="Arial"/>
              </w:rPr>
              <w:t>09/06/2026</w:t>
            </w:r>
          </w:p>
        </w:tc>
        <w:tc>
          <w:tcPr>
            <w:tcW w:w="5859" w:type="dxa"/>
          </w:tcPr>
          <w:p w14:paraId="765015FB" w14:textId="6EEF98F5" w:rsidR="00DB4B31" w:rsidRPr="00A2299C" w:rsidRDefault="507B3845" w:rsidP="00010263">
            <w:pPr>
              <w:spacing w:line="276" w:lineRule="auto"/>
              <w:rPr>
                <w:rFonts w:ascii="Arial" w:eastAsia="Calibri" w:hAnsi="Arial" w:cs="Arial"/>
                <w:lang w:val="en-US"/>
              </w:rPr>
            </w:pPr>
            <w:r w:rsidRPr="2D12A4FC">
              <w:rPr>
                <w:rFonts w:ascii="Arial" w:eastAsia="Calibri" w:hAnsi="Arial" w:cs="Arial"/>
                <w:lang w:val="en-US"/>
              </w:rPr>
              <w:t>Returnables and Closing Date</w:t>
            </w:r>
            <w:r w:rsidR="385F9314" w:rsidRPr="2D12A4FC">
              <w:rPr>
                <w:rFonts w:ascii="Arial" w:eastAsia="Calibri" w:hAnsi="Arial" w:cs="Arial"/>
                <w:lang w:val="en-US"/>
              </w:rPr>
              <w:t xml:space="preserve"> </w:t>
            </w:r>
            <w:r w:rsidRPr="2D12A4FC">
              <w:rPr>
                <w:rFonts w:ascii="Arial" w:eastAsia="Calibri" w:hAnsi="Arial" w:cs="Arial"/>
                <w:lang w:val="en-US"/>
              </w:rPr>
              <w:t>—</w:t>
            </w:r>
            <w:r w:rsidR="385F9314" w:rsidRPr="2D12A4FC">
              <w:rPr>
                <w:rFonts w:ascii="Arial" w:eastAsia="Calibri" w:hAnsi="Arial" w:cs="Arial"/>
                <w:lang w:val="en-US"/>
              </w:rPr>
              <w:t xml:space="preserve"> </w:t>
            </w:r>
            <w:r w:rsidRPr="2D12A4FC">
              <w:rPr>
                <w:rFonts w:ascii="Arial" w:eastAsia="Calibri" w:hAnsi="Arial" w:cs="Arial"/>
                <w:lang w:val="en-US"/>
              </w:rPr>
              <w:t>Is there a possibility for extending the tender closing date? Can Eskom consider extending the tender closing date by possibly a week to two weeks till end June 2026</w:t>
            </w:r>
          </w:p>
        </w:tc>
        <w:tc>
          <w:tcPr>
            <w:tcW w:w="5670" w:type="dxa"/>
          </w:tcPr>
          <w:p w14:paraId="7968449A" w14:textId="6CCCED41" w:rsidR="00DB4B31" w:rsidRPr="00A2299C" w:rsidRDefault="20F81B87" w:rsidP="00010263">
            <w:pPr>
              <w:spacing w:line="276" w:lineRule="auto"/>
              <w:rPr>
                <w:rFonts w:ascii="Arial" w:hAnsi="Arial" w:cs="Arial"/>
                <w:lang w:val="en-US"/>
              </w:rPr>
            </w:pPr>
            <w:r w:rsidRPr="2D12A4FC">
              <w:rPr>
                <w:rFonts w:ascii="Arial" w:hAnsi="Arial" w:cs="Arial"/>
                <w:lang w:val="en-US"/>
              </w:rPr>
              <w:t>Yes, please continue to check the tender bulletin for the updated tender closing date.</w:t>
            </w:r>
          </w:p>
        </w:tc>
        <w:tc>
          <w:tcPr>
            <w:tcW w:w="1511" w:type="dxa"/>
          </w:tcPr>
          <w:p w14:paraId="301CC30E" w14:textId="77777777" w:rsidR="00DB4B31" w:rsidRPr="00A2299C" w:rsidRDefault="00DB4B31" w:rsidP="00010263">
            <w:pPr>
              <w:spacing w:line="276" w:lineRule="auto"/>
              <w:rPr>
                <w:rFonts w:ascii="Arial" w:eastAsia="Calibri" w:hAnsi="Arial" w:cs="Arial"/>
                <w:lang w:val="en-US"/>
              </w:rPr>
            </w:pPr>
          </w:p>
        </w:tc>
      </w:tr>
      <w:tr w:rsidR="007C4BBF" w:rsidRPr="00A2299C" w14:paraId="789F6276" w14:textId="77777777" w:rsidTr="2DC7843C">
        <w:trPr>
          <w:trHeight w:val="405"/>
          <w:jc w:val="center"/>
        </w:trPr>
        <w:tc>
          <w:tcPr>
            <w:tcW w:w="669" w:type="dxa"/>
          </w:tcPr>
          <w:p w14:paraId="5996F278" w14:textId="77777777" w:rsidR="007C4BBF" w:rsidRPr="00A2299C" w:rsidRDefault="007C4BBF" w:rsidP="00010263">
            <w:pPr>
              <w:numPr>
                <w:ilvl w:val="0"/>
                <w:numId w:val="5"/>
              </w:numPr>
              <w:ind w:left="360"/>
              <w:rPr>
                <w:rFonts w:ascii="Arial" w:eastAsia="Calibri" w:hAnsi="Arial" w:cs="Arial"/>
                <w:lang w:val="en-US"/>
              </w:rPr>
            </w:pPr>
          </w:p>
        </w:tc>
        <w:tc>
          <w:tcPr>
            <w:tcW w:w="1831" w:type="dxa"/>
          </w:tcPr>
          <w:p w14:paraId="0EE0CBA6" w14:textId="288D55D5" w:rsidR="007C4BBF" w:rsidRPr="00A2299C" w:rsidRDefault="00D72A3A" w:rsidP="00010263">
            <w:pPr>
              <w:rPr>
                <w:rFonts w:ascii="Arial" w:hAnsi="Arial" w:cs="Arial"/>
                <w:lang w:val="en-US"/>
              </w:rPr>
            </w:pPr>
            <w:r>
              <w:rPr>
                <w:rFonts w:ascii="Arial" w:eastAsia="Calibri" w:hAnsi="Arial" w:cs="Arial"/>
              </w:rPr>
              <w:t>09/06/2026</w:t>
            </w:r>
          </w:p>
        </w:tc>
        <w:tc>
          <w:tcPr>
            <w:tcW w:w="5859" w:type="dxa"/>
          </w:tcPr>
          <w:p w14:paraId="60F161EA" w14:textId="0C4B0830" w:rsidR="007C4BBF" w:rsidRPr="007E3CA8" w:rsidRDefault="007E3CA8" w:rsidP="00010263">
            <w:pPr>
              <w:pStyle w:val="NormalWeb"/>
              <w:spacing w:before="0" w:beforeAutospacing="0" w:after="0" w:afterAutospacing="0" w:line="276" w:lineRule="auto"/>
              <w:rPr>
                <w:rFonts w:ascii="Arial" w:hAnsi="Arial" w:cs="Arial"/>
                <w:sz w:val="22"/>
                <w:szCs w:val="22"/>
              </w:rPr>
            </w:pPr>
            <w:r w:rsidRPr="007E3CA8">
              <w:rPr>
                <w:rFonts w:ascii="Arial" w:hAnsi="Arial" w:cs="Arial"/>
                <w:sz w:val="22"/>
                <w:szCs w:val="22"/>
              </w:rPr>
              <w:t>Is the site for the wafer production facility identified. Is it an Eskom site? This would speed up the site assessment and EIA process</w:t>
            </w:r>
          </w:p>
        </w:tc>
        <w:tc>
          <w:tcPr>
            <w:tcW w:w="5670" w:type="dxa"/>
          </w:tcPr>
          <w:p w14:paraId="060C728C" w14:textId="77777777" w:rsidR="00143793" w:rsidRPr="00143793" w:rsidRDefault="27FCCA04" w:rsidP="00143793">
            <w:pPr>
              <w:rPr>
                <w:rFonts w:ascii="Arial" w:hAnsi="Arial" w:cs="Arial"/>
                <w:lang w:val="en-US"/>
              </w:rPr>
            </w:pPr>
            <w:r w:rsidRPr="2D12A4FC">
              <w:rPr>
                <w:rFonts w:ascii="Arial" w:hAnsi="Arial" w:cs="Arial"/>
                <w:lang w:val="en-US"/>
              </w:rPr>
              <w:t>The site for the wafer production facility has not yet been finalised. A key component of the consultant’s scope is to determine the optimum entry point within the solar PV manufacturing value chain, which may include module assembly, cell manufacturing, ingot and wafer production, or upstream beneficiation processes.</w:t>
            </w:r>
          </w:p>
          <w:p w14:paraId="269305E8" w14:textId="77777777" w:rsidR="00143793" w:rsidRPr="00143793" w:rsidRDefault="00143793" w:rsidP="00143793">
            <w:pPr>
              <w:rPr>
                <w:rFonts w:ascii="Arial" w:hAnsi="Arial" w:cs="Arial"/>
                <w:lang w:val="en-US"/>
              </w:rPr>
            </w:pPr>
          </w:p>
          <w:p w14:paraId="206B305E" w14:textId="77777777" w:rsidR="00504B83" w:rsidRDefault="00143793" w:rsidP="00143793">
            <w:pPr>
              <w:rPr>
                <w:rFonts w:ascii="Arial" w:hAnsi="Arial" w:cs="Arial"/>
                <w:lang w:val="en-US"/>
              </w:rPr>
            </w:pPr>
            <w:r w:rsidRPr="00143793">
              <w:rPr>
                <w:rFonts w:ascii="Arial" w:hAnsi="Arial" w:cs="Arial"/>
                <w:lang w:val="en-US"/>
              </w:rPr>
              <w:t>Once the preferred value-chain configuration and associated production processes have been identified</w:t>
            </w:r>
            <w:r w:rsidR="00C66B63">
              <w:rPr>
                <w:rFonts w:ascii="Arial" w:hAnsi="Arial" w:cs="Arial"/>
                <w:lang w:val="en-US"/>
              </w:rPr>
              <w:t xml:space="preserve"> and agreed up with Eskom</w:t>
            </w:r>
            <w:r w:rsidRPr="00143793">
              <w:rPr>
                <w:rFonts w:ascii="Arial" w:hAnsi="Arial" w:cs="Arial"/>
                <w:lang w:val="en-US"/>
              </w:rPr>
              <w:t xml:space="preserve">, the consultant will assess the land, infrastructure, utilities and environmental requirements against the available space at </w:t>
            </w:r>
            <w:r w:rsidR="00762CDA">
              <w:rPr>
                <w:rFonts w:ascii="Arial" w:hAnsi="Arial" w:cs="Arial"/>
                <w:lang w:val="en-US"/>
              </w:rPr>
              <w:t>Camden P</w:t>
            </w:r>
            <w:r w:rsidR="00504B83">
              <w:rPr>
                <w:rFonts w:ascii="Arial" w:hAnsi="Arial" w:cs="Arial"/>
                <w:lang w:val="en-US"/>
              </w:rPr>
              <w:t>ower Station</w:t>
            </w:r>
            <w:r w:rsidRPr="00143793">
              <w:rPr>
                <w:rFonts w:ascii="Arial" w:hAnsi="Arial" w:cs="Arial"/>
                <w:lang w:val="en-US"/>
              </w:rPr>
              <w:t xml:space="preserve">. The consultant will also be required to assess at least one additional Eskom site to confirm comparative feasibility, provide an alternative development option and accommodate potential future expansion of the manufacturing facility. </w:t>
            </w:r>
          </w:p>
          <w:p w14:paraId="27463A35" w14:textId="71352F79" w:rsidR="007C4BBF" w:rsidRDefault="00143793" w:rsidP="00143793">
            <w:pPr>
              <w:rPr>
                <w:rFonts w:ascii="Arial" w:hAnsi="Arial" w:cs="Arial"/>
                <w:lang w:val="en-US"/>
              </w:rPr>
            </w:pPr>
            <w:r w:rsidRPr="00143793">
              <w:rPr>
                <w:rFonts w:ascii="Arial" w:hAnsi="Arial" w:cs="Arial"/>
                <w:lang w:val="en-US"/>
              </w:rPr>
              <w:t>The site assessment and environmental authorisation requirements will therefore be informed by the selected value-chain entry point</w:t>
            </w:r>
            <w:r w:rsidR="00504B83">
              <w:rPr>
                <w:rFonts w:ascii="Arial" w:hAnsi="Arial" w:cs="Arial"/>
                <w:lang w:val="en-US"/>
              </w:rPr>
              <w:t>.</w:t>
            </w:r>
          </w:p>
        </w:tc>
        <w:tc>
          <w:tcPr>
            <w:tcW w:w="1511" w:type="dxa"/>
          </w:tcPr>
          <w:p w14:paraId="4C33C1D2" w14:textId="77777777" w:rsidR="007C4BBF" w:rsidRPr="00A2299C" w:rsidRDefault="007C4BBF" w:rsidP="00010263">
            <w:pPr>
              <w:rPr>
                <w:rFonts w:ascii="Arial" w:eastAsia="Calibri" w:hAnsi="Arial" w:cs="Arial"/>
                <w:lang w:val="en-US"/>
              </w:rPr>
            </w:pPr>
          </w:p>
        </w:tc>
      </w:tr>
      <w:tr w:rsidR="00EA3031" w:rsidRPr="00A2299C" w14:paraId="19E8527F" w14:textId="77777777" w:rsidTr="2DC7843C">
        <w:trPr>
          <w:trHeight w:val="405"/>
          <w:jc w:val="center"/>
        </w:trPr>
        <w:tc>
          <w:tcPr>
            <w:tcW w:w="669" w:type="dxa"/>
          </w:tcPr>
          <w:p w14:paraId="1356667C" w14:textId="77777777" w:rsidR="00EA3031" w:rsidRPr="00A2299C" w:rsidRDefault="00EA3031" w:rsidP="00010263">
            <w:pPr>
              <w:numPr>
                <w:ilvl w:val="0"/>
                <w:numId w:val="5"/>
              </w:numPr>
              <w:ind w:left="360"/>
              <w:rPr>
                <w:rFonts w:ascii="Arial" w:eastAsia="Calibri" w:hAnsi="Arial" w:cs="Arial"/>
                <w:lang w:val="en-US"/>
              </w:rPr>
            </w:pPr>
          </w:p>
        </w:tc>
        <w:tc>
          <w:tcPr>
            <w:tcW w:w="1831" w:type="dxa"/>
          </w:tcPr>
          <w:p w14:paraId="74A66129" w14:textId="1AAF14CB" w:rsidR="00EA3031" w:rsidRPr="00A2299C" w:rsidRDefault="00622C51" w:rsidP="00010263">
            <w:pPr>
              <w:rPr>
                <w:rFonts w:ascii="Arial" w:hAnsi="Arial" w:cs="Arial"/>
                <w:lang w:val="en-US"/>
              </w:rPr>
            </w:pPr>
            <w:r>
              <w:rPr>
                <w:rFonts w:ascii="Arial" w:hAnsi="Arial" w:cs="Arial"/>
                <w:lang w:val="en-US"/>
              </w:rPr>
              <w:t>30/06/2026</w:t>
            </w:r>
          </w:p>
        </w:tc>
        <w:tc>
          <w:tcPr>
            <w:tcW w:w="5859" w:type="dxa"/>
          </w:tcPr>
          <w:p w14:paraId="246735FE" w14:textId="7FE104D3" w:rsidR="00622C51" w:rsidRPr="00433F74" w:rsidRDefault="00622C51" w:rsidP="00622C51">
            <w:pPr>
              <w:pStyle w:val="NormalWeb"/>
              <w:spacing w:line="276" w:lineRule="auto"/>
              <w:rPr>
                <w:rFonts w:ascii="Arial" w:hAnsi="Arial" w:cs="Arial"/>
                <w:b/>
                <w:bCs/>
                <w:sz w:val="22"/>
                <w:szCs w:val="22"/>
              </w:rPr>
            </w:pPr>
            <w:r w:rsidRPr="00622C51">
              <w:rPr>
                <w:rFonts w:ascii="Arial" w:hAnsi="Arial" w:cs="Arial"/>
                <w:b/>
                <w:bCs/>
              </w:rPr>
              <w:t xml:space="preserve"> </w:t>
            </w:r>
            <w:r w:rsidRPr="00433F74">
              <w:rPr>
                <w:rFonts w:ascii="Arial" w:hAnsi="Arial" w:cs="Arial"/>
                <w:b/>
                <w:bCs/>
                <w:sz w:val="22"/>
                <w:szCs w:val="22"/>
              </w:rPr>
              <w:t>Tender closing date</w:t>
            </w:r>
          </w:p>
          <w:p w14:paraId="268F1BC1" w14:textId="77777777" w:rsidR="00622C51" w:rsidRPr="00433F74" w:rsidRDefault="00622C51" w:rsidP="00622C51">
            <w:pPr>
              <w:pStyle w:val="NormalWeb"/>
              <w:spacing w:line="276" w:lineRule="auto"/>
              <w:rPr>
                <w:rFonts w:ascii="Arial" w:hAnsi="Arial" w:cs="Arial"/>
                <w:b/>
                <w:bCs/>
                <w:sz w:val="22"/>
                <w:szCs w:val="22"/>
              </w:rPr>
            </w:pPr>
            <w:r w:rsidRPr="00433F74">
              <w:rPr>
                <w:rFonts w:ascii="Arial" w:hAnsi="Arial" w:cs="Arial"/>
                <w:sz w:val="22"/>
                <w:szCs w:val="22"/>
              </w:rPr>
              <w:t xml:space="preserve">The ITT document states 19 June 2026 as the closing date; the Eskom e-tendering portal indicates 13 July 2026. Please confirm the correct and current tender submission </w:t>
            </w:r>
            <w:commentRangeStart w:id="0"/>
            <w:r w:rsidRPr="00433F74">
              <w:rPr>
                <w:rFonts w:ascii="Arial" w:hAnsi="Arial" w:cs="Arial"/>
                <w:sz w:val="22"/>
                <w:szCs w:val="22"/>
              </w:rPr>
              <w:t>deadline</w:t>
            </w:r>
            <w:commentRangeEnd w:id="0"/>
            <w:r w:rsidR="00BE46DC" w:rsidRPr="00433F74">
              <w:rPr>
                <w:rStyle w:val="CommentReference"/>
                <w:rFonts w:ascii="Arial" w:hAnsi="Arial" w:cs="Arial"/>
                <w:b/>
                <w:bCs/>
                <w:sz w:val="22"/>
                <w:szCs w:val="22"/>
              </w:rPr>
              <w:commentReference w:id="0"/>
            </w:r>
            <w:r w:rsidRPr="00433F74">
              <w:rPr>
                <w:rFonts w:ascii="Arial" w:hAnsi="Arial" w:cs="Arial"/>
                <w:b/>
                <w:bCs/>
                <w:sz w:val="22"/>
                <w:szCs w:val="22"/>
              </w:rPr>
              <w:t>.</w:t>
            </w:r>
          </w:p>
          <w:p w14:paraId="2DEA51FD" w14:textId="77777777" w:rsidR="00EA3031" w:rsidRPr="00EA3031" w:rsidRDefault="00EA3031" w:rsidP="00EA3031">
            <w:pPr>
              <w:pStyle w:val="NormalWeb"/>
              <w:spacing w:line="276" w:lineRule="auto"/>
              <w:rPr>
                <w:rFonts w:ascii="Arial" w:hAnsi="Arial" w:cs="Arial"/>
                <w:b/>
                <w:bCs/>
                <w:sz w:val="22"/>
                <w:szCs w:val="22"/>
              </w:rPr>
            </w:pPr>
          </w:p>
        </w:tc>
        <w:tc>
          <w:tcPr>
            <w:tcW w:w="5670" w:type="dxa"/>
          </w:tcPr>
          <w:p w14:paraId="11582690" w14:textId="705B1B23" w:rsidR="00EA3031" w:rsidRDefault="1382C910" w:rsidP="00010263">
            <w:pPr>
              <w:rPr>
                <w:rFonts w:ascii="Arial" w:hAnsi="Arial" w:cs="Arial"/>
                <w:lang w:val="en-US"/>
              </w:rPr>
            </w:pPr>
            <w:r w:rsidRPr="3815E4D8">
              <w:rPr>
                <w:rFonts w:ascii="Arial" w:hAnsi="Arial" w:cs="Arial"/>
                <w:lang w:val="en-US"/>
              </w:rPr>
              <w:t xml:space="preserve">19 June 2026 was the original   tender closing </w:t>
            </w:r>
            <w:r w:rsidR="00DA07EA" w:rsidRPr="3815E4D8">
              <w:rPr>
                <w:rFonts w:ascii="Arial" w:hAnsi="Arial" w:cs="Arial"/>
                <w:lang w:val="en-US"/>
              </w:rPr>
              <w:t>date.</w:t>
            </w:r>
            <w:r w:rsidRPr="3815E4D8">
              <w:rPr>
                <w:rFonts w:ascii="Arial" w:hAnsi="Arial" w:cs="Arial"/>
                <w:lang w:val="en-US"/>
              </w:rPr>
              <w:t xml:space="preserve"> </w:t>
            </w:r>
            <w:r w:rsidR="00DA07EA" w:rsidRPr="3815E4D8">
              <w:rPr>
                <w:rFonts w:ascii="Arial" w:hAnsi="Arial" w:cs="Arial"/>
                <w:lang w:val="en-US"/>
              </w:rPr>
              <w:t>Tender</w:t>
            </w:r>
            <w:r w:rsidRPr="3815E4D8">
              <w:rPr>
                <w:rFonts w:ascii="Arial" w:hAnsi="Arial" w:cs="Arial"/>
                <w:lang w:val="en-US"/>
              </w:rPr>
              <w:t xml:space="preserve"> closing date was exte</w:t>
            </w:r>
            <w:r w:rsidR="691631DF" w:rsidRPr="3815E4D8">
              <w:rPr>
                <w:rFonts w:ascii="Arial" w:hAnsi="Arial" w:cs="Arial"/>
                <w:lang w:val="en-US"/>
              </w:rPr>
              <w:t>nded</w:t>
            </w:r>
            <w:r w:rsidRPr="3815E4D8">
              <w:rPr>
                <w:rFonts w:ascii="Arial" w:hAnsi="Arial" w:cs="Arial"/>
                <w:lang w:val="en-US"/>
              </w:rPr>
              <w:t xml:space="preserve"> to 13 July 2026</w:t>
            </w:r>
            <w:r w:rsidR="29E8D823" w:rsidRPr="3815E4D8">
              <w:rPr>
                <w:rFonts w:ascii="Arial" w:hAnsi="Arial" w:cs="Arial"/>
                <w:lang w:val="en-US"/>
              </w:rPr>
              <w:t xml:space="preserve"> </w:t>
            </w:r>
          </w:p>
        </w:tc>
        <w:tc>
          <w:tcPr>
            <w:tcW w:w="1511" w:type="dxa"/>
          </w:tcPr>
          <w:p w14:paraId="7DCC1902" w14:textId="77777777" w:rsidR="00EA3031" w:rsidRPr="00A2299C" w:rsidRDefault="00EA3031" w:rsidP="00010263">
            <w:pPr>
              <w:rPr>
                <w:rFonts w:ascii="Arial" w:eastAsia="Calibri" w:hAnsi="Arial" w:cs="Arial"/>
                <w:lang w:val="en-US"/>
              </w:rPr>
            </w:pPr>
          </w:p>
        </w:tc>
      </w:tr>
      <w:tr w:rsidR="000F50F4" w:rsidRPr="00A2299C" w14:paraId="69D03B50" w14:textId="77777777" w:rsidTr="2DC7843C">
        <w:trPr>
          <w:trHeight w:val="405"/>
          <w:jc w:val="center"/>
        </w:trPr>
        <w:tc>
          <w:tcPr>
            <w:tcW w:w="669" w:type="dxa"/>
          </w:tcPr>
          <w:p w14:paraId="1A084574" w14:textId="77777777" w:rsidR="000F50F4" w:rsidRPr="00A2299C" w:rsidRDefault="000F50F4" w:rsidP="00010263">
            <w:pPr>
              <w:numPr>
                <w:ilvl w:val="0"/>
                <w:numId w:val="5"/>
              </w:numPr>
              <w:ind w:left="360"/>
              <w:rPr>
                <w:rFonts w:ascii="Arial" w:eastAsia="Calibri" w:hAnsi="Arial" w:cs="Arial"/>
                <w:lang w:val="en-US"/>
              </w:rPr>
            </w:pPr>
          </w:p>
        </w:tc>
        <w:tc>
          <w:tcPr>
            <w:tcW w:w="1831" w:type="dxa"/>
          </w:tcPr>
          <w:p w14:paraId="4A5D2CD6" w14:textId="437456CF" w:rsidR="000F50F4" w:rsidRDefault="000F50F4" w:rsidP="00010263">
            <w:pPr>
              <w:rPr>
                <w:rFonts w:ascii="Arial" w:hAnsi="Arial" w:cs="Arial"/>
                <w:lang w:val="en-US"/>
              </w:rPr>
            </w:pPr>
            <w:r>
              <w:rPr>
                <w:rFonts w:ascii="Arial" w:hAnsi="Arial" w:cs="Arial"/>
                <w:lang w:val="en-US"/>
              </w:rPr>
              <w:t>30/06/2026</w:t>
            </w:r>
          </w:p>
        </w:tc>
        <w:tc>
          <w:tcPr>
            <w:tcW w:w="5859" w:type="dxa"/>
          </w:tcPr>
          <w:p w14:paraId="23215E72" w14:textId="519F0880" w:rsidR="000F50F4" w:rsidRPr="000F50F4" w:rsidRDefault="000F50F4" w:rsidP="000F50F4">
            <w:pPr>
              <w:pStyle w:val="NormalWeb"/>
              <w:spacing w:line="276" w:lineRule="auto"/>
              <w:rPr>
                <w:rFonts w:ascii="Arial" w:hAnsi="Arial" w:cs="Arial"/>
                <w:b/>
                <w:bCs/>
                <w:sz w:val="22"/>
                <w:szCs w:val="22"/>
              </w:rPr>
            </w:pPr>
            <w:r w:rsidRPr="000F50F4">
              <w:rPr>
                <w:rFonts w:ascii="Arial" w:hAnsi="Arial" w:cs="Arial"/>
                <w:b/>
                <w:bCs/>
                <w:sz w:val="22"/>
                <w:szCs w:val="22"/>
              </w:rPr>
              <w:t>Extension request</w:t>
            </w:r>
          </w:p>
          <w:p w14:paraId="523106DE" w14:textId="77777777" w:rsidR="000F50F4" w:rsidRPr="000F50F4" w:rsidRDefault="000F50F4" w:rsidP="000F50F4">
            <w:pPr>
              <w:pStyle w:val="NormalWeb"/>
              <w:spacing w:line="276" w:lineRule="auto"/>
              <w:rPr>
                <w:rFonts w:ascii="Arial" w:hAnsi="Arial" w:cs="Arial"/>
                <w:sz w:val="22"/>
                <w:szCs w:val="22"/>
              </w:rPr>
            </w:pPr>
            <w:r w:rsidRPr="000F50F4">
              <w:rPr>
                <w:rFonts w:ascii="Arial" w:hAnsi="Arial" w:cs="Arial"/>
                <w:sz w:val="22"/>
                <w:szCs w:val="22"/>
              </w:rPr>
              <w:t>Given the scope and complexity of assembling a multi-disciplinary consortium for an assignment of this nature, we respectfully request consideration of an extension of at least one month beyond the current closing date to allow for a complete and well-considered submission.</w:t>
            </w:r>
          </w:p>
          <w:p w14:paraId="738DE255" w14:textId="77777777" w:rsidR="000F50F4" w:rsidRPr="00622C51" w:rsidRDefault="000F50F4" w:rsidP="00622C51">
            <w:pPr>
              <w:pStyle w:val="NormalWeb"/>
              <w:spacing w:line="276" w:lineRule="auto"/>
              <w:rPr>
                <w:rFonts w:ascii="Arial" w:hAnsi="Arial" w:cs="Arial"/>
                <w:b/>
                <w:bCs/>
              </w:rPr>
            </w:pPr>
          </w:p>
        </w:tc>
        <w:tc>
          <w:tcPr>
            <w:tcW w:w="5670" w:type="dxa"/>
          </w:tcPr>
          <w:p w14:paraId="7FDF31E7" w14:textId="71A408EB" w:rsidR="000D6070" w:rsidRPr="000D6070" w:rsidRDefault="000D6070" w:rsidP="000D6070">
            <w:pPr>
              <w:rPr>
                <w:rFonts w:ascii="Arial" w:hAnsi="Arial" w:cs="Arial"/>
              </w:rPr>
            </w:pPr>
            <w:r>
              <w:rPr>
                <w:rFonts w:ascii="Arial" w:hAnsi="Arial" w:cs="Arial"/>
              </w:rPr>
              <w:t>A</w:t>
            </w:r>
            <w:r w:rsidRPr="000D6070">
              <w:rPr>
                <w:rFonts w:ascii="Arial" w:hAnsi="Arial" w:cs="Arial"/>
              </w:rPr>
              <w:t>dditional two</w:t>
            </w:r>
            <w:r>
              <w:rPr>
                <w:rFonts w:ascii="Arial" w:hAnsi="Arial" w:cs="Arial"/>
              </w:rPr>
              <w:t xml:space="preserve"> </w:t>
            </w:r>
            <w:r w:rsidRPr="000D6070">
              <w:rPr>
                <w:rFonts w:ascii="Arial" w:hAnsi="Arial" w:cs="Arial"/>
              </w:rPr>
              <w:t>week extension is reasonable</w:t>
            </w:r>
            <w:r>
              <w:rPr>
                <w:rFonts w:ascii="Arial" w:hAnsi="Arial" w:cs="Arial"/>
              </w:rPr>
              <w:t xml:space="preserve"> and approved</w:t>
            </w:r>
            <w:r w:rsidRPr="000D6070">
              <w:rPr>
                <w:rFonts w:ascii="Arial" w:hAnsi="Arial" w:cs="Arial"/>
              </w:rPr>
              <w:t>. This should give the consortium adequate time to finali</w:t>
            </w:r>
            <w:r>
              <w:rPr>
                <w:rFonts w:ascii="Arial" w:hAnsi="Arial" w:cs="Arial"/>
              </w:rPr>
              <w:t>s</w:t>
            </w:r>
            <w:r w:rsidRPr="000D6070">
              <w:rPr>
                <w:rFonts w:ascii="Arial" w:hAnsi="Arial" w:cs="Arial"/>
              </w:rPr>
              <w:t>e their submission, without impacting the overall project deadlines.</w:t>
            </w:r>
            <w:r w:rsidR="008B79C6">
              <w:rPr>
                <w:rFonts w:ascii="Arial" w:hAnsi="Arial" w:cs="Arial"/>
              </w:rPr>
              <w:t xml:space="preserve"> Tender closing date has been extended to 31 July 2026 at 10:00</w:t>
            </w:r>
          </w:p>
          <w:p w14:paraId="2530D9DB" w14:textId="77777777" w:rsidR="000F50F4" w:rsidRDefault="000F50F4" w:rsidP="00010263">
            <w:pPr>
              <w:rPr>
                <w:rFonts w:ascii="Arial" w:hAnsi="Arial" w:cs="Arial"/>
                <w:lang w:val="en-US"/>
              </w:rPr>
            </w:pPr>
          </w:p>
        </w:tc>
        <w:tc>
          <w:tcPr>
            <w:tcW w:w="1511" w:type="dxa"/>
          </w:tcPr>
          <w:p w14:paraId="5E226D84" w14:textId="77777777" w:rsidR="000F50F4" w:rsidRPr="00A2299C" w:rsidRDefault="000F50F4" w:rsidP="00010263">
            <w:pPr>
              <w:rPr>
                <w:rFonts w:ascii="Arial" w:eastAsia="Calibri" w:hAnsi="Arial" w:cs="Arial"/>
                <w:lang w:val="en-US"/>
              </w:rPr>
            </w:pPr>
          </w:p>
        </w:tc>
      </w:tr>
      <w:tr w:rsidR="001C06EB" w:rsidRPr="00A2299C" w14:paraId="3E69EAA6" w14:textId="77777777" w:rsidTr="2DC7843C">
        <w:trPr>
          <w:trHeight w:val="405"/>
          <w:jc w:val="center"/>
        </w:trPr>
        <w:tc>
          <w:tcPr>
            <w:tcW w:w="669" w:type="dxa"/>
          </w:tcPr>
          <w:p w14:paraId="1C3A2E40" w14:textId="77777777" w:rsidR="001C06EB" w:rsidRPr="00A2299C" w:rsidRDefault="001C06EB" w:rsidP="00010263">
            <w:pPr>
              <w:numPr>
                <w:ilvl w:val="0"/>
                <w:numId w:val="5"/>
              </w:numPr>
              <w:ind w:left="360"/>
              <w:rPr>
                <w:rFonts w:ascii="Arial" w:eastAsia="Calibri" w:hAnsi="Arial" w:cs="Arial"/>
                <w:lang w:val="en-US"/>
              </w:rPr>
            </w:pPr>
          </w:p>
        </w:tc>
        <w:tc>
          <w:tcPr>
            <w:tcW w:w="1831" w:type="dxa"/>
          </w:tcPr>
          <w:p w14:paraId="7F0D1B8C" w14:textId="2269FCD3" w:rsidR="001C06EB" w:rsidRDefault="00B74475" w:rsidP="00010263">
            <w:pPr>
              <w:rPr>
                <w:rFonts w:ascii="Arial" w:hAnsi="Arial" w:cs="Arial"/>
                <w:lang w:val="en-US"/>
              </w:rPr>
            </w:pPr>
            <w:r>
              <w:rPr>
                <w:rFonts w:ascii="Arial" w:hAnsi="Arial" w:cs="Arial"/>
                <w:lang w:val="en-US"/>
              </w:rPr>
              <w:t>30/06/2026</w:t>
            </w:r>
          </w:p>
        </w:tc>
        <w:tc>
          <w:tcPr>
            <w:tcW w:w="5859" w:type="dxa"/>
          </w:tcPr>
          <w:p w14:paraId="700620BB" w14:textId="0DC3A8CA" w:rsidR="009C681B" w:rsidRPr="009C681B" w:rsidRDefault="009C681B" w:rsidP="009C681B">
            <w:pPr>
              <w:pStyle w:val="NormalWeb"/>
              <w:spacing w:line="276" w:lineRule="auto"/>
              <w:rPr>
                <w:rFonts w:ascii="Arial" w:hAnsi="Arial" w:cs="Arial"/>
                <w:b/>
                <w:bCs/>
                <w:sz w:val="22"/>
                <w:szCs w:val="22"/>
              </w:rPr>
            </w:pPr>
            <w:r w:rsidRPr="009C681B">
              <w:rPr>
                <w:rFonts w:ascii="Arial" w:hAnsi="Arial" w:cs="Arial"/>
                <w:b/>
                <w:bCs/>
                <w:sz w:val="22"/>
                <w:szCs w:val="22"/>
              </w:rPr>
              <w:t>B-BBEE scoring for consorti</w:t>
            </w:r>
            <w:r w:rsidR="00433F74">
              <w:rPr>
                <w:rFonts w:ascii="Arial" w:hAnsi="Arial" w:cs="Arial"/>
                <w:b/>
                <w:bCs/>
                <w:sz w:val="22"/>
                <w:szCs w:val="22"/>
              </w:rPr>
              <w:t>um</w:t>
            </w:r>
          </w:p>
          <w:p w14:paraId="34E6C2F2" w14:textId="264C71D7" w:rsidR="001C06EB" w:rsidRPr="009C681B" w:rsidRDefault="009C681B" w:rsidP="00EA3031">
            <w:pPr>
              <w:pStyle w:val="NormalWeb"/>
              <w:spacing w:line="276" w:lineRule="auto"/>
              <w:rPr>
                <w:rFonts w:ascii="Arial" w:hAnsi="Arial" w:cs="Arial"/>
                <w:sz w:val="22"/>
                <w:szCs w:val="22"/>
              </w:rPr>
            </w:pPr>
            <w:r w:rsidRPr="009C681B">
              <w:rPr>
                <w:rFonts w:ascii="Arial" w:hAnsi="Arial" w:cs="Arial"/>
                <w:sz w:val="22"/>
                <w:szCs w:val="22"/>
              </w:rPr>
              <w:t>Where the prime contracting entity is a foreign firm without a South African B-BBEE certificate, but a consortium member holds a valid Level 1 B-BBEE certificate, how will B-BBEE preference points be assessed? Specifically: are points awarded based on the prime contractor's certificate only, on a weighted average across consortium members by participation, or does a qualifying consortium member's certificate suffice to attract the relevant score?</w:t>
            </w:r>
          </w:p>
        </w:tc>
        <w:tc>
          <w:tcPr>
            <w:tcW w:w="5670" w:type="dxa"/>
          </w:tcPr>
          <w:p w14:paraId="42A2D62B" w14:textId="12C98FCC" w:rsidR="00433F74" w:rsidRPr="00433F74" w:rsidRDefault="00433F74" w:rsidP="00433F74">
            <w:pPr>
              <w:rPr>
                <w:rFonts w:ascii="Arial" w:eastAsia="Times New Roman" w:hAnsi="Arial" w:cs="Arial"/>
                <w:color w:val="000000"/>
                <w:lang w:eastAsia="en-ZA"/>
              </w:rPr>
            </w:pPr>
            <w:r w:rsidRPr="00433F74">
              <w:rPr>
                <w:rFonts w:ascii="Arial" w:eastAsia="Times New Roman" w:hAnsi="Arial" w:cs="Arial"/>
                <w:color w:val="000000"/>
                <w:lang w:eastAsia="en-ZA"/>
              </w:rPr>
              <w:t xml:space="preserve">Eskom only accept the B-BBEE certificate from the main supplier that tender. </w:t>
            </w:r>
            <w:r w:rsidR="00C50C26">
              <w:rPr>
                <w:rFonts w:ascii="Arial" w:eastAsia="Times New Roman" w:hAnsi="Arial" w:cs="Arial"/>
                <w:color w:val="000000"/>
                <w:lang w:eastAsia="en-ZA"/>
              </w:rPr>
              <w:t xml:space="preserve">The </w:t>
            </w:r>
            <w:r w:rsidRPr="00433F74">
              <w:rPr>
                <w:rFonts w:ascii="Arial" w:eastAsia="Times New Roman" w:hAnsi="Arial" w:cs="Arial"/>
                <w:color w:val="000000"/>
                <w:lang w:eastAsia="en-ZA"/>
              </w:rPr>
              <w:t>Consortium tender</w:t>
            </w:r>
            <w:r w:rsidR="00C50C26">
              <w:rPr>
                <w:rFonts w:ascii="Arial" w:eastAsia="Times New Roman" w:hAnsi="Arial" w:cs="Arial"/>
                <w:color w:val="000000"/>
                <w:lang w:eastAsia="en-ZA"/>
              </w:rPr>
              <w:t>s</w:t>
            </w:r>
            <w:r w:rsidRPr="00433F74">
              <w:rPr>
                <w:rFonts w:ascii="Arial" w:eastAsia="Times New Roman" w:hAnsi="Arial" w:cs="Arial"/>
                <w:color w:val="000000"/>
                <w:lang w:eastAsia="en-ZA"/>
              </w:rPr>
              <w:t xml:space="preserve"> as the main supplier their B-BBEE Certificate will be accepted and we will score according to that document.</w:t>
            </w:r>
          </w:p>
          <w:p w14:paraId="13D185C6" w14:textId="51FCDD92" w:rsidR="001C06EB" w:rsidRPr="005F4C29" w:rsidRDefault="001C06EB" w:rsidP="005F4C29">
            <w:pPr>
              <w:rPr>
                <w:rFonts w:ascii="Arial" w:hAnsi="Arial" w:cs="Arial"/>
                <w:lang w:val="en-US"/>
              </w:rPr>
            </w:pPr>
          </w:p>
        </w:tc>
        <w:tc>
          <w:tcPr>
            <w:tcW w:w="1511" w:type="dxa"/>
          </w:tcPr>
          <w:p w14:paraId="6805B7D2" w14:textId="77777777" w:rsidR="001C06EB" w:rsidRPr="00A2299C" w:rsidRDefault="001C06EB" w:rsidP="00010263">
            <w:pPr>
              <w:rPr>
                <w:rFonts w:ascii="Arial" w:eastAsia="Calibri" w:hAnsi="Arial" w:cs="Arial"/>
                <w:lang w:val="en-US"/>
              </w:rPr>
            </w:pPr>
          </w:p>
        </w:tc>
      </w:tr>
      <w:tr w:rsidR="001C06EB" w:rsidRPr="00A2299C" w14:paraId="30289E40" w14:textId="77777777" w:rsidTr="2DC7843C">
        <w:trPr>
          <w:trHeight w:val="405"/>
          <w:jc w:val="center"/>
        </w:trPr>
        <w:tc>
          <w:tcPr>
            <w:tcW w:w="669" w:type="dxa"/>
          </w:tcPr>
          <w:p w14:paraId="3BB70855" w14:textId="77777777" w:rsidR="001C06EB" w:rsidRPr="00A2299C" w:rsidRDefault="001C06EB" w:rsidP="00010263">
            <w:pPr>
              <w:numPr>
                <w:ilvl w:val="0"/>
                <w:numId w:val="5"/>
              </w:numPr>
              <w:ind w:left="360"/>
              <w:rPr>
                <w:rFonts w:ascii="Arial" w:eastAsia="Calibri" w:hAnsi="Arial" w:cs="Arial"/>
                <w:lang w:val="en-US"/>
              </w:rPr>
            </w:pPr>
          </w:p>
        </w:tc>
        <w:tc>
          <w:tcPr>
            <w:tcW w:w="1831" w:type="dxa"/>
          </w:tcPr>
          <w:p w14:paraId="77C77ABE" w14:textId="2C1AC8AA" w:rsidR="001C06EB" w:rsidRDefault="00187BD2" w:rsidP="00010263">
            <w:pPr>
              <w:rPr>
                <w:rFonts w:ascii="Arial" w:hAnsi="Arial" w:cs="Arial"/>
                <w:lang w:val="en-US"/>
              </w:rPr>
            </w:pPr>
            <w:r>
              <w:rPr>
                <w:rFonts w:ascii="Arial" w:hAnsi="Arial" w:cs="Arial"/>
                <w:lang w:val="en-US"/>
              </w:rPr>
              <w:t>30/06/2026</w:t>
            </w:r>
          </w:p>
        </w:tc>
        <w:tc>
          <w:tcPr>
            <w:tcW w:w="5859" w:type="dxa"/>
          </w:tcPr>
          <w:p w14:paraId="13C5B9C5" w14:textId="77777777" w:rsidR="00B74475" w:rsidRPr="00B74475" w:rsidRDefault="00B74475" w:rsidP="00B74475">
            <w:pPr>
              <w:pStyle w:val="NormalWeb"/>
              <w:spacing w:line="276" w:lineRule="auto"/>
              <w:rPr>
                <w:rFonts w:ascii="Arial" w:hAnsi="Arial" w:cs="Arial"/>
                <w:b/>
                <w:bCs/>
                <w:sz w:val="22"/>
                <w:szCs w:val="22"/>
              </w:rPr>
            </w:pPr>
            <w:r w:rsidRPr="00B74475">
              <w:rPr>
                <w:rFonts w:ascii="Arial" w:hAnsi="Arial" w:cs="Arial"/>
                <w:b/>
                <w:bCs/>
                <w:sz w:val="22"/>
                <w:szCs w:val="22"/>
              </w:rPr>
              <w:t>CSD registration</w:t>
            </w:r>
          </w:p>
          <w:p w14:paraId="3ABCD15F" w14:textId="5DB7FD26" w:rsidR="001C06EB" w:rsidRPr="00433F74" w:rsidRDefault="00B74475" w:rsidP="00EA3031">
            <w:pPr>
              <w:pStyle w:val="NormalWeb"/>
              <w:spacing w:line="276" w:lineRule="auto"/>
              <w:rPr>
                <w:rFonts w:ascii="Arial" w:hAnsi="Arial" w:cs="Arial"/>
                <w:sz w:val="22"/>
                <w:szCs w:val="22"/>
              </w:rPr>
            </w:pPr>
            <w:r w:rsidRPr="00B74475">
              <w:rPr>
                <w:rFonts w:ascii="Arial" w:hAnsi="Arial" w:cs="Arial"/>
                <w:sz w:val="22"/>
                <w:szCs w:val="22"/>
              </w:rPr>
              <w:t>Must the entity submitting the tender and entering into the contract with Eskom be registered on the Central Supplier Database (CSD), or is CSD registration required only of South African consortium members? Is CSD registration a pre-requisite to </w:t>
            </w:r>
          </w:p>
        </w:tc>
        <w:tc>
          <w:tcPr>
            <w:tcW w:w="5670" w:type="dxa"/>
          </w:tcPr>
          <w:p w14:paraId="78B8F736" w14:textId="5C64EDB4" w:rsidR="001C06EB" w:rsidRPr="005F4C29" w:rsidRDefault="007F7D2F" w:rsidP="005F4C29">
            <w:pPr>
              <w:rPr>
                <w:rFonts w:ascii="Arial" w:hAnsi="Arial" w:cs="Arial"/>
                <w:lang w:val="en-US"/>
              </w:rPr>
            </w:pPr>
            <w:r w:rsidRPr="007F7D2F">
              <w:rPr>
                <w:rFonts w:ascii="Arial" w:hAnsi="Arial" w:cs="Arial"/>
              </w:rPr>
              <w:t>Foreign suppliers without a local footprint are exempted from registration on CSD</w:t>
            </w:r>
            <w:r w:rsidR="003C2BA4">
              <w:rPr>
                <w:rFonts w:ascii="Arial" w:hAnsi="Arial" w:cs="Arial"/>
                <w:lang w:val="en-US"/>
              </w:rPr>
              <w:t xml:space="preserve">, </w:t>
            </w:r>
            <w:r>
              <w:rPr>
                <w:rFonts w:ascii="Arial" w:hAnsi="Arial" w:cs="Arial"/>
                <w:lang w:val="en-US"/>
              </w:rPr>
              <w:t xml:space="preserve">however </w:t>
            </w:r>
            <w:r w:rsidR="003C2BA4">
              <w:rPr>
                <w:rFonts w:ascii="Arial" w:hAnsi="Arial" w:cs="Arial"/>
                <w:lang w:val="en-US"/>
              </w:rPr>
              <w:t>all South Arican based companies are oblige</w:t>
            </w:r>
            <w:r>
              <w:rPr>
                <w:rFonts w:ascii="Arial" w:hAnsi="Arial" w:cs="Arial"/>
                <w:lang w:val="en-US"/>
              </w:rPr>
              <w:t>d</w:t>
            </w:r>
            <w:r w:rsidR="003C2BA4">
              <w:rPr>
                <w:rFonts w:ascii="Arial" w:hAnsi="Arial" w:cs="Arial"/>
                <w:lang w:val="en-US"/>
              </w:rPr>
              <w:t xml:space="preserve"> to register on CSD</w:t>
            </w:r>
          </w:p>
        </w:tc>
        <w:tc>
          <w:tcPr>
            <w:tcW w:w="1511" w:type="dxa"/>
          </w:tcPr>
          <w:p w14:paraId="6AF0BA51" w14:textId="77777777" w:rsidR="001C06EB" w:rsidRPr="00A2299C" w:rsidRDefault="001C06EB" w:rsidP="00010263">
            <w:pPr>
              <w:rPr>
                <w:rFonts w:ascii="Arial" w:eastAsia="Calibri" w:hAnsi="Arial" w:cs="Arial"/>
                <w:lang w:val="en-US"/>
              </w:rPr>
            </w:pPr>
          </w:p>
        </w:tc>
      </w:tr>
      <w:tr w:rsidR="007C4BBF" w:rsidRPr="00A2299C" w14:paraId="273E9366" w14:textId="77777777" w:rsidTr="2DC7843C">
        <w:trPr>
          <w:trHeight w:val="405"/>
          <w:jc w:val="center"/>
        </w:trPr>
        <w:tc>
          <w:tcPr>
            <w:tcW w:w="669" w:type="dxa"/>
          </w:tcPr>
          <w:p w14:paraId="4F352808" w14:textId="77777777" w:rsidR="007C4BBF" w:rsidRPr="00A2299C" w:rsidRDefault="007C4BBF" w:rsidP="00010263">
            <w:pPr>
              <w:numPr>
                <w:ilvl w:val="0"/>
                <w:numId w:val="5"/>
              </w:numPr>
              <w:ind w:left="360"/>
              <w:rPr>
                <w:rFonts w:ascii="Arial" w:eastAsia="Calibri" w:hAnsi="Arial" w:cs="Arial"/>
                <w:lang w:val="en-US"/>
              </w:rPr>
            </w:pPr>
          </w:p>
        </w:tc>
        <w:tc>
          <w:tcPr>
            <w:tcW w:w="1831" w:type="dxa"/>
          </w:tcPr>
          <w:p w14:paraId="454D9173" w14:textId="103745AA" w:rsidR="007C4BBF" w:rsidRPr="00A2299C" w:rsidRDefault="00622C51" w:rsidP="00010263">
            <w:pPr>
              <w:rPr>
                <w:rFonts w:ascii="Arial" w:hAnsi="Arial" w:cs="Arial"/>
                <w:lang w:val="en-US"/>
              </w:rPr>
            </w:pPr>
            <w:r>
              <w:rPr>
                <w:rFonts w:ascii="Arial" w:hAnsi="Arial" w:cs="Arial"/>
                <w:lang w:val="en-US"/>
              </w:rPr>
              <w:t>30/06/2026</w:t>
            </w:r>
          </w:p>
        </w:tc>
        <w:tc>
          <w:tcPr>
            <w:tcW w:w="5859" w:type="dxa"/>
          </w:tcPr>
          <w:p w14:paraId="6EC4BAE6" w14:textId="77777777" w:rsidR="00EA3031" w:rsidRPr="00EA3031" w:rsidRDefault="00EA3031" w:rsidP="00EA3031">
            <w:pPr>
              <w:pStyle w:val="NormalWeb"/>
              <w:spacing w:line="276" w:lineRule="auto"/>
              <w:rPr>
                <w:rFonts w:ascii="Arial" w:hAnsi="Arial" w:cs="Arial"/>
                <w:sz w:val="22"/>
                <w:szCs w:val="22"/>
              </w:rPr>
            </w:pPr>
            <w:r w:rsidRPr="00EA3031">
              <w:rPr>
                <w:rFonts w:ascii="Arial" w:hAnsi="Arial" w:cs="Arial"/>
                <w:b/>
                <w:bCs/>
                <w:sz w:val="22"/>
                <w:szCs w:val="22"/>
              </w:rPr>
              <w:t>Lead firm requirements</w:t>
            </w:r>
          </w:p>
          <w:p w14:paraId="0C42F531" w14:textId="77777777" w:rsidR="00EA3031" w:rsidRPr="00EA3031" w:rsidRDefault="00EA3031" w:rsidP="00EA3031">
            <w:pPr>
              <w:pStyle w:val="NormalWeb"/>
              <w:spacing w:line="276" w:lineRule="auto"/>
              <w:jc w:val="both"/>
              <w:rPr>
                <w:rFonts w:ascii="Arial" w:hAnsi="Arial" w:cs="Arial"/>
                <w:sz w:val="22"/>
                <w:szCs w:val="22"/>
              </w:rPr>
            </w:pPr>
            <w:r w:rsidRPr="00EA3031">
              <w:rPr>
                <w:rFonts w:ascii="Arial" w:hAnsi="Arial" w:cs="Arial"/>
                <w:sz w:val="22"/>
                <w:szCs w:val="22"/>
              </w:rPr>
              <w:t>Section 2.1 of the Tender Technical Evaluation Strategy states that the tenderer shall demonstrate capability "whether as a single firm or consortium." Please confirm whether this principle also applies to the mandatory gatekeeper in section 3.3 – specifically, whether the requirement to demonstrate a proven track record in transaction advisory with more than 10 years of experience and a signed client completion letter may be satisfied collectively by the consortium, or whether it must be met by the prime contracting entity alone.</w:t>
            </w:r>
          </w:p>
          <w:p w14:paraId="4BD1BAC0" w14:textId="77777777" w:rsidR="007C4BBF" w:rsidRPr="00A2299C" w:rsidRDefault="007C4BBF" w:rsidP="00010263">
            <w:pPr>
              <w:pStyle w:val="NormalWeb"/>
              <w:spacing w:before="0" w:beforeAutospacing="0" w:after="0" w:afterAutospacing="0" w:line="276" w:lineRule="auto"/>
              <w:rPr>
                <w:rFonts w:ascii="Arial" w:hAnsi="Arial" w:cs="Arial"/>
                <w:lang w:val="en-US"/>
              </w:rPr>
            </w:pPr>
          </w:p>
        </w:tc>
        <w:tc>
          <w:tcPr>
            <w:tcW w:w="5670" w:type="dxa"/>
          </w:tcPr>
          <w:p w14:paraId="71E69B48" w14:textId="1069D0E9" w:rsidR="005F4C29" w:rsidRDefault="005F4C29" w:rsidP="005F4C29">
            <w:pPr>
              <w:rPr>
                <w:rFonts w:ascii="Arial" w:hAnsi="Arial" w:cs="Arial"/>
                <w:lang w:val="en-US"/>
              </w:rPr>
            </w:pPr>
            <w:r w:rsidRPr="005F4C29">
              <w:rPr>
                <w:rFonts w:ascii="Arial" w:hAnsi="Arial" w:cs="Arial"/>
                <w:lang w:val="en-US"/>
              </w:rPr>
              <w:t>The provision allowing a tenderer to demonstrate capability either as a single entity or through a consortium applies to the</w:t>
            </w:r>
            <w:r w:rsidR="007D7BDA">
              <w:rPr>
                <w:rFonts w:ascii="Arial" w:hAnsi="Arial" w:cs="Arial"/>
                <w:lang w:val="en-US"/>
              </w:rPr>
              <w:t xml:space="preserve"> criteria specified in 2.1</w:t>
            </w:r>
            <w:r w:rsidR="00235E50">
              <w:rPr>
                <w:rFonts w:ascii="Arial" w:hAnsi="Arial" w:cs="Arial"/>
                <w:lang w:val="en-US"/>
              </w:rPr>
              <w:t>.</w:t>
            </w:r>
          </w:p>
          <w:p w14:paraId="3E8A4C07" w14:textId="77777777" w:rsidR="00235E50" w:rsidRDefault="00235E50" w:rsidP="005F4C29">
            <w:pPr>
              <w:rPr>
                <w:rFonts w:ascii="Arial" w:hAnsi="Arial" w:cs="Arial"/>
                <w:lang w:val="en-US"/>
              </w:rPr>
            </w:pPr>
          </w:p>
          <w:p w14:paraId="69598B9F" w14:textId="527C34B0" w:rsidR="00235E50" w:rsidRPr="005F4C29" w:rsidRDefault="2EBC231D" w:rsidP="005F4C29">
            <w:pPr>
              <w:rPr>
                <w:rFonts w:ascii="Arial" w:hAnsi="Arial" w:cs="Arial"/>
                <w:lang w:val="en-US"/>
              </w:rPr>
            </w:pPr>
            <w:r w:rsidRPr="2DC7843C">
              <w:rPr>
                <w:rFonts w:ascii="Arial" w:hAnsi="Arial" w:cs="Arial"/>
                <w:lang w:val="en-US"/>
              </w:rPr>
              <w:t xml:space="preserve">The </w:t>
            </w:r>
            <w:r w:rsidR="0524F39E" w:rsidRPr="2DC7843C">
              <w:rPr>
                <w:rFonts w:ascii="Arial" w:hAnsi="Arial" w:cs="Arial"/>
                <w:lang w:val="en-US"/>
              </w:rPr>
              <w:t>tendere</w:t>
            </w:r>
            <w:r w:rsidR="237AAAF1" w:rsidRPr="2DC7843C">
              <w:rPr>
                <w:rFonts w:ascii="Arial" w:hAnsi="Arial" w:cs="Arial"/>
                <w:lang w:val="en-US"/>
              </w:rPr>
              <w:t>r</w:t>
            </w:r>
            <w:r w:rsidR="769AB3DC" w:rsidRPr="2DC7843C">
              <w:rPr>
                <w:rFonts w:ascii="Arial" w:hAnsi="Arial" w:cs="Arial"/>
                <w:lang w:val="en-US"/>
              </w:rPr>
              <w:t xml:space="preserve"> entity</w:t>
            </w:r>
            <w:r w:rsidR="766E60CD" w:rsidRPr="2DC7843C">
              <w:rPr>
                <w:rFonts w:ascii="Arial" w:hAnsi="Arial" w:cs="Arial"/>
                <w:lang w:val="en-US"/>
              </w:rPr>
              <w:t xml:space="preserve"> that submits the tender</w:t>
            </w:r>
            <w:r w:rsidR="237AAAF1" w:rsidRPr="2DC7843C">
              <w:rPr>
                <w:rFonts w:ascii="Arial" w:hAnsi="Arial" w:cs="Arial"/>
                <w:lang w:val="en-US"/>
              </w:rPr>
              <w:t xml:space="preserve"> offer</w:t>
            </w:r>
            <w:r w:rsidR="766E60CD" w:rsidRPr="2DC7843C">
              <w:rPr>
                <w:rFonts w:ascii="Arial" w:hAnsi="Arial" w:cs="Arial"/>
                <w:lang w:val="en-US"/>
              </w:rPr>
              <w:t xml:space="preserve"> is evaluated in </w:t>
            </w:r>
            <w:r w:rsidR="261D5265" w:rsidRPr="2DC7843C">
              <w:rPr>
                <w:rFonts w:ascii="Arial" w:hAnsi="Arial" w:cs="Arial"/>
                <w:lang w:val="en-US"/>
              </w:rPr>
              <w:t>the mandatory</w:t>
            </w:r>
            <w:r w:rsidR="1D56DE91" w:rsidRPr="2DC7843C">
              <w:rPr>
                <w:rFonts w:ascii="Arial" w:hAnsi="Arial" w:cs="Arial"/>
                <w:lang w:val="en-US"/>
              </w:rPr>
              <w:t xml:space="preserve"> criteria </w:t>
            </w:r>
            <w:r w:rsidR="2D84DE04" w:rsidRPr="2DC7843C">
              <w:rPr>
                <w:rFonts w:ascii="Arial" w:hAnsi="Arial" w:cs="Arial"/>
                <w:lang w:val="en-US"/>
              </w:rPr>
              <w:t xml:space="preserve">specified in table </w:t>
            </w:r>
            <w:r w:rsidR="0824A93F" w:rsidRPr="2DC7843C">
              <w:rPr>
                <w:rFonts w:ascii="Arial" w:hAnsi="Arial" w:cs="Arial"/>
                <w:lang w:val="en-US"/>
              </w:rPr>
              <w:t>3.3</w:t>
            </w:r>
            <w:r w:rsidR="09FCAF29" w:rsidRPr="2DC7843C">
              <w:rPr>
                <w:rFonts w:ascii="Arial" w:hAnsi="Arial" w:cs="Arial"/>
                <w:lang w:val="en-US"/>
              </w:rPr>
              <w:t>.</w:t>
            </w:r>
          </w:p>
          <w:p w14:paraId="4440C4B8" w14:textId="5B26D762" w:rsidR="00F968CA" w:rsidRPr="00F968CA" w:rsidRDefault="00F968CA" w:rsidP="00F968CA">
            <w:pPr>
              <w:rPr>
                <w:rFonts w:ascii="Arial" w:hAnsi="Arial" w:cs="Arial"/>
                <w:lang w:val="en-US"/>
              </w:rPr>
            </w:pPr>
            <w:r w:rsidRPr="00F968CA">
              <w:rPr>
                <w:rFonts w:ascii="Arial" w:hAnsi="Arial" w:cs="Arial"/>
                <w:lang w:val="en-US"/>
              </w:rPr>
              <w:t>the case of a trust, consortium or joint venture (including unincorporated consortia and</w:t>
            </w:r>
          </w:p>
          <w:p w14:paraId="03C7A149" w14:textId="53FE3AE9" w:rsidR="00F968CA" w:rsidRPr="00F968CA" w:rsidRDefault="00F968CA" w:rsidP="00F968CA">
            <w:pPr>
              <w:rPr>
                <w:rFonts w:ascii="Arial" w:hAnsi="Arial" w:cs="Arial"/>
                <w:lang w:val="en-US"/>
              </w:rPr>
            </w:pPr>
            <w:r w:rsidRPr="00F968CA">
              <w:rPr>
                <w:rFonts w:ascii="Arial" w:hAnsi="Arial" w:cs="Arial"/>
                <w:lang w:val="en-US"/>
              </w:rPr>
              <w:t>joint ventures), a consolidated B-BBEE Status Level Verification Certificate</w:t>
            </w:r>
            <w:r w:rsidR="00FD4BB2">
              <w:rPr>
                <w:rFonts w:ascii="Arial" w:hAnsi="Arial" w:cs="Arial"/>
                <w:lang w:val="en-US"/>
              </w:rPr>
              <w:t xml:space="preserve"> is required</w:t>
            </w:r>
          </w:p>
          <w:p w14:paraId="1C832A37" w14:textId="77777777" w:rsidR="00F968CA" w:rsidRPr="00F968CA" w:rsidRDefault="00F968CA" w:rsidP="00F968CA">
            <w:pPr>
              <w:rPr>
                <w:rFonts w:ascii="Arial" w:hAnsi="Arial" w:cs="Arial"/>
                <w:lang w:val="en-US"/>
              </w:rPr>
            </w:pPr>
          </w:p>
          <w:p w14:paraId="36E020C7" w14:textId="6EF73866" w:rsidR="0033137B" w:rsidRPr="005F4C29" w:rsidRDefault="0033137B" w:rsidP="0033137B">
            <w:pPr>
              <w:rPr>
                <w:rFonts w:ascii="Arial" w:hAnsi="Arial" w:cs="Arial"/>
                <w:highlight w:val="yellow"/>
                <w:lang w:val="en-US"/>
              </w:rPr>
            </w:pPr>
          </w:p>
          <w:p w14:paraId="695F05A6" w14:textId="003765BC" w:rsidR="005F4C29" w:rsidRPr="005F4C29" w:rsidRDefault="005F4C29" w:rsidP="005F4C29">
            <w:pPr>
              <w:rPr>
                <w:rFonts w:ascii="Arial" w:hAnsi="Arial" w:cs="Arial"/>
                <w:lang w:val="en-US"/>
              </w:rPr>
            </w:pPr>
          </w:p>
          <w:p w14:paraId="47F626A6" w14:textId="77777777" w:rsidR="007C4BBF" w:rsidRDefault="007C4BBF" w:rsidP="00010263">
            <w:pPr>
              <w:rPr>
                <w:rFonts w:ascii="Arial" w:hAnsi="Arial" w:cs="Arial"/>
                <w:lang w:val="en-US"/>
              </w:rPr>
            </w:pPr>
          </w:p>
        </w:tc>
        <w:tc>
          <w:tcPr>
            <w:tcW w:w="1511" w:type="dxa"/>
          </w:tcPr>
          <w:p w14:paraId="49359269" w14:textId="77777777" w:rsidR="007C4BBF" w:rsidRPr="00A2299C" w:rsidRDefault="007C4BBF" w:rsidP="00010263">
            <w:pPr>
              <w:rPr>
                <w:rFonts w:ascii="Arial" w:eastAsia="Calibri" w:hAnsi="Arial" w:cs="Arial"/>
                <w:lang w:val="en-US"/>
              </w:rPr>
            </w:pPr>
          </w:p>
        </w:tc>
      </w:tr>
      <w:tr w:rsidR="007C4BBF" w:rsidRPr="00A2299C" w14:paraId="097EF384" w14:textId="77777777" w:rsidTr="2DC7843C">
        <w:trPr>
          <w:trHeight w:val="405"/>
          <w:jc w:val="center"/>
        </w:trPr>
        <w:tc>
          <w:tcPr>
            <w:tcW w:w="669" w:type="dxa"/>
          </w:tcPr>
          <w:p w14:paraId="0B3B4DE9" w14:textId="77777777" w:rsidR="007C4BBF" w:rsidRPr="00A2299C" w:rsidRDefault="007C4BBF" w:rsidP="00010263">
            <w:pPr>
              <w:numPr>
                <w:ilvl w:val="0"/>
                <w:numId w:val="5"/>
              </w:numPr>
              <w:ind w:left="360"/>
              <w:rPr>
                <w:rFonts w:ascii="Arial" w:eastAsia="Calibri" w:hAnsi="Arial" w:cs="Arial"/>
                <w:lang w:val="en-US"/>
              </w:rPr>
            </w:pPr>
          </w:p>
        </w:tc>
        <w:tc>
          <w:tcPr>
            <w:tcW w:w="1831" w:type="dxa"/>
          </w:tcPr>
          <w:p w14:paraId="7D2895FE" w14:textId="2333613B" w:rsidR="007C4BBF" w:rsidRPr="00A2299C" w:rsidRDefault="00622C51" w:rsidP="00010263">
            <w:pPr>
              <w:rPr>
                <w:rFonts w:ascii="Arial" w:hAnsi="Arial" w:cs="Arial"/>
                <w:lang w:val="en-US"/>
              </w:rPr>
            </w:pPr>
            <w:r>
              <w:rPr>
                <w:rFonts w:ascii="Arial" w:hAnsi="Arial" w:cs="Arial"/>
                <w:lang w:val="en-US"/>
              </w:rPr>
              <w:t>30/06/2026</w:t>
            </w:r>
          </w:p>
        </w:tc>
        <w:tc>
          <w:tcPr>
            <w:tcW w:w="5859" w:type="dxa"/>
          </w:tcPr>
          <w:p w14:paraId="44DB6378" w14:textId="77777777" w:rsidR="00DB4E7D" w:rsidRPr="00DB4E7D" w:rsidRDefault="00DB4E7D" w:rsidP="00DB4E7D">
            <w:pPr>
              <w:pStyle w:val="NormalWeb"/>
              <w:spacing w:line="276" w:lineRule="auto"/>
              <w:rPr>
                <w:rFonts w:ascii="Arial" w:hAnsi="Arial" w:cs="Arial"/>
                <w:sz w:val="22"/>
                <w:szCs w:val="22"/>
              </w:rPr>
            </w:pPr>
            <w:r w:rsidRPr="00DB4E7D">
              <w:rPr>
                <w:rFonts w:ascii="Arial" w:hAnsi="Arial" w:cs="Arial"/>
                <w:b/>
                <w:bCs/>
                <w:sz w:val="22"/>
                <w:szCs w:val="22"/>
              </w:rPr>
              <w:t>Definition of a comparable assignment</w:t>
            </w:r>
          </w:p>
          <w:p w14:paraId="2F83C338" w14:textId="77777777" w:rsidR="00DB4E7D" w:rsidRPr="00DB4E7D" w:rsidRDefault="00DB4E7D" w:rsidP="00DB4E7D">
            <w:pPr>
              <w:pStyle w:val="NormalWeb"/>
              <w:spacing w:line="276" w:lineRule="auto"/>
              <w:rPr>
                <w:rFonts w:ascii="Arial" w:hAnsi="Arial" w:cs="Arial"/>
                <w:sz w:val="22"/>
                <w:szCs w:val="22"/>
              </w:rPr>
            </w:pPr>
            <w:r w:rsidRPr="00DB4E7D">
              <w:rPr>
                <w:rFonts w:ascii="Arial" w:hAnsi="Arial" w:cs="Arial"/>
                <w:sz w:val="22"/>
                <w:szCs w:val="22"/>
              </w:rPr>
              <w:t>For purposes of the mandatory gatekeeper evaluation, what constitutes a comparable assignment? Specifically, does a financial feasibility study for a manufacturing facility qualify as a comparable TA assignment where certain technical elements (such as site assessment and conceptual engineering) were carried out by a joint venture partner rather than the TA firm itself?</w:t>
            </w:r>
          </w:p>
          <w:p w14:paraId="190F33E0" w14:textId="77777777" w:rsidR="007C4BBF" w:rsidRPr="00A2299C" w:rsidRDefault="007C4BBF" w:rsidP="00010263">
            <w:pPr>
              <w:pStyle w:val="NormalWeb"/>
              <w:spacing w:before="0" w:beforeAutospacing="0" w:after="0" w:afterAutospacing="0" w:line="276" w:lineRule="auto"/>
              <w:rPr>
                <w:rFonts w:ascii="Arial" w:hAnsi="Arial" w:cs="Arial"/>
                <w:lang w:val="en-US"/>
              </w:rPr>
            </w:pPr>
          </w:p>
        </w:tc>
        <w:tc>
          <w:tcPr>
            <w:tcW w:w="5670" w:type="dxa"/>
          </w:tcPr>
          <w:p w14:paraId="72182748" w14:textId="085B994A" w:rsidR="006C6695" w:rsidRPr="006C6695" w:rsidRDefault="0189B7C2" w:rsidP="006C6695">
            <w:pPr>
              <w:rPr>
                <w:rFonts w:ascii="Arial" w:hAnsi="Arial" w:cs="Arial"/>
                <w:lang w:val="en-US"/>
              </w:rPr>
            </w:pPr>
            <w:r w:rsidRPr="2DC7843C">
              <w:rPr>
                <w:rFonts w:ascii="Arial" w:hAnsi="Arial" w:cs="Arial"/>
                <w:lang w:val="en-US"/>
              </w:rPr>
              <w:t>A comparable assignment is an assignment of a similar nature, scale, complexity and multidisciplinary scope to the services required under this tender.</w:t>
            </w:r>
            <w:r w:rsidR="48C3825C" w:rsidRPr="2DC7843C">
              <w:rPr>
                <w:rFonts w:ascii="Arial" w:hAnsi="Arial" w:cs="Arial"/>
                <w:lang w:val="en-US"/>
              </w:rPr>
              <w:t xml:space="preserve"> The </w:t>
            </w:r>
            <w:r w:rsidR="5013111C" w:rsidRPr="2DC7843C">
              <w:rPr>
                <w:rFonts w:ascii="Arial" w:hAnsi="Arial" w:cs="Arial"/>
                <w:lang w:val="en-US"/>
              </w:rPr>
              <w:t>financial feasibility</w:t>
            </w:r>
            <w:r w:rsidR="48C3825C" w:rsidRPr="2DC7843C">
              <w:rPr>
                <w:rFonts w:ascii="Arial" w:hAnsi="Arial" w:cs="Arial"/>
                <w:lang w:val="en-US"/>
              </w:rPr>
              <w:t xml:space="preserve"> stud</w:t>
            </w:r>
            <w:r w:rsidR="1789C9FC" w:rsidRPr="2DC7843C">
              <w:rPr>
                <w:rFonts w:ascii="Arial" w:hAnsi="Arial" w:cs="Arial"/>
                <w:lang w:val="en-US"/>
              </w:rPr>
              <w:t>y</w:t>
            </w:r>
            <w:r w:rsidR="48C3825C" w:rsidRPr="2DC7843C">
              <w:rPr>
                <w:rFonts w:ascii="Arial" w:hAnsi="Arial" w:cs="Arial"/>
                <w:lang w:val="en-US"/>
              </w:rPr>
              <w:t xml:space="preserve"> for </w:t>
            </w:r>
            <w:r w:rsidR="5F1998F0" w:rsidRPr="2DC7843C">
              <w:rPr>
                <w:rFonts w:ascii="Arial" w:hAnsi="Arial" w:cs="Arial"/>
                <w:lang w:val="en-US"/>
              </w:rPr>
              <w:t>manufacturing</w:t>
            </w:r>
            <w:r w:rsidR="48C3825C" w:rsidRPr="2DC7843C">
              <w:rPr>
                <w:rFonts w:ascii="Arial" w:hAnsi="Arial" w:cs="Arial"/>
                <w:lang w:val="en-US"/>
              </w:rPr>
              <w:t xml:space="preserve"> will be assessed </w:t>
            </w:r>
            <w:r w:rsidR="0EBF48D6" w:rsidRPr="2DC7843C">
              <w:rPr>
                <w:rFonts w:ascii="Arial" w:hAnsi="Arial" w:cs="Arial"/>
                <w:lang w:val="en-US"/>
              </w:rPr>
              <w:t>and evaluated as per requirements of 2.1</w:t>
            </w:r>
          </w:p>
          <w:p w14:paraId="5F701F72" w14:textId="77777777" w:rsidR="006C6695" w:rsidRDefault="006C6695" w:rsidP="006C6695">
            <w:pPr>
              <w:rPr>
                <w:rFonts w:ascii="Arial" w:hAnsi="Arial" w:cs="Arial"/>
                <w:lang w:val="en-US"/>
              </w:rPr>
            </w:pPr>
          </w:p>
          <w:p w14:paraId="7804C7D1" w14:textId="77777777" w:rsidR="006C6695" w:rsidRPr="006C6695" w:rsidRDefault="006C6695" w:rsidP="006C6695">
            <w:pPr>
              <w:rPr>
                <w:rFonts w:ascii="Arial" w:hAnsi="Arial" w:cs="Arial"/>
                <w:lang w:val="en-US"/>
              </w:rPr>
            </w:pPr>
          </w:p>
          <w:p w14:paraId="7745E2ED" w14:textId="77777777" w:rsidR="007C4BBF" w:rsidRDefault="007C4BBF" w:rsidP="004B7B6C">
            <w:pPr>
              <w:rPr>
                <w:rFonts w:ascii="Arial" w:hAnsi="Arial" w:cs="Arial"/>
                <w:lang w:val="en-US"/>
              </w:rPr>
            </w:pPr>
          </w:p>
        </w:tc>
        <w:tc>
          <w:tcPr>
            <w:tcW w:w="1511" w:type="dxa"/>
          </w:tcPr>
          <w:p w14:paraId="4F1F9409" w14:textId="77777777" w:rsidR="007C4BBF" w:rsidRPr="00A2299C" w:rsidRDefault="007C4BBF" w:rsidP="00010263">
            <w:pPr>
              <w:rPr>
                <w:rFonts w:ascii="Arial" w:eastAsia="Calibri" w:hAnsi="Arial" w:cs="Arial"/>
                <w:lang w:val="en-US"/>
              </w:rPr>
            </w:pPr>
          </w:p>
        </w:tc>
      </w:tr>
      <w:tr w:rsidR="003D6AE4" w:rsidRPr="00A2299C" w14:paraId="69358DEA" w14:textId="77777777" w:rsidTr="2DC7843C">
        <w:trPr>
          <w:trHeight w:val="405"/>
          <w:jc w:val="center"/>
        </w:trPr>
        <w:tc>
          <w:tcPr>
            <w:tcW w:w="669" w:type="dxa"/>
          </w:tcPr>
          <w:p w14:paraId="65882AF4" w14:textId="77777777" w:rsidR="003D6AE4" w:rsidRPr="00A2299C" w:rsidRDefault="003D6AE4" w:rsidP="00010263">
            <w:pPr>
              <w:numPr>
                <w:ilvl w:val="0"/>
                <w:numId w:val="5"/>
              </w:numPr>
              <w:ind w:left="360"/>
              <w:rPr>
                <w:rFonts w:ascii="Arial" w:eastAsia="Calibri" w:hAnsi="Arial" w:cs="Arial"/>
                <w:lang w:val="en-US"/>
              </w:rPr>
            </w:pPr>
          </w:p>
        </w:tc>
        <w:tc>
          <w:tcPr>
            <w:tcW w:w="1831" w:type="dxa"/>
          </w:tcPr>
          <w:p w14:paraId="33E4CC8D" w14:textId="72875A7E" w:rsidR="003D6AE4" w:rsidRPr="00A2299C" w:rsidRDefault="00187BD2" w:rsidP="00010263">
            <w:pPr>
              <w:rPr>
                <w:rFonts w:ascii="Arial" w:hAnsi="Arial" w:cs="Arial"/>
                <w:lang w:val="en-US"/>
              </w:rPr>
            </w:pPr>
            <w:r>
              <w:rPr>
                <w:rFonts w:ascii="Arial" w:hAnsi="Arial" w:cs="Arial"/>
                <w:lang w:val="en-US"/>
              </w:rPr>
              <w:t>30/06/2026</w:t>
            </w:r>
          </w:p>
        </w:tc>
        <w:tc>
          <w:tcPr>
            <w:tcW w:w="5859" w:type="dxa"/>
          </w:tcPr>
          <w:p w14:paraId="60228997" w14:textId="12C69019" w:rsidR="00F85F31" w:rsidRPr="00F85F31" w:rsidRDefault="00F85F31" w:rsidP="00F85F31">
            <w:pPr>
              <w:pStyle w:val="NormalWeb"/>
              <w:spacing w:line="276" w:lineRule="auto"/>
              <w:rPr>
                <w:rFonts w:ascii="Arial" w:hAnsi="Arial" w:cs="Arial"/>
                <w:sz w:val="22"/>
                <w:szCs w:val="22"/>
              </w:rPr>
            </w:pPr>
            <w:r w:rsidRPr="00F85F31">
              <w:rPr>
                <w:rFonts w:ascii="Arial" w:hAnsi="Arial" w:cs="Arial"/>
                <w:b/>
                <w:bCs/>
                <w:sz w:val="22"/>
                <w:szCs w:val="22"/>
              </w:rPr>
              <w:t>Development finance institution funding</w:t>
            </w:r>
          </w:p>
          <w:p w14:paraId="28054F95" w14:textId="77777777" w:rsidR="00F85F31" w:rsidRPr="00F85F31" w:rsidRDefault="00F85F31" w:rsidP="00F85F31">
            <w:pPr>
              <w:pStyle w:val="NormalWeb"/>
              <w:spacing w:line="276" w:lineRule="auto"/>
              <w:rPr>
                <w:rFonts w:ascii="Arial" w:hAnsi="Arial" w:cs="Arial"/>
                <w:sz w:val="22"/>
                <w:szCs w:val="22"/>
              </w:rPr>
            </w:pPr>
            <w:r w:rsidRPr="00F85F31">
              <w:rPr>
                <w:rFonts w:ascii="Arial" w:hAnsi="Arial" w:cs="Arial"/>
                <w:sz w:val="22"/>
                <w:szCs w:val="22"/>
              </w:rPr>
              <w:t>Is the feasibility study funded in whole or in part by a development finance institution or similar body? If so, please advise whether there are any procurement, eligibility, or reporting requirements arising from that funding arrangement which tenderers should be aware of when structuring their submissions.</w:t>
            </w:r>
          </w:p>
          <w:p w14:paraId="6B880500" w14:textId="77777777" w:rsidR="003D6AE4" w:rsidRPr="00A2299C" w:rsidRDefault="003D6AE4" w:rsidP="00010263">
            <w:pPr>
              <w:pStyle w:val="NormalWeb"/>
              <w:spacing w:before="0" w:beforeAutospacing="0" w:after="0" w:afterAutospacing="0" w:line="276" w:lineRule="auto"/>
              <w:rPr>
                <w:rFonts w:ascii="Arial" w:hAnsi="Arial" w:cs="Arial"/>
                <w:lang w:val="en-US"/>
              </w:rPr>
            </w:pPr>
          </w:p>
        </w:tc>
        <w:tc>
          <w:tcPr>
            <w:tcW w:w="5670" w:type="dxa"/>
          </w:tcPr>
          <w:p w14:paraId="5C34D1A7" w14:textId="0D14694D" w:rsidR="003D6AE4" w:rsidRDefault="00AE394C" w:rsidP="00010263">
            <w:pPr>
              <w:rPr>
                <w:rFonts w:ascii="Arial" w:hAnsi="Arial" w:cs="Arial"/>
                <w:lang w:val="en-US"/>
              </w:rPr>
            </w:pPr>
            <w:r>
              <w:rPr>
                <w:rFonts w:ascii="Arial" w:hAnsi="Arial" w:cs="Arial"/>
                <w:lang w:val="en-US"/>
              </w:rPr>
              <w:t xml:space="preserve">The </w:t>
            </w:r>
            <w:r w:rsidR="000E4B50">
              <w:rPr>
                <w:rFonts w:ascii="Arial" w:hAnsi="Arial" w:cs="Arial"/>
                <w:lang w:val="en-US"/>
              </w:rPr>
              <w:t xml:space="preserve">tender </w:t>
            </w:r>
            <w:r>
              <w:rPr>
                <w:rFonts w:ascii="Arial" w:hAnsi="Arial" w:cs="Arial"/>
                <w:lang w:val="en-US"/>
              </w:rPr>
              <w:t xml:space="preserve">evaluation criteria </w:t>
            </w:r>
            <w:r w:rsidR="000E4B50">
              <w:rPr>
                <w:rFonts w:ascii="Arial" w:hAnsi="Arial" w:cs="Arial"/>
                <w:lang w:val="en-US"/>
              </w:rPr>
              <w:t>is</w:t>
            </w:r>
            <w:r>
              <w:rPr>
                <w:rFonts w:ascii="Arial" w:hAnsi="Arial" w:cs="Arial"/>
                <w:lang w:val="en-US"/>
              </w:rPr>
              <w:t xml:space="preserve"> stipulated in the Invitation to Tender (ITT) </w:t>
            </w:r>
            <w:r w:rsidR="009B6CC0">
              <w:rPr>
                <w:rFonts w:ascii="Arial" w:hAnsi="Arial" w:cs="Arial"/>
                <w:lang w:val="en-US"/>
              </w:rPr>
              <w:t>document (</w:t>
            </w:r>
            <w:r w:rsidR="00E074CF">
              <w:rPr>
                <w:rFonts w:ascii="Arial" w:hAnsi="Arial" w:cs="Arial"/>
                <w:lang w:val="en-US"/>
              </w:rPr>
              <w:t>including</w:t>
            </w:r>
            <w:r w:rsidR="00A90A22">
              <w:rPr>
                <w:rFonts w:ascii="Arial" w:hAnsi="Arial" w:cs="Arial"/>
                <w:lang w:val="en-US"/>
              </w:rPr>
              <w:t xml:space="preserve"> SDL&amp;I requirements)</w:t>
            </w:r>
          </w:p>
        </w:tc>
        <w:tc>
          <w:tcPr>
            <w:tcW w:w="1511" w:type="dxa"/>
          </w:tcPr>
          <w:p w14:paraId="715BC8DC" w14:textId="77777777" w:rsidR="003D6AE4" w:rsidRPr="00A2299C" w:rsidRDefault="003D6AE4" w:rsidP="00010263">
            <w:pPr>
              <w:rPr>
                <w:rFonts w:ascii="Arial" w:eastAsia="Calibri" w:hAnsi="Arial" w:cs="Arial"/>
                <w:lang w:val="en-US"/>
              </w:rPr>
            </w:pPr>
          </w:p>
        </w:tc>
      </w:tr>
      <w:tr w:rsidR="003D6AE4" w:rsidRPr="00A2299C" w14:paraId="7E607EB1" w14:textId="77777777" w:rsidTr="2DC7843C">
        <w:trPr>
          <w:trHeight w:val="405"/>
          <w:jc w:val="center"/>
        </w:trPr>
        <w:tc>
          <w:tcPr>
            <w:tcW w:w="669" w:type="dxa"/>
          </w:tcPr>
          <w:p w14:paraId="4E5DAFBA" w14:textId="77777777" w:rsidR="003D6AE4" w:rsidRPr="00A2299C" w:rsidRDefault="003D6AE4" w:rsidP="00010263">
            <w:pPr>
              <w:numPr>
                <w:ilvl w:val="0"/>
                <w:numId w:val="5"/>
              </w:numPr>
              <w:ind w:left="360"/>
              <w:rPr>
                <w:rFonts w:ascii="Arial" w:eastAsia="Calibri" w:hAnsi="Arial" w:cs="Arial"/>
                <w:lang w:val="en-US"/>
              </w:rPr>
            </w:pPr>
          </w:p>
        </w:tc>
        <w:tc>
          <w:tcPr>
            <w:tcW w:w="1831" w:type="dxa"/>
          </w:tcPr>
          <w:p w14:paraId="7B2B5BEB" w14:textId="5CDF4BE6" w:rsidR="003D6AE4" w:rsidRPr="00A2299C" w:rsidRDefault="009917BC" w:rsidP="00010263">
            <w:pPr>
              <w:rPr>
                <w:rFonts w:ascii="Arial" w:hAnsi="Arial" w:cs="Arial"/>
                <w:lang w:val="en-US"/>
              </w:rPr>
            </w:pPr>
            <w:r>
              <w:rPr>
                <w:rFonts w:ascii="Arial" w:hAnsi="Arial" w:cs="Arial"/>
                <w:lang w:val="en-US"/>
              </w:rPr>
              <w:t>01/07/2026</w:t>
            </w:r>
          </w:p>
        </w:tc>
        <w:tc>
          <w:tcPr>
            <w:tcW w:w="5859" w:type="dxa"/>
          </w:tcPr>
          <w:p w14:paraId="3F725337" w14:textId="77777777" w:rsidR="00FF689C" w:rsidRPr="00FF689C" w:rsidRDefault="00FF689C" w:rsidP="00FF689C">
            <w:pPr>
              <w:pStyle w:val="NormalWeb"/>
              <w:spacing w:line="276" w:lineRule="auto"/>
              <w:rPr>
                <w:rFonts w:ascii="Arial" w:hAnsi="Arial" w:cs="Arial"/>
                <w:sz w:val="22"/>
                <w:szCs w:val="22"/>
              </w:rPr>
            </w:pPr>
            <w:r w:rsidRPr="00FF689C">
              <w:rPr>
                <w:rFonts w:ascii="Arial" w:hAnsi="Arial" w:cs="Arial"/>
                <w:sz w:val="22"/>
                <w:szCs w:val="22"/>
              </w:rPr>
              <w:t>Page 4 of the Technical Specification states “Evaluate Camden Power Station as the reference site while independently identifying the most optimum Eskom site for the facility.” Please list the other Eskom sites that would need to be investigated/assessed. This information will assist us to cost the site assessment activity more accurately.</w:t>
            </w:r>
          </w:p>
          <w:p w14:paraId="49722F0C" w14:textId="77777777" w:rsidR="003D6AE4" w:rsidRPr="00FF689C" w:rsidRDefault="003D6AE4" w:rsidP="00010263">
            <w:pPr>
              <w:pStyle w:val="NormalWeb"/>
              <w:spacing w:before="0" w:beforeAutospacing="0" w:after="0" w:afterAutospacing="0" w:line="276" w:lineRule="auto"/>
              <w:rPr>
                <w:rFonts w:ascii="Arial" w:hAnsi="Arial" w:cs="Arial"/>
                <w:sz w:val="22"/>
                <w:szCs w:val="22"/>
                <w:lang w:val="en-US"/>
              </w:rPr>
            </w:pPr>
          </w:p>
        </w:tc>
        <w:tc>
          <w:tcPr>
            <w:tcW w:w="5670" w:type="dxa"/>
          </w:tcPr>
          <w:p w14:paraId="3C83AFC2" w14:textId="0CF5D1E1" w:rsidR="003D6AE4" w:rsidRDefault="66C73C06" w:rsidP="00010263">
            <w:pPr>
              <w:rPr>
                <w:rFonts w:ascii="Arial" w:hAnsi="Arial" w:cs="Arial"/>
                <w:lang w:val="en-US"/>
              </w:rPr>
            </w:pPr>
            <w:r w:rsidRPr="54498E75">
              <w:rPr>
                <w:rFonts w:ascii="Arial" w:hAnsi="Arial" w:cs="Arial"/>
                <w:lang w:val="en-US"/>
              </w:rPr>
              <w:t xml:space="preserve"> Eskom has multiple site</w:t>
            </w:r>
            <w:r w:rsidR="21378527" w:rsidRPr="54498E75">
              <w:rPr>
                <w:rFonts w:ascii="Arial" w:hAnsi="Arial" w:cs="Arial"/>
                <w:lang w:val="en-US"/>
              </w:rPr>
              <w:t>s for consideration and that will be determined once the Tender has been awarded.</w:t>
            </w:r>
            <w:r w:rsidR="572B9A57" w:rsidRPr="54498E75">
              <w:rPr>
                <w:rFonts w:ascii="Arial" w:hAnsi="Arial" w:cs="Arial"/>
                <w:lang w:val="en-US"/>
              </w:rPr>
              <w:t xml:space="preserve"> All activities are rate based.</w:t>
            </w:r>
          </w:p>
        </w:tc>
        <w:tc>
          <w:tcPr>
            <w:tcW w:w="1511" w:type="dxa"/>
          </w:tcPr>
          <w:p w14:paraId="22FA7B7F" w14:textId="77777777" w:rsidR="003D6AE4" w:rsidRPr="00A2299C" w:rsidRDefault="003D6AE4" w:rsidP="00010263">
            <w:pPr>
              <w:rPr>
                <w:rFonts w:ascii="Arial" w:eastAsia="Calibri" w:hAnsi="Arial" w:cs="Arial"/>
                <w:lang w:val="en-US"/>
              </w:rPr>
            </w:pPr>
          </w:p>
        </w:tc>
      </w:tr>
      <w:tr w:rsidR="003D6AE4" w:rsidRPr="00A2299C" w14:paraId="137FCD06" w14:textId="77777777" w:rsidTr="2DC7843C">
        <w:trPr>
          <w:trHeight w:val="405"/>
          <w:jc w:val="center"/>
        </w:trPr>
        <w:tc>
          <w:tcPr>
            <w:tcW w:w="669" w:type="dxa"/>
          </w:tcPr>
          <w:p w14:paraId="4068D9B6" w14:textId="77777777" w:rsidR="003D6AE4" w:rsidRPr="00A2299C" w:rsidRDefault="003D6AE4" w:rsidP="00010263">
            <w:pPr>
              <w:numPr>
                <w:ilvl w:val="0"/>
                <w:numId w:val="5"/>
              </w:numPr>
              <w:ind w:left="360"/>
              <w:rPr>
                <w:rFonts w:ascii="Arial" w:eastAsia="Calibri" w:hAnsi="Arial" w:cs="Arial"/>
                <w:lang w:val="en-US"/>
              </w:rPr>
            </w:pPr>
          </w:p>
        </w:tc>
        <w:tc>
          <w:tcPr>
            <w:tcW w:w="1831" w:type="dxa"/>
          </w:tcPr>
          <w:p w14:paraId="1174EC7E" w14:textId="63757AC0" w:rsidR="003D6AE4" w:rsidRPr="00A2299C" w:rsidRDefault="009917BC" w:rsidP="00010263">
            <w:pPr>
              <w:rPr>
                <w:rFonts w:ascii="Arial" w:hAnsi="Arial" w:cs="Arial"/>
                <w:lang w:val="en-US"/>
              </w:rPr>
            </w:pPr>
            <w:r>
              <w:rPr>
                <w:rFonts w:ascii="Arial" w:hAnsi="Arial" w:cs="Arial"/>
                <w:lang w:val="en-US"/>
              </w:rPr>
              <w:t>01/07/2026</w:t>
            </w:r>
          </w:p>
        </w:tc>
        <w:tc>
          <w:tcPr>
            <w:tcW w:w="5859" w:type="dxa"/>
          </w:tcPr>
          <w:p w14:paraId="4902ECFB" w14:textId="77777777" w:rsidR="00915E9B" w:rsidRPr="00433F74" w:rsidRDefault="00915E9B" w:rsidP="00915E9B">
            <w:pPr>
              <w:pStyle w:val="NormalWeb"/>
              <w:spacing w:line="276" w:lineRule="auto"/>
              <w:rPr>
                <w:rFonts w:ascii="Arial" w:hAnsi="Arial" w:cs="Arial"/>
                <w:sz w:val="22"/>
                <w:szCs w:val="22"/>
              </w:rPr>
            </w:pPr>
            <w:r w:rsidRPr="00433F74">
              <w:rPr>
                <w:rFonts w:ascii="Arial" w:hAnsi="Arial" w:cs="Arial"/>
                <w:sz w:val="22"/>
                <w:szCs w:val="22"/>
              </w:rPr>
              <w:t>There is a contradiction between the timeline and contract duration stated in the Invitation to Tender (ITT), the NEC PSC Scope of Work, and the NEC PSC Contract Data as outlined below:</w:t>
            </w:r>
          </w:p>
          <w:p w14:paraId="104A3101" w14:textId="77777777" w:rsidR="00915E9B" w:rsidRPr="00433F74" w:rsidRDefault="00915E9B" w:rsidP="00915E9B">
            <w:pPr>
              <w:pStyle w:val="NormalWeb"/>
              <w:spacing w:line="276" w:lineRule="auto"/>
              <w:rPr>
                <w:rFonts w:ascii="Arial" w:hAnsi="Arial" w:cs="Arial"/>
                <w:sz w:val="22"/>
                <w:szCs w:val="22"/>
              </w:rPr>
            </w:pPr>
            <w:r w:rsidRPr="00433F74">
              <w:rPr>
                <w:rFonts w:ascii="Arial" w:hAnsi="Arial" w:cs="Arial"/>
                <w:sz w:val="22"/>
                <w:szCs w:val="22"/>
              </w:rPr>
              <w:t>- Invitation to Tender indicates that the contract duration is for a period of 20 months</w:t>
            </w:r>
          </w:p>
          <w:p w14:paraId="0946A259" w14:textId="77777777" w:rsidR="00915E9B" w:rsidRPr="00433F74" w:rsidRDefault="00915E9B" w:rsidP="00915E9B">
            <w:pPr>
              <w:pStyle w:val="NormalWeb"/>
              <w:spacing w:line="276" w:lineRule="auto"/>
              <w:rPr>
                <w:rFonts w:ascii="Arial" w:hAnsi="Arial" w:cs="Arial"/>
                <w:sz w:val="22"/>
                <w:szCs w:val="22"/>
              </w:rPr>
            </w:pPr>
            <w:r w:rsidRPr="00433F74">
              <w:rPr>
                <w:rFonts w:ascii="Arial" w:hAnsi="Arial" w:cs="Arial"/>
                <w:sz w:val="22"/>
                <w:szCs w:val="22"/>
              </w:rPr>
              <w:t>- NEC PSC Contract Data (C1.2) indicates the starting date is 01 Sept 2026 and completion date is 30 June 2027. This gives a period of 10 months.</w:t>
            </w:r>
          </w:p>
          <w:p w14:paraId="1C62753F" w14:textId="77777777" w:rsidR="00915E9B" w:rsidRPr="00433F74" w:rsidRDefault="00915E9B" w:rsidP="00915E9B">
            <w:pPr>
              <w:pStyle w:val="NormalWeb"/>
              <w:spacing w:line="276" w:lineRule="auto"/>
              <w:rPr>
                <w:rFonts w:ascii="Arial" w:hAnsi="Arial" w:cs="Arial"/>
                <w:sz w:val="22"/>
                <w:szCs w:val="22"/>
              </w:rPr>
            </w:pPr>
            <w:r w:rsidRPr="00433F74">
              <w:rPr>
                <w:rFonts w:ascii="Arial" w:hAnsi="Arial" w:cs="Arial"/>
                <w:sz w:val="22"/>
                <w:szCs w:val="22"/>
              </w:rPr>
              <w:t>- NEC PSC Scope of Work (Part 3) references a 20-month contract duration in multiple places.</w:t>
            </w:r>
          </w:p>
          <w:p w14:paraId="4DA15B4A" w14:textId="298685D1" w:rsidR="003D6AE4" w:rsidRPr="00433F74" w:rsidRDefault="003D6AE4" w:rsidP="00010263">
            <w:pPr>
              <w:pStyle w:val="NormalWeb"/>
              <w:spacing w:before="0" w:beforeAutospacing="0" w:after="0" w:afterAutospacing="0" w:line="276" w:lineRule="auto"/>
              <w:rPr>
                <w:rFonts w:ascii="Arial" w:hAnsi="Arial" w:cs="Arial"/>
                <w:sz w:val="22"/>
                <w:szCs w:val="22"/>
                <w:lang w:val="en-US"/>
              </w:rPr>
            </w:pPr>
          </w:p>
        </w:tc>
        <w:tc>
          <w:tcPr>
            <w:tcW w:w="5670" w:type="dxa"/>
          </w:tcPr>
          <w:p w14:paraId="043F50E9" w14:textId="6980D13B" w:rsidR="005332F9" w:rsidRPr="00433F74" w:rsidRDefault="007D7CED" w:rsidP="005332F9">
            <w:pPr>
              <w:pStyle w:val="NormalWeb"/>
              <w:numPr>
                <w:ilvl w:val="0"/>
                <w:numId w:val="12"/>
              </w:numPr>
              <w:spacing w:line="276" w:lineRule="auto"/>
              <w:jc w:val="both"/>
              <w:rPr>
                <w:rFonts w:ascii="Arial" w:hAnsi="Arial" w:cs="Arial"/>
                <w:sz w:val="22"/>
                <w:szCs w:val="22"/>
              </w:rPr>
            </w:pPr>
            <w:r w:rsidRPr="00433F74">
              <w:rPr>
                <w:rFonts w:ascii="Arial" w:hAnsi="Arial" w:cs="Arial"/>
                <w:sz w:val="22"/>
                <w:szCs w:val="22"/>
              </w:rPr>
              <w:t>The consultant provides baseline programme which must meet the service target date of 30 June 2027 or earlier.</w:t>
            </w:r>
          </w:p>
          <w:p w14:paraId="2C02F86C" w14:textId="2FF576C6" w:rsidR="005332F9" w:rsidRPr="00433F74" w:rsidRDefault="005332F9" w:rsidP="005332F9">
            <w:pPr>
              <w:pStyle w:val="NormalWeb"/>
              <w:numPr>
                <w:ilvl w:val="0"/>
                <w:numId w:val="12"/>
              </w:numPr>
              <w:spacing w:line="276" w:lineRule="auto"/>
              <w:jc w:val="both"/>
              <w:rPr>
                <w:rFonts w:ascii="Arial" w:hAnsi="Arial" w:cs="Arial"/>
                <w:sz w:val="22"/>
                <w:szCs w:val="22"/>
              </w:rPr>
            </w:pPr>
            <w:r w:rsidRPr="00433F74">
              <w:rPr>
                <w:rFonts w:ascii="Arial" w:hAnsi="Arial" w:cs="Arial"/>
                <w:sz w:val="22"/>
                <w:szCs w:val="22"/>
              </w:rPr>
              <w:t>The contract will remain active for a 20 month period in the event of Eskom deciding to issue any other task order related to the project.</w:t>
            </w:r>
          </w:p>
          <w:p w14:paraId="42380498" w14:textId="77777777" w:rsidR="003D6AE4" w:rsidRPr="00433F74" w:rsidRDefault="003D6AE4" w:rsidP="00010263">
            <w:pPr>
              <w:rPr>
                <w:rFonts w:ascii="Arial" w:hAnsi="Arial" w:cs="Arial"/>
                <w:lang w:val="en-US"/>
              </w:rPr>
            </w:pPr>
          </w:p>
        </w:tc>
        <w:tc>
          <w:tcPr>
            <w:tcW w:w="1511" w:type="dxa"/>
          </w:tcPr>
          <w:p w14:paraId="7A150578" w14:textId="77777777" w:rsidR="003D6AE4" w:rsidRPr="00A2299C" w:rsidRDefault="003D6AE4" w:rsidP="00010263">
            <w:pPr>
              <w:rPr>
                <w:rFonts w:ascii="Arial" w:eastAsia="Calibri" w:hAnsi="Arial" w:cs="Arial"/>
                <w:lang w:val="en-US"/>
              </w:rPr>
            </w:pPr>
          </w:p>
        </w:tc>
      </w:tr>
    </w:tbl>
    <w:p w14:paraId="72D9D57D" w14:textId="77777777" w:rsidR="003E4D3F" w:rsidRDefault="003E4D3F" w:rsidP="002D548D"/>
    <w:sectPr w:rsidR="003E4D3F" w:rsidSect="00A41BC6">
      <w:headerReference w:type="default" r:id="rId15"/>
      <w:footerReference w:type="default" r:id="rId16"/>
      <w:pgSz w:w="16838" w:h="11906" w:orient="landscape"/>
      <w:pgMar w:top="1440" w:right="1080" w:bottom="1440" w:left="1080" w:header="708" w:footer="24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Kgaugelo Sokhulu" w:date="2026-07-01T11:45:00Z" w:initials="KS">
    <w:p w14:paraId="6029988E" w14:textId="40CCB1FC" w:rsidR="00BE46DC" w:rsidRDefault="00BE46DC" w:rsidP="00BE46DC">
      <w:pPr>
        <w:pStyle w:val="CommentText"/>
      </w:pPr>
      <w:r>
        <w:rPr>
          <w:rStyle w:val="CommentReference"/>
        </w:rPr>
        <w:annotationRef/>
      </w:r>
      <w:r>
        <w:fldChar w:fldCharType="begin"/>
      </w:r>
      <w:r>
        <w:instrText>HYPERLINK "mailto:MaphumSM@eskom.co.za"</w:instrText>
      </w:r>
      <w:bookmarkStart w:id="1" w:name="_@_F9B21732A17A4FBBB23644F2D4C79D78Z"/>
      <w:r>
        <w:fldChar w:fldCharType="separate"/>
      </w:r>
      <w:bookmarkEnd w:id="1"/>
      <w:r w:rsidRPr="00BE46DC">
        <w:rPr>
          <w:rStyle w:val="Mention"/>
          <w:noProof/>
        </w:rPr>
        <w:t>@Sibusiso Maphumulo</w:t>
      </w:r>
      <w:r>
        <w:fldChar w:fldCharType="end"/>
      </w:r>
      <w:r>
        <w:t xml:space="preserve"> can you kindly respond to this.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029988E"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0217F1B" w16cex:dateUtc="2026-07-01T09: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029988E" w16cid:durableId="50217F1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9AC56" w14:textId="77777777" w:rsidR="00DE159B" w:rsidRDefault="00DE159B" w:rsidP="0028391D">
      <w:pPr>
        <w:spacing w:after="0" w:line="240" w:lineRule="auto"/>
      </w:pPr>
      <w:r>
        <w:separator/>
      </w:r>
    </w:p>
  </w:endnote>
  <w:endnote w:type="continuationSeparator" w:id="0">
    <w:p w14:paraId="5C8F552B" w14:textId="77777777" w:rsidR="00DE159B" w:rsidRDefault="00DE159B"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5168" w:type="dxa"/>
      <w:jc w:val="center"/>
      <w:tblLook w:val="04A0" w:firstRow="1" w:lastRow="0" w:firstColumn="1" w:lastColumn="0" w:noHBand="0" w:noVBand="1"/>
    </w:tblPr>
    <w:tblGrid>
      <w:gridCol w:w="10773"/>
      <w:gridCol w:w="4395"/>
    </w:tblGrid>
    <w:tr w:rsidR="00ED3A94" w:rsidRPr="00A22EF4" w14:paraId="099AD867" w14:textId="77777777" w:rsidTr="00271B83">
      <w:trPr>
        <w:jc w:val="center"/>
      </w:trPr>
      <w:tc>
        <w:tcPr>
          <w:tcW w:w="15168" w:type="dxa"/>
          <w:gridSpan w:val="2"/>
          <w:tcBorders>
            <w:top w:val="nil"/>
            <w:left w:val="nil"/>
            <w:bottom w:val="nil"/>
            <w:right w:val="nil"/>
          </w:tcBorders>
          <w:vAlign w:val="center"/>
        </w:tcPr>
        <w:p w14:paraId="035FB477" w14:textId="0AC0CAAB" w:rsidR="00ED3A94" w:rsidRPr="00A22EF4" w:rsidRDefault="00271B83">
          <w:pPr>
            <w:jc w:val="center"/>
            <w:rPr>
              <w:rFonts w:ascii="Arial" w:hAnsi="Arial" w:cs="Arial"/>
              <w:b/>
              <w:color w:val="FF0000"/>
              <w:sz w:val="24"/>
              <w:szCs w:val="24"/>
              <w:lang w:val="en-GB"/>
            </w:rPr>
          </w:pPr>
          <w:r>
            <w:rPr>
              <w:rFonts w:ascii="Arial" w:hAnsi="Arial" w:cs="Arial"/>
              <w:b/>
              <w:color w:val="FF0000"/>
              <w:sz w:val="24"/>
              <w:szCs w:val="24"/>
              <w:lang w:val="en-GB"/>
            </w:rPr>
            <w:t>Controlled Disclosure</w:t>
          </w:r>
        </w:p>
      </w:tc>
    </w:tr>
    <w:tr w:rsidR="00ED3A94" w14:paraId="3B6330ED" w14:textId="77777777" w:rsidTr="00271B83">
      <w:trPr>
        <w:trHeight w:val="910"/>
        <w:jc w:val="center"/>
      </w:trPr>
      <w:tc>
        <w:tcPr>
          <w:tcW w:w="15168" w:type="dxa"/>
          <w:gridSpan w:val="2"/>
          <w:tcBorders>
            <w:top w:val="nil"/>
            <w:left w:val="nil"/>
            <w:bottom w:val="nil"/>
            <w:right w:val="nil"/>
          </w:tcBorders>
        </w:tcPr>
        <w:p w14:paraId="146CB07A" w14:textId="212BBB4B" w:rsidR="00ED3A94" w:rsidRDefault="00271B83">
          <w:pPr>
            <w:rPr>
              <w:rFonts w:ascii="Arial" w:hAnsi="Arial" w:cs="Arial"/>
              <w:sz w:val="20"/>
              <w:szCs w:val="20"/>
              <w:lang w:val="en-GB"/>
            </w:rPr>
          </w:pPr>
          <w:r>
            <w:rPr>
              <w:noProof/>
              <w:lang w:eastAsia="en-ZA"/>
            </w:rPr>
            <mc:AlternateContent>
              <mc:Choice Requires="wps">
                <w:drawing>
                  <wp:anchor distT="0" distB="0" distL="114300" distR="114300" simplePos="0" relativeHeight="251658241" behindDoc="0" locked="0" layoutInCell="1" allowOverlap="1" wp14:anchorId="538AA7F6" wp14:editId="614DBBA6">
                    <wp:simplePos x="0" y="0"/>
                    <wp:positionH relativeFrom="column">
                      <wp:posOffset>-32384</wp:posOffset>
                    </wp:positionH>
                    <wp:positionV relativeFrom="paragraph">
                      <wp:posOffset>49530</wp:posOffset>
                    </wp:positionV>
                    <wp:extent cx="9544050" cy="4572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44050" cy="457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DCB3F57" w14:textId="77777777" w:rsidR="00ED3A94" w:rsidRPr="00890E7C" w:rsidRDefault="003E74C5" w:rsidP="00271B83">
                                <w:pPr>
                                  <w:pStyle w:val="Footer"/>
                                  <w:spacing w:before="120"/>
                                  <w:jc w:val="center"/>
                                  <w:rPr>
                                    <w:rFonts w:ascii="Arial" w:hAnsi="Arial" w:cs="Arial"/>
                                    <w:sz w:val="18"/>
                                    <w:szCs w:val="18"/>
                                    <w:lang w:val="en-GB"/>
                                  </w:rPr>
                                </w:pPr>
                                <w:r w:rsidRPr="00CA4A59">
                                  <w:rPr>
                                    <w:rFonts w:ascii="Arial" w:hAnsi="Arial" w:cs="Arial"/>
                                    <w:color w:val="A6A6A6"/>
                                    <w:sz w:val="16"/>
                                    <w:szCs w:val="16"/>
                                  </w:rPr>
                                  <w:t>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Ltd,  © copyright Eskom Holdings SOC Ltd, Reg No 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8AA7F6" id="_x0000_t202" coordsize="21600,21600" o:spt="202" path="m,l,21600r21600,l21600,xe">
                    <v:stroke joinstyle="miter"/>
                    <v:path gradientshapeok="t" o:connecttype="rect"/>
                  </v:shapetype>
                  <v:shape id="Text Box 1" o:spid="_x0000_s1026" type="#_x0000_t202" style="position:absolute;margin-left:-2.55pt;margin-top:3.9pt;width:751.5pt;height:3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" filled="f" stroked="f" strokeweight=".5pt">
                    <v:textbox>
                      <w:txbxContent>
                        <w:p w14:paraId="1DCB3F57" w14:textId="77777777" w:rsidR="00ED3A94" w:rsidRPr="00890E7C" w:rsidRDefault="003E74C5" w:rsidP="00271B83">
                          <w:pPr>
                            <w:pStyle w:val="Footer"/>
                            <w:spacing w:before="120"/>
                            <w:jc w:val="center"/>
                            <w:rPr>
                              <w:rFonts w:ascii="Arial" w:hAnsi="Arial" w:cs="Arial"/>
                              <w:sz w:val="18"/>
                              <w:szCs w:val="18"/>
                              <w:lang w:val="en-GB"/>
                            </w:rPr>
                          </w:pPr>
                          <w:r w:rsidRPr="00CA4A59">
                            <w:rPr>
                              <w:rFonts w:ascii="Arial" w:hAnsi="Arial" w:cs="Arial"/>
                              <w:color w:val="A6A6A6"/>
                              <w:sz w:val="16"/>
                              <w:szCs w:val="16"/>
                            </w:rPr>
                            <w:t>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Ltd,  © copyright Eskom Holdings SOC Ltd, Reg No 2002/015527/30</w:t>
                          </w:r>
                        </w:p>
                      </w:txbxContent>
                    </v:textbox>
                  </v:shape>
                </w:pict>
              </mc:Fallback>
            </mc:AlternateContent>
          </w:r>
        </w:p>
        <w:p w14:paraId="28BAEF9F" w14:textId="77777777" w:rsidR="00ED3A94" w:rsidRDefault="00ED3A94">
          <w:pPr>
            <w:rPr>
              <w:rFonts w:ascii="Arial" w:hAnsi="Arial" w:cs="Arial"/>
              <w:sz w:val="20"/>
              <w:szCs w:val="20"/>
              <w:lang w:val="en-GB"/>
            </w:rPr>
          </w:pPr>
        </w:p>
        <w:p w14:paraId="26875C30" w14:textId="77777777" w:rsidR="00ED3A94" w:rsidRDefault="00ED3A94">
          <w:pPr>
            <w:rPr>
              <w:rFonts w:ascii="Arial" w:hAnsi="Arial" w:cs="Arial"/>
              <w:sz w:val="20"/>
              <w:szCs w:val="20"/>
              <w:lang w:val="en-GB"/>
            </w:rPr>
          </w:pPr>
        </w:p>
        <w:p w14:paraId="31E86479" w14:textId="77777777" w:rsidR="00ED3A94" w:rsidRDefault="00ED3A94">
          <w:pPr>
            <w:rPr>
              <w:rFonts w:ascii="Arial" w:hAnsi="Arial" w:cs="Arial"/>
              <w:sz w:val="20"/>
              <w:szCs w:val="20"/>
              <w:lang w:val="en-GB"/>
            </w:rPr>
          </w:pPr>
        </w:p>
      </w:tc>
    </w:tr>
    <w:tr w:rsidR="00ED3A94" w14:paraId="1BC8170C" w14:textId="77777777" w:rsidTr="00271B83">
      <w:trPr>
        <w:jc w:val="center"/>
      </w:trPr>
      <w:tc>
        <w:tcPr>
          <w:tcW w:w="10773" w:type="dxa"/>
          <w:tcBorders>
            <w:top w:val="nil"/>
            <w:left w:val="nil"/>
            <w:bottom w:val="nil"/>
            <w:right w:val="nil"/>
          </w:tcBorders>
          <w:vAlign w:val="center"/>
        </w:tcPr>
        <w:p w14:paraId="6758CC10" w14:textId="77777777" w:rsidR="00ED3A94" w:rsidRDefault="00ED3A94">
          <w:pPr>
            <w:rPr>
              <w:rFonts w:ascii="Arial" w:hAnsi="Arial" w:cs="Arial"/>
              <w:sz w:val="20"/>
              <w:szCs w:val="20"/>
              <w:lang w:val="en-GB"/>
            </w:rPr>
          </w:pPr>
        </w:p>
      </w:tc>
      <w:tc>
        <w:tcPr>
          <w:tcW w:w="4395" w:type="dxa"/>
          <w:tcBorders>
            <w:top w:val="nil"/>
            <w:left w:val="nil"/>
            <w:bottom w:val="nil"/>
            <w:right w:val="nil"/>
          </w:tcBorders>
          <w:vAlign w:val="center"/>
        </w:tcPr>
        <w:p w14:paraId="54996517" w14:textId="77777777" w:rsidR="00ED3A94" w:rsidRDefault="00ED3A94">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AC18C4">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AC18C4">
            <w:rPr>
              <w:rFonts w:ascii="Arial" w:hAnsi="Arial" w:cs="Arial"/>
              <w:noProof/>
              <w:sz w:val="18"/>
              <w:szCs w:val="18"/>
            </w:rPr>
            <w:t>1</w:t>
          </w:r>
          <w:r w:rsidRPr="0047798B">
            <w:rPr>
              <w:rFonts w:ascii="Arial" w:hAnsi="Arial" w:cs="Arial"/>
              <w:sz w:val="18"/>
              <w:szCs w:val="18"/>
            </w:rPr>
            <w:fldChar w:fldCharType="end"/>
          </w:r>
        </w:p>
      </w:tc>
    </w:tr>
  </w:tbl>
  <w:p w14:paraId="6628EC37" w14:textId="44B55C02" w:rsidR="003E74C5" w:rsidRPr="00890E7C" w:rsidRDefault="003E74C5" w:rsidP="00D54517">
    <w:pPr>
      <w:pStyle w:val="Footer"/>
      <w:rPr>
        <w:rFonts w:ascii="Arial" w:hAnsi="Arial" w:cs="Arial"/>
        <w:sz w:val="16"/>
        <w:szCs w:val="16"/>
      </w:rPr>
    </w:pPr>
    <w:r w:rsidRPr="00890E7C">
      <w:rPr>
        <w:rFonts w:ascii="Arial" w:hAnsi="Arial" w:cs="Arial"/>
        <w:b/>
        <w:sz w:val="16"/>
        <w:szCs w:val="16"/>
      </w:rPr>
      <w:t>File name:</w:t>
    </w:r>
    <w:r w:rsidRPr="00890E7C">
      <w:rPr>
        <w:rFonts w:ascii="Arial" w:hAnsi="Arial" w:cs="Arial"/>
        <w:sz w:val="16"/>
        <w:szCs w:val="16"/>
      </w:rPr>
      <w:t xml:space="preserve"> </w:t>
    </w:r>
    <w:r w:rsidRPr="002D548D">
      <w:rPr>
        <w:rFonts w:ascii="Arial" w:hAnsi="Arial" w:cs="Arial"/>
        <w:sz w:val="16"/>
        <w:szCs w:val="16"/>
      </w:rPr>
      <w:fldChar w:fldCharType="begin"/>
    </w:r>
    <w:r w:rsidRPr="002D548D">
      <w:rPr>
        <w:rFonts w:ascii="Arial" w:hAnsi="Arial" w:cs="Arial"/>
        <w:sz w:val="16"/>
        <w:szCs w:val="16"/>
      </w:rPr>
      <w:instrText xml:space="preserve"> FILENAME  \* FirstCap  \* MERGEFORMAT </w:instrText>
    </w:r>
    <w:r w:rsidRPr="002D548D">
      <w:rPr>
        <w:rFonts w:ascii="Arial" w:hAnsi="Arial" w:cs="Arial"/>
        <w:sz w:val="16"/>
        <w:szCs w:val="16"/>
      </w:rPr>
      <w:fldChar w:fldCharType="separate"/>
    </w:r>
    <w:r w:rsidR="00E257A2">
      <w:rPr>
        <w:rFonts w:ascii="Arial" w:hAnsi="Arial" w:cs="Arial"/>
        <w:noProof/>
        <w:sz w:val="16"/>
        <w:szCs w:val="16"/>
      </w:rPr>
      <w:t>Tender Questions and Answers</w:t>
    </w:r>
    <w:r w:rsidRPr="002D548D">
      <w:rPr>
        <w:rFonts w:ascii="Arial" w:hAnsi="Arial" w:cs="Arial"/>
        <w:sz w:val="16"/>
        <w:szCs w:val="16"/>
      </w:rPr>
      <w:fldChar w:fldCharType="end"/>
    </w:r>
    <w:r w:rsidR="00D54517" w:rsidRPr="002D548D">
      <w:rPr>
        <w:rFonts w:ascii="Arial" w:hAnsi="Arial" w:cs="Arial"/>
        <w:sz w:val="16"/>
        <w:szCs w:val="16"/>
      </w:rPr>
      <w:t xml:space="preserve"> </w:t>
    </w:r>
  </w:p>
  <w:p w14:paraId="237B60D3" w14:textId="63BB3119" w:rsidR="00ED3A94" w:rsidRPr="00271B83" w:rsidRDefault="00D54517" w:rsidP="00271B83">
    <w:pPr>
      <w:pStyle w:val="Footer"/>
      <w:ind w:left="709" w:hanging="709"/>
      <w:rPr>
        <w:rFonts w:ascii="Arial" w:hAnsi="Arial" w:cs="Arial"/>
        <w:sz w:val="16"/>
        <w:szCs w:val="16"/>
      </w:rPr>
    </w:pPr>
    <w:r w:rsidRPr="00CA4A59">
      <w:rPr>
        <w:rFonts w:ascii="Arial" w:hAnsi="Arial" w:cs="Arial"/>
        <w:b/>
        <w:color w:val="BFBFBF"/>
        <w:sz w:val="16"/>
        <w:szCs w:val="16"/>
      </w:rPr>
      <w:t>Template ID:</w:t>
    </w:r>
    <w:r w:rsidR="0083657F" w:rsidRPr="00CA4A59">
      <w:rPr>
        <w:rFonts w:ascii="Arial" w:hAnsi="Arial" w:cs="Arial"/>
        <w:color w:val="BFBFBF"/>
        <w:sz w:val="16"/>
        <w:szCs w:val="16"/>
      </w:rPr>
      <w:t xml:space="preserve"> 240-43921898 (Rev 8</w:t>
    </w:r>
    <w:r w:rsidRPr="00CA4A59">
      <w:rPr>
        <w:rFonts w:ascii="Arial" w:hAnsi="Arial" w:cs="Arial"/>
        <w:color w:val="BFBFBF"/>
        <w:sz w:val="16"/>
        <w:szCs w:val="16"/>
      </w:rPr>
      <w:t>) Header and Footer portrait template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DA445" w14:textId="77777777" w:rsidR="00DE159B" w:rsidRDefault="00DE159B" w:rsidP="0028391D">
      <w:pPr>
        <w:spacing w:after="0" w:line="240" w:lineRule="auto"/>
      </w:pPr>
      <w:r>
        <w:separator/>
      </w:r>
    </w:p>
  </w:footnote>
  <w:footnote w:type="continuationSeparator" w:id="0">
    <w:p w14:paraId="272921F4" w14:textId="77777777" w:rsidR="00DE159B" w:rsidRDefault="00DE159B"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840"/>
      <w:gridCol w:w="7078"/>
      <w:gridCol w:w="2268"/>
      <w:gridCol w:w="1417"/>
      <w:gridCol w:w="567"/>
      <w:gridCol w:w="426"/>
    </w:tblGrid>
    <w:tr w:rsidR="00D54517" w:rsidRPr="003914DE" w14:paraId="37734493" w14:textId="77777777" w:rsidTr="005F2710">
      <w:trPr>
        <w:cantSplit/>
        <w:trHeight w:val="274"/>
        <w:jc w:val="center"/>
      </w:trPr>
      <w:tc>
        <w:tcPr>
          <w:tcW w:w="2840" w:type="dxa"/>
          <w:vMerge w:val="restart"/>
          <w:vAlign w:val="bottom"/>
        </w:tcPr>
        <w:p w14:paraId="58244019" w14:textId="77777777" w:rsidR="00D54517" w:rsidRPr="003914DE" w:rsidRDefault="00000000">
          <w:pPr>
            <w:spacing w:before="840"/>
            <w:rPr>
              <w:rFonts w:ascii="Arial" w:hAnsi="Arial"/>
              <w:b/>
              <w:lang w:val="en-GB"/>
            </w:rPr>
          </w:pPr>
          <w:r>
            <w:rPr>
              <w:rFonts w:ascii="Arial" w:hAnsi="Arial"/>
              <w:b/>
              <w:noProof/>
              <w:lang w:val="en-GB"/>
            </w:rPr>
            <w:object w:dxaOrig="1440" w:dyaOrig="1440" w14:anchorId="7AB6D8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15.5pt;margin-top:6.55pt;width:104.7pt;height:26.65pt;z-index:251658240;visibility:visible;mso-wrap-edited:f;mso-position-horizontal-relative:page;mso-position-vertical-relative:page">
                <v:imagedata r:id="rId1" o:title="" grayscale="t" bilevel="t"/>
                <w10:wrap anchorx="page" anchory="page"/>
              </v:shape>
              <o:OLEObject Type="Embed" ProgID="Word.Picture.8" ShapeID="_x0000_s1030" DrawAspect="Content" ObjectID="_1845454473" r:id="rId2"/>
            </w:object>
          </w:r>
        </w:p>
      </w:tc>
      <w:tc>
        <w:tcPr>
          <w:tcW w:w="7078" w:type="dxa"/>
          <w:vMerge w:val="restart"/>
          <w:vAlign w:val="center"/>
        </w:tcPr>
        <w:p w14:paraId="01BBEFA1" w14:textId="4D4FEEF5" w:rsidR="00D54517" w:rsidRPr="00ED3A94" w:rsidRDefault="00A41BC6" w:rsidP="00DD5D84">
          <w:pPr>
            <w:spacing w:after="0"/>
            <w:jc w:val="center"/>
            <w:rPr>
              <w:rFonts w:ascii="Arial" w:hAnsi="Arial" w:cs="Arial"/>
              <w:b/>
              <w:sz w:val="24"/>
              <w:szCs w:val="24"/>
              <w:lang w:val="en-GB"/>
            </w:rPr>
          </w:pPr>
          <w:r w:rsidRPr="00A41BC6">
            <w:rPr>
              <w:rFonts w:ascii="Arial" w:hAnsi="Arial" w:cs="Arial"/>
              <w:b/>
              <w:sz w:val="24"/>
              <w:szCs w:val="24"/>
              <w:lang w:val="en-GB"/>
            </w:rPr>
            <w:t>Tender Questions and Answers</w:t>
          </w:r>
        </w:p>
      </w:tc>
      <w:tc>
        <w:tcPr>
          <w:tcW w:w="2268" w:type="dxa"/>
          <w:vAlign w:val="center"/>
        </w:tcPr>
        <w:p w14:paraId="21E4A039" w14:textId="77777777" w:rsidR="00D54517" w:rsidRPr="003914DE" w:rsidRDefault="00D54517">
          <w:pPr>
            <w:spacing w:after="0"/>
            <w:jc w:val="right"/>
            <w:rPr>
              <w:rFonts w:ascii="Arial" w:hAnsi="Arial"/>
              <w:b/>
              <w:sz w:val="20"/>
              <w:lang w:val="en-GB"/>
            </w:rPr>
          </w:pPr>
          <w:r>
            <w:rPr>
              <w:rFonts w:ascii="Arial" w:hAnsi="Arial"/>
              <w:b/>
              <w:sz w:val="20"/>
              <w:lang w:val="en-GB"/>
            </w:rPr>
            <w:t>Document Identifier</w:t>
          </w:r>
        </w:p>
      </w:tc>
      <w:tc>
        <w:tcPr>
          <w:tcW w:w="1417" w:type="dxa"/>
          <w:vAlign w:val="center"/>
        </w:tcPr>
        <w:p w14:paraId="5AE36F0B" w14:textId="3BB27A35" w:rsidR="00D54517" w:rsidRPr="002D548D" w:rsidRDefault="002D548D" w:rsidP="007D2711">
          <w:pPr>
            <w:spacing w:after="0"/>
            <w:rPr>
              <w:rFonts w:ascii="Arial" w:hAnsi="Arial"/>
              <w:bCs/>
              <w:sz w:val="20"/>
              <w:lang w:val="en-GB"/>
            </w:rPr>
          </w:pPr>
          <w:r w:rsidRPr="002D548D">
            <w:rPr>
              <w:rFonts w:ascii="Arial" w:hAnsi="Arial"/>
              <w:bCs/>
              <w:sz w:val="20"/>
              <w:lang w:val="en-GB"/>
            </w:rPr>
            <w:t>240-</w:t>
          </w:r>
          <w:r w:rsidR="005F2710" w:rsidRPr="005F2710">
            <w:rPr>
              <w:rFonts w:ascii="Arial" w:hAnsi="Arial"/>
              <w:bCs/>
              <w:sz w:val="20"/>
              <w:lang w:val="en-GB"/>
            </w:rPr>
            <w:t>7124948</w:t>
          </w:r>
        </w:p>
      </w:tc>
      <w:tc>
        <w:tcPr>
          <w:tcW w:w="567" w:type="dxa"/>
          <w:vAlign w:val="center"/>
        </w:tcPr>
        <w:p w14:paraId="6227DCA6" w14:textId="77777777" w:rsidR="00D54517" w:rsidRPr="003914DE" w:rsidRDefault="00D54517" w:rsidP="007D2711">
          <w:pPr>
            <w:spacing w:after="0"/>
            <w:rPr>
              <w:rFonts w:ascii="Arial" w:hAnsi="Arial"/>
              <w:b/>
              <w:sz w:val="20"/>
              <w:lang w:val="en-GB"/>
            </w:rPr>
          </w:pPr>
          <w:r w:rsidRPr="002C5969">
            <w:rPr>
              <w:rFonts w:ascii="Arial" w:hAnsi="Arial"/>
              <w:b/>
              <w:sz w:val="20"/>
              <w:lang w:val="en-GB"/>
            </w:rPr>
            <w:t>Rev</w:t>
          </w:r>
        </w:p>
      </w:tc>
      <w:tc>
        <w:tcPr>
          <w:tcW w:w="426" w:type="dxa"/>
          <w:vAlign w:val="center"/>
        </w:tcPr>
        <w:p w14:paraId="2E48BC79" w14:textId="2C5F0332" w:rsidR="00D54517" w:rsidRPr="002D548D" w:rsidRDefault="002D548D" w:rsidP="007D2711">
          <w:pPr>
            <w:spacing w:after="0"/>
            <w:rPr>
              <w:rFonts w:ascii="Arial" w:hAnsi="Arial"/>
              <w:bCs/>
              <w:sz w:val="20"/>
              <w:lang w:val="en-GB"/>
            </w:rPr>
          </w:pPr>
          <w:r w:rsidRPr="002D548D">
            <w:rPr>
              <w:rFonts w:ascii="Arial" w:hAnsi="Arial"/>
              <w:bCs/>
              <w:sz w:val="20"/>
              <w:lang w:val="en-GB"/>
            </w:rPr>
            <w:t>1</w:t>
          </w:r>
        </w:p>
      </w:tc>
    </w:tr>
    <w:tr w:rsidR="00A41BC6" w:rsidRPr="003914DE" w14:paraId="4B4A16E4" w14:textId="77777777" w:rsidTr="005F2710">
      <w:trPr>
        <w:cantSplit/>
        <w:trHeight w:val="261"/>
        <w:jc w:val="center"/>
      </w:trPr>
      <w:tc>
        <w:tcPr>
          <w:tcW w:w="2840" w:type="dxa"/>
          <w:vMerge/>
          <w:vAlign w:val="bottom"/>
        </w:tcPr>
        <w:p w14:paraId="5C1A9457" w14:textId="77777777" w:rsidR="00A41BC6" w:rsidRPr="003914DE" w:rsidRDefault="00A41BC6" w:rsidP="00A41BC6">
          <w:pPr>
            <w:spacing w:before="840"/>
            <w:rPr>
              <w:rFonts w:ascii="Arial" w:hAnsi="Arial"/>
              <w:b/>
              <w:lang w:val="en-GB"/>
            </w:rPr>
          </w:pPr>
        </w:p>
      </w:tc>
      <w:tc>
        <w:tcPr>
          <w:tcW w:w="7078" w:type="dxa"/>
          <w:vMerge/>
          <w:vAlign w:val="center"/>
        </w:tcPr>
        <w:p w14:paraId="02B9BEC0" w14:textId="77777777" w:rsidR="00A41BC6" w:rsidRPr="003914DE" w:rsidRDefault="00A41BC6" w:rsidP="00A41BC6">
          <w:pPr>
            <w:jc w:val="center"/>
            <w:rPr>
              <w:rFonts w:ascii="Arial" w:hAnsi="Arial" w:cs="Arial"/>
              <w:b/>
              <w:lang w:val="en-GB"/>
            </w:rPr>
          </w:pPr>
        </w:p>
      </w:tc>
      <w:tc>
        <w:tcPr>
          <w:tcW w:w="2268" w:type="dxa"/>
          <w:vAlign w:val="center"/>
        </w:tcPr>
        <w:p w14:paraId="2AD789DE" w14:textId="77777777" w:rsidR="00A41BC6" w:rsidRPr="003914DE" w:rsidRDefault="00A41BC6" w:rsidP="00A41BC6">
          <w:pPr>
            <w:spacing w:after="0"/>
            <w:jc w:val="right"/>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410" w:type="dxa"/>
          <w:gridSpan w:val="3"/>
          <w:vAlign w:val="center"/>
        </w:tcPr>
        <w:p w14:paraId="29D0D362" w14:textId="5A01D3F1" w:rsidR="00A41BC6" w:rsidRPr="002D548D" w:rsidRDefault="00A41BC6" w:rsidP="00A41BC6">
          <w:pPr>
            <w:spacing w:after="0"/>
            <w:rPr>
              <w:rFonts w:ascii="Arial" w:hAnsi="Arial"/>
              <w:bCs/>
              <w:sz w:val="20"/>
              <w:lang w:val="en-GB"/>
            </w:rPr>
          </w:pPr>
          <w:r w:rsidRPr="00170809">
            <w:rPr>
              <w:rFonts w:ascii="Arial" w:eastAsia="Calibri" w:hAnsi="Arial" w:cs="Times New Roman"/>
              <w:sz w:val="20"/>
              <w:lang w:val="en-GB"/>
            </w:rPr>
            <w:t xml:space="preserve">01 </w:t>
          </w:r>
          <w:r>
            <w:rPr>
              <w:rFonts w:ascii="Arial" w:eastAsia="Calibri" w:hAnsi="Arial" w:cs="Times New Roman"/>
              <w:sz w:val="20"/>
              <w:lang w:val="en-GB"/>
            </w:rPr>
            <w:t>April 2023</w:t>
          </w:r>
        </w:p>
      </w:tc>
    </w:tr>
    <w:tr w:rsidR="00A41BC6" w:rsidRPr="003914DE" w14:paraId="3A34AA86" w14:textId="77777777" w:rsidTr="005F2710">
      <w:trPr>
        <w:cantSplit/>
        <w:trHeight w:hRule="exact" w:val="261"/>
        <w:jc w:val="center"/>
      </w:trPr>
      <w:tc>
        <w:tcPr>
          <w:tcW w:w="2840" w:type="dxa"/>
          <w:vMerge/>
          <w:vAlign w:val="bottom"/>
        </w:tcPr>
        <w:p w14:paraId="745CFCD2" w14:textId="77777777" w:rsidR="00A41BC6" w:rsidRPr="003914DE" w:rsidRDefault="00A41BC6" w:rsidP="00A41BC6">
          <w:pPr>
            <w:spacing w:before="840"/>
            <w:rPr>
              <w:rFonts w:ascii="Arial" w:hAnsi="Arial"/>
              <w:b/>
              <w:lang w:val="en-GB"/>
            </w:rPr>
          </w:pPr>
        </w:p>
      </w:tc>
      <w:tc>
        <w:tcPr>
          <w:tcW w:w="7078" w:type="dxa"/>
          <w:vMerge/>
          <w:vAlign w:val="center"/>
        </w:tcPr>
        <w:p w14:paraId="2E5BF5E2" w14:textId="77777777" w:rsidR="00A41BC6" w:rsidRPr="003914DE" w:rsidRDefault="00A41BC6" w:rsidP="00A41BC6">
          <w:pPr>
            <w:jc w:val="center"/>
            <w:rPr>
              <w:rFonts w:ascii="Arial" w:hAnsi="Arial" w:cs="Arial"/>
              <w:b/>
              <w:lang w:val="en-GB"/>
            </w:rPr>
          </w:pPr>
        </w:p>
      </w:tc>
      <w:tc>
        <w:tcPr>
          <w:tcW w:w="2268" w:type="dxa"/>
          <w:vAlign w:val="center"/>
        </w:tcPr>
        <w:p w14:paraId="18F4A0AB" w14:textId="77777777" w:rsidR="00A41BC6" w:rsidRPr="003914DE" w:rsidRDefault="00A41BC6" w:rsidP="00A41BC6">
          <w:pPr>
            <w:spacing w:after="0"/>
            <w:jc w:val="right"/>
            <w:rPr>
              <w:rFonts w:ascii="Arial" w:hAnsi="Arial"/>
              <w:b/>
              <w:sz w:val="20"/>
              <w:lang w:val="en-GB"/>
            </w:rPr>
          </w:pPr>
          <w:r w:rsidRPr="003914DE">
            <w:rPr>
              <w:rFonts w:ascii="Arial" w:hAnsi="Arial"/>
              <w:b/>
              <w:sz w:val="20"/>
              <w:lang w:val="en-GB"/>
            </w:rPr>
            <w:t>Review Date</w:t>
          </w:r>
        </w:p>
      </w:tc>
      <w:tc>
        <w:tcPr>
          <w:tcW w:w="2410" w:type="dxa"/>
          <w:gridSpan w:val="3"/>
          <w:vAlign w:val="center"/>
        </w:tcPr>
        <w:p w14:paraId="7BC4711F" w14:textId="6F692859" w:rsidR="00A41BC6" w:rsidRPr="002D548D" w:rsidRDefault="00A41BC6" w:rsidP="00A41BC6">
          <w:pPr>
            <w:spacing w:after="0" w:line="240" w:lineRule="auto"/>
            <w:rPr>
              <w:rFonts w:ascii="Arial" w:hAnsi="Arial"/>
              <w:bCs/>
              <w:sz w:val="20"/>
              <w:lang w:val="en-GB"/>
            </w:rPr>
          </w:pPr>
          <w:r>
            <w:rPr>
              <w:rFonts w:ascii="Arial" w:eastAsia="Calibri" w:hAnsi="Arial" w:cs="Times New Roman"/>
              <w:sz w:val="20"/>
              <w:lang w:val="en-GB"/>
            </w:rPr>
            <w:t>April 2026</w:t>
          </w:r>
        </w:p>
      </w:tc>
    </w:tr>
  </w:tbl>
  <w:p w14:paraId="117E9EB0" w14:textId="77777777" w:rsidR="0028391D" w:rsidRDefault="002839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83C0A"/>
    <w:multiLevelType w:val="hybridMultilevel"/>
    <w:tmpl w:val="B7886750"/>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 w15:restartNumberingAfterBreak="0">
    <w:nsid w:val="0A8004F2"/>
    <w:multiLevelType w:val="hybridMultilevel"/>
    <w:tmpl w:val="A6B62FE0"/>
    <w:lvl w:ilvl="0" w:tplc="34EEDBBA">
      <w:start w:val="1"/>
      <w:numFmt w:val="decimal"/>
      <w:lvlText w:val="%1."/>
      <w:lvlJc w:val="left"/>
      <w:pPr>
        <w:ind w:left="360" w:hanging="360"/>
      </w:pPr>
      <w:rPr>
        <w:color w:val="auto"/>
      </w:r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start w:val="1"/>
      <w:numFmt w:val="decimal"/>
      <w:lvlText w:val="%4."/>
      <w:lvlJc w:val="left"/>
      <w:pPr>
        <w:ind w:left="2520" w:hanging="360"/>
      </w:pPr>
    </w:lvl>
    <w:lvl w:ilvl="4" w:tplc="1C090019">
      <w:start w:val="1"/>
      <w:numFmt w:val="lowerLetter"/>
      <w:lvlText w:val="%5."/>
      <w:lvlJc w:val="left"/>
      <w:pPr>
        <w:ind w:left="3240" w:hanging="360"/>
      </w:pPr>
    </w:lvl>
    <w:lvl w:ilvl="5" w:tplc="1C09001B">
      <w:start w:val="1"/>
      <w:numFmt w:val="lowerRoman"/>
      <w:lvlText w:val="%6."/>
      <w:lvlJc w:val="right"/>
      <w:pPr>
        <w:ind w:left="3960" w:hanging="180"/>
      </w:pPr>
    </w:lvl>
    <w:lvl w:ilvl="6" w:tplc="1C09000F">
      <w:start w:val="1"/>
      <w:numFmt w:val="decimal"/>
      <w:lvlText w:val="%7."/>
      <w:lvlJc w:val="left"/>
      <w:pPr>
        <w:ind w:left="4680" w:hanging="360"/>
      </w:pPr>
    </w:lvl>
    <w:lvl w:ilvl="7" w:tplc="1C090019">
      <w:start w:val="1"/>
      <w:numFmt w:val="lowerLetter"/>
      <w:lvlText w:val="%8."/>
      <w:lvlJc w:val="left"/>
      <w:pPr>
        <w:ind w:left="5400" w:hanging="360"/>
      </w:pPr>
    </w:lvl>
    <w:lvl w:ilvl="8" w:tplc="1C09001B">
      <w:start w:val="1"/>
      <w:numFmt w:val="lowerRoman"/>
      <w:lvlText w:val="%9."/>
      <w:lvlJc w:val="right"/>
      <w:pPr>
        <w:ind w:left="6120" w:hanging="180"/>
      </w:pPr>
    </w:lvl>
  </w:abstractNum>
  <w:abstractNum w:abstractNumId="2" w15:restartNumberingAfterBreak="0">
    <w:nsid w:val="0DC44DCE"/>
    <w:multiLevelType w:val="hybridMultilevel"/>
    <w:tmpl w:val="1AFEF7B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19E93A57"/>
    <w:multiLevelType w:val="hybridMultilevel"/>
    <w:tmpl w:val="AC5E2A8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23215566"/>
    <w:multiLevelType w:val="hybridMultilevel"/>
    <w:tmpl w:val="E9BA1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120783"/>
    <w:multiLevelType w:val="hybridMultilevel"/>
    <w:tmpl w:val="2B081AE4"/>
    <w:lvl w:ilvl="0" w:tplc="A15826E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A628FA"/>
    <w:multiLevelType w:val="multilevel"/>
    <w:tmpl w:val="8E7219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6652328E"/>
    <w:multiLevelType w:val="hybridMultilevel"/>
    <w:tmpl w:val="455093C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70275A27"/>
    <w:multiLevelType w:val="hybridMultilevel"/>
    <w:tmpl w:val="8D4E7A7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72E20F5B"/>
    <w:multiLevelType w:val="hybridMultilevel"/>
    <w:tmpl w:val="765C1AAC"/>
    <w:lvl w:ilvl="0" w:tplc="77E4F528">
      <w:start w:val="1"/>
      <w:numFmt w:val="bullet"/>
      <w:lvlText w:val=""/>
      <w:lvlJc w:val="left"/>
      <w:pPr>
        <w:tabs>
          <w:tab w:val="num" w:pos="1080"/>
        </w:tabs>
        <w:ind w:left="1080" w:hanging="360"/>
      </w:pPr>
      <w:rPr>
        <w:rFonts w:ascii="Wingdings" w:hAnsi="Wingdings" w:hint="default"/>
      </w:rPr>
    </w:lvl>
    <w:lvl w:ilvl="1" w:tplc="91526CC6" w:tentative="1">
      <w:start w:val="1"/>
      <w:numFmt w:val="bullet"/>
      <w:lvlText w:val=""/>
      <w:lvlJc w:val="left"/>
      <w:pPr>
        <w:tabs>
          <w:tab w:val="num" w:pos="1800"/>
        </w:tabs>
        <w:ind w:left="1800" w:hanging="360"/>
      </w:pPr>
      <w:rPr>
        <w:rFonts w:ascii="Wingdings" w:hAnsi="Wingdings" w:hint="default"/>
      </w:rPr>
    </w:lvl>
    <w:lvl w:ilvl="2" w:tplc="62B084C8" w:tentative="1">
      <w:start w:val="1"/>
      <w:numFmt w:val="bullet"/>
      <w:lvlText w:val=""/>
      <w:lvlJc w:val="left"/>
      <w:pPr>
        <w:tabs>
          <w:tab w:val="num" w:pos="2520"/>
        </w:tabs>
        <w:ind w:left="2520" w:hanging="360"/>
      </w:pPr>
      <w:rPr>
        <w:rFonts w:ascii="Wingdings" w:hAnsi="Wingdings" w:hint="default"/>
      </w:rPr>
    </w:lvl>
    <w:lvl w:ilvl="3" w:tplc="5EF41DA6" w:tentative="1">
      <w:start w:val="1"/>
      <w:numFmt w:val="bullet"/>
      <w:lvlText w:val=""/>
      <w:lvlJc w:val="left"/>
      <w:pPr>
        <w:tabs>
          <w:tab w:val="num" w:pos="3240"/>
        </w:tabs>
        <w:ind w:left="3240" w:hanging="360"/>
      </w:pPr>
      <w:rPr>
        <w:rFonts w:ascii="Wingdings" w:hAnsi="Wingdings" w:hint="default"/>
      </w:rPr>
    </w:lvl>
    <w:lvl w:ilvl="4" w:tplc="CCF42488" w:tentative="1">
      <w:start w:val="1"/>
      <w:numFmt w:val="bullet"/>
      <w:lvlText w:val=""/>
      <w:lvlJc w:val="left"/>
      <w:pPr>
        <w:tabs>
          <w:tab w:val="num" w:pos="3960"/>
        </w:tabs>
        <w:ind w:left="3960" w:hanging="360"/>
      </w:pPr>
      <w:rPr>
        <w:rFonts w:ascii="Wingdings" w:hAnsi="Wingdings" w:hint="default"/>
      </w:rPr>
    </w:lvl>
    <w:lvl w:ilvl="5" w:tplc="BB3EDB32" w:tentative="1">
      <w:start w:val="1"/>
      <w:numFmt w:val="bullet"/>
      <w:lvlText w:val=""/>
      <w:lvlJc w:val="left"/>
      <w:pPr>
        <w:tabs>
          <w:tab w:val="num" w:pos="4680"/>
        </w:tabs>
        <w:ind w:left="4680" w:hanging="360"/>
      </w:pPr>
      <w:rPr>
        <w:rFonts w:ascii="Wingdings" w:hAnsi="Wingdings" w:hint="default"/>
      </w:rPr>
    </w:lvl>
    <w:lvl w:ilvl="6" w:tplc="AFB097D6" w:tentative="1">
      <w:start w:val="1"/>
      <w:numFmt w:val="bullet"/>
      <w:lvlText w:val=""/>
      <w:lvlJc w:val="left"/>
      <w:pPr>
        <w:tabs>
          <w:tab w:val="num" w:pos="5400"/>
        </w:tabs>
        <w:ind w:left="5400" w:hanging="360"/>
      </w:pPr>
      <w:rPr>
        <w:rFonts w:ascii="Wingdings" w:hAnsi="Wingdings" w:hint="default"/>
      </w:rPr>
    </w:lvl>
    <w:lvl w:ilvl="7" w:tplc="6694C062" w:tentative="1">
      <w:start w:val="1"/>
      <w:numFmt w:val="bullet"/>
      <w:lvlText w:val=""/>
      <w:lvlJc w:val="left"/>
      <w:pPr>
        <w:tabs>
          <w:tab w:val="num" w:pos="6120"/>
        </w:tabs>
        <w:ind w:left="6120" w:hanging="360"/>
      </w:pPr>
      <w:rPr>
        <w:rFonts w:ascii="Wingdings" w:hAnsi="Wingdings" w:hint="default"/>
      </w:rPr>
    </w:lvl>
    <w:lvl w:ilvl="8" w:tplc="F97C9E22"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73B247A5"/>
    <w:multiLevelType w:val="hybridMultilevel"/>
    <w:tmpl w:val="4628F6DE"/>
    <w:lvl w:ilvl="0" w:tplc="1C090001">
      <w:start w:val="1"/>
      <w:numFmt w:val="bullet"/>
      <w:lvlText w:val=""/>
      <w:lvlJc w:val="left"/>
      <w:pPr>
        <w:ind w:left="283" w:hanging="360"/>
      </w:pPr>
      <w:rPr>
        <w:rFonts w:ascii="Symbol" w:hAnsi="Symbol" w:hint="default"/>
      </w:rPr>
    </w:lvl>
    <w:lvl w:ilvl="1" w:tplc="1C090003">
      <w:start w:val="1"/>
      <w:numFmt w:val="bullet"/>
      <w:lvlText w:val="o"/>
      <w:lvlJc w:val="left"/>
      <w:pPr>
        <w:ind w:left="1003" w:hanging="360"/>
      </w:pPr>
      <w:rPr>
        <w:rFonts w:ascii="Courier New" w:hAnsi="Courier New" w:cs="Courier New" w:hint="default"/>
      </w:rPr>
    </w:lvl>
    <w:lvl w:ilvl="2" w:tplc="1C090005">
      <w:start w:val="1"/>
      <w:numFmt w:val="bullet"/>
      <w:lvlText w:val=""/>
      <w:lvlJc w:val="left"/>
      <w:pPr>
        <w:ind w:left="1723" w:hanging="360"/>
      </w:pPr>
      <w:rPr>
        <w:rFonts w:ascii="Wingdings" w:hAnsi="Wingdings" w:hint="default"/>
      </w:rPr>
    </w:lvl>
    <w:lvl w:ilvl="3" w:tplc="1C090001">
      <w:start w:val="1"/>
      <w:numFmt w:val="bullet"/>
      <w:lvlText w:val=""/>
      <w:lvlJc w:val="left"/>
      <w:pPr>
        <w:ind w:left="2443" w:hanging="360"/>
      </w:pPr>
      <w:rPr>
        <w:rFonts w:ascii="Symbol" w:hAnsi="Symbol" w:hint="default"/>
      </w:rPr>
    </w:lvl>
    <w:lvl w:ilvl="4" w:tplc="1C090003">
      <w:start w:val="1"/>
      <w:numFmt w:val="bullet"/>
      <w:lvlText w:val="o"/>
      <w:lvlJc w:val="left"/>
      <w:pPr>
        <w:ind w:left="3163" w:hanging="360"/>
      </w:pPr>
      <w:rPr>
        <w:rFonts w:ascii="Courier New" w:hAnsi="Courier New" w:cs="Courier New" w:hint="default"/>
      </w:rPr>
    </w:lvl>
    <w:lvl w:ilvl="5" w:tplc="1C090005">
      <w:start w:val="1"/>
      <w:numFmt w:val="bullet"/>
      <w:lvlText w:val=""/>
      <w:lvlJc w:val="left"/>
      <w:pPr>
        <w:ind w:left="3883" w:hanging="360"/>
      </w:pPr>
      <w:rPr>
        <w:rFonts w:ascii="Wingdings" w:hAnsi="Wingdings" w:hint="default"/>
      </w:rPr>
    </w:lvl>
    <w:lvl w:ilvl="6" w:tplc="1C090001">
      <w:start w:val="1"/>
      <w:numFmt w:val="bullet"/>
      <w:lvlText w:val=""/>
      <w:lvlJc w:val="left"/>
      <w:pPr>
        <w:ind w:left="4603" w:hanging="360"/>
      </w:pPr>
      <w:rPr>
        <w:rFonts w:ascii="Symbol" w:hAnsi="Symbol" w:hint="default"/>
      </w:rPr>
    </w:lvl>
    <w:lvl w:ilvl="7" w:tplc="1C090003">
      <w:start w:val="1"/>
      <w:numFmt w:val="bullet"/>
      <w:lvlText w:val="o"/>
      <w:lvlJc w:val="left"/>
      <w:pPr>
        <w:ind w:left="5323" w:hanging="360"/>
      </w:pPr>
      <w:rPr>
        <w:rFonts w:ascii="Courier New" w:hAnsi="Courier New" w:cs="Courier New" w:hint="default"/>
      </w:rPr>
    </w:lvl>
    <w:lvl w:ilvl="8" w:tplc="1C090005">
      <w:start w:val="1"/>
      <w:numFmt w:val="bullet"/>
      <w:lvlText w:val=""/>
      <w:lvlJc w:val="left"/>
      <w:pPr>
        <w:ind w:left="6043" w:hanging="360"/>
      </w:pPr>
      <w:rPr>
        <w:rFonts w:ascii="Wingdings" w:hAnsi="Wingdings" w:hint="default"/>
      </w:rPr>
    </w:lvl>
  </w:abstractNum>
  <w:num w:numId="1" w16cid:durableId="12699730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53382677">
    <w:abstractNumId w:val="10"/>
  </w:num>
  <w:num w:numId="3" w16cid:durableId="478040650">
    <w:abstractNumId w:val="1"/>
  </w:num>
  <w:num w:numId="4" w16cid:durableId="1383753819">
    <w:abstractNumId w:val="2"/>
  </w:num>
  <w:num w:numId="5" w16cid:durableId="626621306">
    <w:abstractNumId w:val="7"/>
  </w:num>
  <w:num w:numId="6" w16cid:durableId="617295847">
    <w:abstractNumId w:val="8"/>
  </w:num>
  <w:num w:numId="7" w16cid:durableId="1109005593">
    <w:abstractNumId w:val="3"/>
  </w:num>
  <w:num w:numId="8" w16cid:durableId="202786983">
    <w:abstractNumId w:val="9"/>
  </w:num>
  <w:num w:numId="9" w16cid:durableId="800343708">
    <w:abstractNumId w:val="0"/>
  </w:num>
  <w:num w:numId="10" w16cid:durableId="156482950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51407057">
    <w:abstractNumId w:val="4"/>
  </w:num>
  <w:num w:numId="12" w16cid:durableId="87169462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gaugelo Sokhulu">
    <w15:presenceInfo w15:providerId="AD" w15:userId="S::SokhulKR@eskom.co.za::4f976767-7bb6-442b-b53e-2ec9e5e3a3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91D"/>
    <w:rsid w:val="00003627"/>
    <w:rsid w:val="00010263"/>
    <w:rsid w:val="00014207"/>
    <w:rsid w:val="000213F7"/>
    <w:rsid w:val="00026961"/>
    <w:rsid w:val="00035A5A"/>
    <w:rsid w:val="00044EB3"/>
    <w:rsid w:val="00045818"/>
    <w:rsid w:val="00071FA2"/>
    <w:rsid w:val="00073861"/>
    <w:rsid w:val="0009094B"/>
    <w:rsid w:val="00094AED"/>
    <w:rsid w:val="00095773"/>
    <w:rsid w:val="000A1D8D"/>
    <w:rsid w:val="000A3E0E"/>
    <w:rsid w:val="000A5CA6"/>
    <w:rsid w:val="000D554B"/>
    <w:rsid w:val="000D6070"/>
    <w:rsid w:val="000E08EA"/>
    <w:rsid w:val="000E4B50"/>
    <w:rsid w:val="000F05D1"/>
    <w:rsid w:val="000F3E8C"/>
    <w:rsid w:val="000F45FC"/>
    <w:rsid w:val="000F50F4"/>
    <w:rsid w:val="00101C76"/>
    <w:rsid w:val="00103FD9"/>
    <w:rsid w:val="00107242"/>
    <w:rsid w:val="00124BCB"/>
    <w:rsid w:val="00126883"/>
    <w:rsid w:val="00142783"/>
    <w:rsid w:val="00143793"/>
    <w:rsid w:val="0015265D"/>
    <w:rsid w:val="001743C5"/>
    <w:rsid w:val="001821B1"/>
    <w:rsid w:val="00184627"/>
    <w:rsid w:val="001869D8"/>
    <w:rsid w:val="00187BD2"/>
    <w:rsid w:val="001941FD"/>
    <w:rsid w:val="00195237"/>
    <w:rsid w:val="00196CC6"/>
    <w:rsid w:val="001A78DA"/>
    <w:rsid w:val="001B3ADC"/>
    <w:rsid w:val="001B5438"/>
    <w:rsid w:val="001C06EB"/>
    <w:rsid w:val="001D5F97"/>
    <w:rsid w:val="001D70D3"/>
    <w:rsid w:val="001E7532"/>
    <w:rsid w:val="001F0BD0"/>
    <w:rsid w:val="001F4F7C"/>
    <w:rsid w:val="001F548A"/>
    <w:rsid w:val="00214B14"/>
    <w:rsid w:val="00225412"/>
    <w:rsid w:val="00233C4E"/>
    <w:rsid w:val="00235E50"/>
    <w:rsid w:val="00251842"/>
    <w:rsid w:val="0026350C"/>
    <w:rsid w:val="00266BCE"/>
    <w:rsid w:val="00267B92"/>
    <w:rsid w:val="00271B83"/>
    <w:rsid w:val="00272F67"/>
    <w:rsid w:val="00277B27"/>
    <w:rsid w:val="0028391D"/>
    <w:rsid w:val="00286EC4"/>
    <w:rsid w:val="002A283B"/>
    <w:rsid w:val="002A7DEC"/>
    <w:rsid w:val="002B7534"/>
    <w:rsid w:val="002C5969"/>
    <w:rsid w:val="002D548D"/>
    <w:rsid w:val="002E17A7"/>
    <w:rsid w:val="002E7B63"/>
    <w:rsid w:val="002E7E46"/>
    <w:rsid w:val="002F5CED"/>
    <w:rsid w:val="002F6B89"/>
    <w:rsid w:val="003043D9"/>
    <w:rsid w:val="00320C9D"/>
    <w:rsid w:val="003211A3"/>
    <w:rsid w:val="00323347"/>
    <w:rsid w:val="0033137B"/>
    <w:rsid w:val="003407E9"/>
    <w:rsid w:val="00353880"/>
    <w:rsid w:val="00354F3E"/>
    <w:rsid w:val="003608B3"/>
    <w:rsid w:val="003614BC"/>
    <w:rsid w:val="00366341"/>
    <w:rsid w:val="003C2BA4"/>
    <w:rsid w:val="003C3222"/>
    <w:rsid w:val="003C655A"/>
    <w:rsid w:val="003C6677"/>
    <w:rsid w:val="003D6AE4"/>
    <w:rsid w:val="003E1D80"/>
    <w:rsid w:val="003E2A3B"/>
    <w:rsid w:val="003E3DDE"/>
    <w:rsid w:val="003E4D3F"/>
    <w:rsid w:val="003E6E1E"/>
    <w:rsid w:val="003E74C5"/>
    <w:rsid w:val="003F2148"/>
    <w:rsid w:val="0040187D"/>
    <w:rsid w:val="00421CEF"/>
    <w:rsid w:val="004244DF"/>
    <w:rsid w:val="00433F74"/>
    <w:rsid w:val="0044689F"/>
    <w:rsid w:val="0045340A"/>
    <w:rsid w:val="0046158A"/>
    <w:rsid w:val="00481993"/>
    <w:rsid w:val="004843A4"/>
    <w:rsid w:val="0048460D"/>
    <w:rsid w:val="00486962"/>
    <w:rsid w:val="004B7B6C"/>
    <w:rsid w:val="004C38ED"/>
    <w:rsid w:val="004D677B"/>
    <w:rsid w:val="004E258C"/>
    <w:rsid w:val="004E6579"/>
    <w:rsid w:val="004E7C53"/>
    <w:rsid w:val="00504B83"/>
    <w:rsid w:val="00506F5B"/>
    <w:rsid w:val="00516921"/>
    <w:rsid w:val="00523D87"/>
    <w:rsid w:val="005332F9"/>
    <w:rsid w:val="00536338"/>
    <w:rsid w:val="00537182"/>
    <w:rsid w:val="005377E3"/>
    <w:rsid w:val="00541E79"/>
    <w:rsid w:val="00546F03"/>
    <w:rsid w:val="00553C8B"/>
    <w:rsid w:val="00555DFF"/>
    <w:rsid w:val="00565F7C"/>
    <w:rsid w:val="00572ED3"/>
    <w:rsid w:val="00581424"/>
    <w:rsid w:val="00596339"/>
    <w:rsid w:val="005A65C6"/>
    <w:rsid w:val="005B187F"/>
    <w:rsid w:val="005B1F7E"/>
    <w:rsid w:val="005C39F5"/>
    <w:rsid w:val="005D6824"/>
    <w:rsid w:val="005D6A91"/>
    <w:rsid w:val="005F1349"/>
    <w:rsid w:val="005F2710"/>
    <w:rsid w:val="005F4C29"/>
    <w:rsid w:val="00602441"/>
    <w:rsid w:val="00603783"/>
    <w:rsid w:val="00611B3E"/>
    <w:rsid w:val="0061583A"/>
    <w:rsid w:val="00622208"/>
    <w:rsid w:val="00622C51"/>
    <w:rsid w:val="00626C94"/>
    <w:rsid w:val="00644832"/>
    <w:rsid w:val="00651E20"/>
    <w:rsid w:val="00664987"/>
    <w:rsid w:val="00667188"/>
    <w:rsid w:val="00667315"/>
    <w:rsid w:val="00676479"/>
    <w:rsid w:val="0068192E"/>
    <w:rsid w:val="00687001"/>
    <w:rsid w:val="00687BF9"/>
    <w:rsid w:val="00693702"/>
    <w:rsid w:val="006B5CBA"/>
    <w:rsid w:val="006C6695"/>
    <w:rsid w:val="006D0113"/>
    <w:rsid w:val="006E2F6C"/>
    <w:rsid w:val="006E30DF"/>
    <w:rsid w:val="006E679A"/>
    <w:rsid w:val="00714431"/>
    <w:rsid w:val="00715598"/>
    <w:rsid w:val="0072002E"/>
    <w:rsid w:val="00721782"/>
    <w:rsid w:val="00726327"/>
    <w:rsid w:val="00740347"/>
    <w:rsid w:val="0074269F"/>
    <w:rsid w:val="007606DA"/>
    <w:rsid w:val="007619EE"/>
    <w:rsid w:val="00762AB8"/>
    <w:rsid w:val="00762CDA"/>
    <w:rsid w:val="00774679"/>
    <w:rsid w:val="007747A4"/>
    <w:rsid w:val="00782F00"/>
    <w:rsid w:val="00791461"/>
    <w:rsid w:val="007B316F"/>
    <w:rsid w:val="007C4BBF"/>
    <w:rsid w:val="007D2711"/>
    <w:rsid w:val="007D5CB1"/>
    <w:rsid w:val="007D7BDA"/>
    <w:rsid w:val="007D7CED"/>
    <w:rsid w:val="007E00C5"/>
    <w:rsid w:val="007E3CA8"/>
    <w:rsid w:val="007F042B"/>
    <w:rsid w:val="007F27D5"/>
    <w:rsid w:val="007F627F"/>
    <w:rsid w:val="007F7D2F"/>
    <w:rsid w:val="008013F8"/>
    <w:rsid w:val="00811AF1"/>
    <w:rsid w:val="0083362B"/>
    <w:rsid w:val="00835DAD"/>
    <w:rsid w:val="0083657F"/>
    <w:rsid w:val="0083797C"/>
    <w:rsid w:val="00852E5E"/>
    <w:rsid w:val="00862A2F"/>
    <w:rsid w:val="008802A0"/>
    <w:rsid w:val="00890A6A"/>
    <w:rsid w:val="00890E7C"/>
    <w:rsid w:val="00895332"/>
    <w:rsid w:val="008A033D"/>
    <w:rsid w:val="008A54EF"/>
    <w:rsid w:val="008B79C6"/>
    <w:rsid w:val="008D0434"/>
    <w:rsid w:val="008D4574"/>
    <w:rsid w:val="008D5850"/>
    <w:rsid w:val="008D5B48"/>
    <w:rsid w:val="008E106E"/>
    <w:rsid w:val="008E1B6E"/>
    <w:rsid w:val="008E3686"/>
    <w:rsid w:val="008F3B12"/>
    <w:rsid w:val="00902799"/>
    <w:rsid w:val="00904EBB"/>
    <w:rsid w:val="009119CF"/>
    <w:rsid w:val="00911FB0"/>
    <w:rsid w:val="00912691"/>
    <w:rsid w:val="00915C6C"/>
    <w:rsid w:val="00915E9B"/>
    <w:rsid w:val="00917AC7"/>
    <w:rsid w:val="009246A8"/>
    <w:rsid w:val="00925073"/>
    <w:rsid w:val="0093165A"/>
    <w:rsid w:val="00931908"/>
    <w:rsid w:val="00942B50"/>
    <w:rsid w:val="009673C3"/>
    <w:rsid w:val="00972918"/>
    <w:rsid w:val="00977A5F"/>
    <w:rsid w:val="00980035"/>
    <w:rsid w:val="009917BC"/>
    <w:rsid w:val="00991F75"/>
    <w:rsid w:val="0099616C"/>
    <w:rsid w:val="009B33A8"/>
    <w:rsid w:val="009B6CC0"/>
    <w:rsid w:val="009C681B"/>
    <w:rsid w:val="009D5D8B"/>
    <w:rsid w:val="009E0B7A"/>
    <w:rsid w:val="009E222A"/>
    <w:rsid w:val="009F20F2"/>
    <w:rsid w:val="009F44BC"/>
    <w:rsid w:val="00A0034D"/>
    <w:rsid w:val="00A01CBB"/>
    <w:rsid w:val="00A204C1"/>
    <w:rsid w:val="00A2299C"/>
    <w:rsid w:val="00A4127A"/>
    <w:rsid w:val="00A41BC6"/>
    <w:rsid w:val="00A70BE2"/>
    <w:rsid w:val="00A74B03"/>
    <w:rsid w:val="00A80728"/>
    <w:rsid w:val="00A90A22"/>
    <w:rsid w:val="00A9640C"/>
    <w:rsid w:val="00AA4948"/>
    <w:rsid w:val="00AA6BCE"/>
    <w:rsid w:val="00AB3320"/>
    <w:rsid w:val="00AB4436"/>
    <w:rsid w:val="00AC18C4"/>
    <w:rsid w:val="00AD7BA4"/>
    <w:rsid w:val="00AE3928"/>
    <w:rsid w:val="00AE394C"/>
    <w:rsid w:val="00AE6FBE"/>
    <w:rsid w:val="00AF492D"/>
    <w:rsid w:val="00B02A04"/>
    <w:rsid w:val="00B1771A"/>
    <w:rsid w:val="00B20D45"/>
    <w:rsid w:val="00B34624"/>
    <w:rsid w:val="00B458A5"/>
    <w:rsid w:val="00B55768"/>
    <w:rsid w:val="00B74475"/>
    <w:rsid w:val="00B745BC"/>
    <w:rsid w:val="00B8552C"/>
    <w:rsid w:val="00B85FE6"/>
    <w:rsid w:val="00B87299"/>
    <w:rsid w:val="00BA231A"/>
    <w:rsid w:val="00BA3D87"/>
    <w:rsid w:val="00BB757B"/>
    <w:rsid w:val="00BD3722"/>
    <w:rsid w:val="00BD7AB0"/>
    <w:rsid w:val="00BE0EB7"/>
    <w:rsid w:val="00BE46DC"/>
    <w:rsid w:val="00BE60A4"/>
    <w:rsid w:val="00C014C7"/>
    <w:rsid w:val="00C07148"/>
    <w:rsid w:val="00C07356"/>
    <w:rsid w:val="00C15625"/>
    <w:rsid w:val="00C42F7E"/>
    <w:rsid w:val="00C50C26"/>
    <w:rsid w:val="00C51D45"/>
    <w:rsid w:val="00C65A31"/>
    <w:rsid w:val="00C66B63"/>
    <w:rsid w:val="00C7048A"/>
    <w:rsid w:val="00C80042"/>
    <w:rsid w:val="00C908F0"/>
    <w:rsid w:val="00CA4A59"/>
    <w:rsid w:val="00CA4F2E"/>
    <w:rsid w:val="00CB1B87"/>
    <w:rsid w:val="00CB1C50"/>
    <w:rsid w:val="00CC5BF6"/>
    <w:rsid w:val="00CD7A04"/>
    <w:rsid w:val="00CE2C35"/>
    <w:rsid w:val="00CF08B9"/>
    <w:rsid w:val="00CF64E5"/>
    <w:rsid w:val="00CF7F97"/>
    <w:rsid w:val="00D01A82"/>
    <w:rsid w:val="00D01F5C"/>
    <w:rsid w:val="00D03D52"/>
    <w:rsid w:val="00D154D0"/>
    <w:rsid w:val="00D373D6"/>
    <w:rsid w:val="00D455E4"/>
    <w:rsid w:val="00D50B10"/>
    <w:rsid w:val="00D52B3F"/>
    <w:rsid w:val="00D54517"/>
    <w:rsid w:val="00D61987"/>
    <w:rsid w:val="00D72A3A"/>
    <w:rsid w:val="00D8384E"/>
    <w:rsid w:val="00D86337"/>
    <w:rsid w:val="00D9703E"/>
    <w:rsid w:val="00DA07EA"/>
    <w:rsid w:val="00DB4B31"/>
    <w:rsid w:val="00DB4CE6"/>
    <w:rsid w:val="00DB4E7D"/>
    <w:rsid w:val="00DB4EDE"/>
    <w:rsid w:val="00DB64F1"/>
    <w:rsid w:val="00DC4ED2"/>
    <w:rsid w:val="00DD0D97"/>
    <w:rsid w:val="00DD5D84"/>
    <w:rsid w:val="00DE159B"/>
    <w:rsid w:val="00DE51D2"/>
    <w:rsid w:val="00DE7E8C"/>
    <w:rsid w:val="00DF2294"/>
    <w:rsid w:val="00DF4095"/>
    <w:rsid w:val="00DF68E6"/>
    <w:rsid w:val="00E053A9"/>
    <w:rsid w:val="00E06BAB"/>
    <w:rsid w:val="00E074CF"/>
    <w:rsid w:val="00E13AED"/>
    <w:rsid w:val="00E142AD"/>
    <w:rsid w:val="00E20E82"/>
    <w:rsid w:val="00E235CC"/>
    <w:rsid w:val="00E257A2"/>
    <w:rsid w:val="00E41AC6"/>
    <w:rsid w:val="00E44BBE"/>
    <w:rsid w:val="00E46C28"/>
    <w:rsid w:val="00E57138"/>
    <w:rsid w:val="00E6178F"/>
    <w:rsid w:val="00E7110E"/>
    <w:rsid w:val="00E71A3F"/>
    <w:rsid w:val="00E7265A"/>
    <w:rsid w:val="00E81CC4"/>
    <w:rsid w:val="00E8519F"/>
    <w:rsid w:val="00EA3031"/>
    <w:rsid w:val="00EB32CB"/>
    <w:rsid w:val="00EC0F3C"/>
    <w:rsid w:val="00EC2D3F"/>
    <w:rsid w:val="00ED3A94"/>
    <w:rsid w:val="00ED779B"/>
    <w:rsid w:val="00EE68E5"/>
    <w:rsid w:val="00EF231D"/>
    <w:rsid w:val="00F06481"/>
    <w:rsid w:val="00F12613"/>
    <w:rsid w:val="00F1781C"/>
    <w:rsid w:val="00F223C6"/>
    <w:rsid w:val="00F2388C"/>
    <w:rsid w:val="00F27397"/>
    <w:rsid w:val="00F27503"/>
    <w:rsid w:val="00F3059A"/>
    <w:rsid w:val="00F31B8C"/>
    <w:rsid w:val="00F47CF2"/>
    <w:rsid w:val="00F47FA9"/>
    <w:rsid w:val="00F5515D"/>
    <w:rsid w:val="00F55518"/>
    <w:rsid w:val="00F76A93"/>
    <w:rsid w:val="00F85F31"/>
    <w:rsid w:val="00F929F1"/>
    <w:rsid w:val="00F968CA"/>
    <w:rsid w:val="00FA04A4"/>
    <w:rsid w:val="00FA1BAA"/>
    <w:rsid w:val="00FB3FD9"/>
    <w:rsid w:val="00FB7619"/>
    <w:rsid w:val="00FD4BB2"/>
    <w:rsid w:val="00FD7120"/>
    <w:rsid w:val="00FD7998"/>
    <w:rsid w:val="00FD7E89"/>
    <w:rsid w:val="00FE47F8"/>
    <w:rsid w:val="00FE5E0D"/>
    <w:rsid w:val="00FF5CE6"/>
    <w:rsid w:val="00FF689C"/>
    <w:rsid w:val="0189B7C2"/>
    <w:rsid w:val="0524F39E"/>
    <w:rsid w:val="0824A93F"/>
    <w:rsid w:val="09FCAF29"/>
    <w:rsid w:val="0EBF48D6"/>
    <w:rsid w:val="10887CAD"/>
    <w:rsid w:val="1382C910"/>
    <w:rsid w:val="1789C9FC"/>
    <w:rsid w:val="191AF6AD"/>
    <w:rsid w:val="1A4384CC"/>
    <w:rsid w:val="1B3EC796"/>
    <w:rsid w:val="1D56DE91"/>
    <w:rsid w:val="20F81B87"/>
    <w:rsid w:val="21378527"/>
    <w:rsid w:val="237AAAF1"/>
    <w:rsid w:val="261D5265"/>
    <w:rsid w:val="27FCCA04"/>
    <w:rsid w:val="2819568F"/>
    <w:rsid w:val="29BAD0CF"/>
    <w:rsid w:val="29E8D823"/>
    <w:rsid w:val="2AD9611B"/>
    <w:rsid w:val="2D12A4FC"/>
    <w:rsid w:val="2D84DE04"/>
    <w:rsid w:val="2DC7843C"/>
    <w:rsid w:val="2E703146"/>
    <w:rsid w:val="2EBC231D"/>
    <w:rsid w:val="30B26F4A"/>
    <w:rsid w:val="326A8A56"/>
    <w:rsid w:val="35A5C5C6"/>
    <w:rsid w:val="36886B09"/>
    <w:rsid w:val="3805DC0C"/>
    <w:rsid w:val="3815E4D8"/>
    <w:rsid w:val="385F9314"/>
    <w:rsid w:val="3D625FEC"/>
    <w:rsid w:val="4664494F"/>
    <w:rsid w:val="48C3825C"/>
    <w:rsid w:val="4AA015F6"/>
    <w:rsid w:val="5013111C"/>
    <w:rsid w:val="507B3845"/>
    <w:rsid w:val="54498E75"/>
    <w:rsid w:val="572B9A57"/>
    <w:rsid w:val="5F1998F0"/>
    <w:rsid w:val="5F265038"/>
    <w:rsid w:val="60B1EA79"/>
    <w:rsid w:val="60B2BAA7"/>
    <w:rsid w:val="65C8B463"/>
    <w:rsid w:val="66C73C06"/>
    <w:rsid w:val="691631DF"/>
    <w:rsid w:val="7401F5CA"/>
    <w:rsid w:val="766E60CD"/>
    <w:rsid w:val="769AB3DC"/>
  </w:rsids>
  <m:mathPr>
    <m:mathFont m:val="Cambria Math"/>
    <m:brkBin m:val="before"/>
    <m:brkBinSub m:val="--"/>
    <m:smallFrac m:val="0"/>
    <m:dispDef/>
    <m:lMargin m:val="0"/>
    <m:rMargin m:val="0"/>
    <m:defJc m:val="centerGroup"/>
    <m:wrapIndent m:val="1440"/>
    <m:intLim m:val="subSup"/>
    <m:naryLim m:val="undOvr"/>
  </m:mathPr>
  <w:themeFontLang w:val="en-Z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541E16"/>
  <w15:docId w15:val="{8D13B316-810E-4703-91B7-61E53E690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A94"/>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3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table" w:customStyle="1" w:styleId="TableGrid1">
    <w:name w:val="Table Grid1"/>
    <w:basedOn w:val="TableNormal"/>
    <w:rsid w:val="002D548D"/>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D3722"/>
    <w:pPr>
      <w:ind w:left="720"/>
      <w:contextualSpacing/>
    </w:pPr>
  </w:style>
  <w:style w:type="character" w:styleId="Hyperlink">
    <w:name w:val="Hyperlink"/>
    <w:basedOn w:val="DefaultParagraphFont"/>
    <w:uiPriority w:val="99"/>
    <w:unhideWhenUsed/>
    <w:rsid w:val="00BD3722"/>
    <w:rPr>
      <w:color w:val="0000FF" w:themeColor="hyperlink"/>
      <w:u w:val="single"/>
    </w:rPr>
  </w:style>
  <w:style w:type="character" w:styleId="UnresolvedMention">
    <w:name w:val="Unresolved Mention"/>
    <w:basedOn w:val="DefaultParagraphFont"/>
    <w:uiPriority w:val="99"/>
    <w:semiHidden/>
    <w:unhideWhenUsed/>
    <w:rsid w:val="00BD3722"/>
    <w:rPr>
      <w:color w:val="605E5C"/>
      <w:shd w:val="clear" w:color="auto" w:fill="E1DFDD"/>
    </w:rPr>
  </w:style>
  <w:style w:type="character" w:styleId="FollowedHyperlink">
    <w:name w:val="FollowedHyperlink"/>
    <w:basedOn w:val="DefaultParagraphFont"/>
    <w:uiPriority w:val="99"/>
    <w:semiHidden/>
    <w:unhideWhenUsed/>
    <w:rsid w:val="00A204C1"/>
    <w:rPr>
      <w:color w:val="800080" w:themeColor="followedHyperlink"/>
      <w:u w:val="single"/>
    </w:rPr>
  </w:style>
  <w:style w:type="paragraph" w:styleId="NormalWeb">
    <w:name w:val="Normal (Web)"/>
    <w:basedOn w:val="Normal"/>
    <w:uiPriority w:val="99"/>
    <w:unhideWhenUsed/>
    <w:rsid w:val="00E257A2"/>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CommentReference">
    <w:name w:val="annotation reference"/>
    <w:basedOn w:val="DefaultParagraphFont"/>
    <w:uiPriority w:val="99"/>
    <w:semiHidden/>
    <w:unhideWhenUsed/>
    <w:rsid w:val="0044689F"/>
    <w:rPr>
      <w:sz w:val="16"/>
      <w:szCs w:val="16"/>
    </w:rPr>
  </w:style>
  <w:style w:type="paragraph" w:styleId="CommentText">
    <w:name w:val="annotation text"/>
    <w:basedOn w:val="Normal"/>
    <w:link w:val="CommentTextChar"/>
    <w:uiPriority w:val="99"/>
    <w:unhideWhenUsed/>
    <w:rsid w:val="0044689F"/>
    <w:pPr>
      <w:spacing w:line="240" w:lineRule="auto"/>
    </w:pPr>
    <w:rPr>
      <w:sz w:val="20"/>
      <w:szCs w:val="20"/>
    </w:rPr>
  </w:style>
  <w:style w:type="character" w:customStyle="1" w:styleId="CommentTextChar">
    <w:name w:val="Comment Text Char"/>
    <w:basedOn w:val="DefaultParagraphFont"/>
    <w:link w:val="CommentText"/>
    <w:uiPriority w:val="99"/>
    <w:rsid w:val="0044689F"/>
    <w:rPr>
      <w:sz w:val="20"/>
      <w:szCs w:val="20"/>
    </w:rPr>
  </w:style>
  <w:style w:type="paragraph" w:styleId="CommentSubject">
    <w:name w:val="annotation subject"/>
    <w:basedOn w:val="CommentText"/>
    <w:next w:val="CommentText"/>
    <w:link w:val="CommentSubjectChar"/>
    <w:uiPriority w:val="99"/>
    <w:semiHidden/>
    <w:unhideWhenUsed/>
    <w:rsid w:val="0044689F"/>
    <w:rPr>
      <w:b/>
      <w:bCs/>
    </w:rPr>
  </w:style>
  <w:style w:type="character" w:customStyle="1" w:styleId="CommentSubjectChar">
    <w:name w:val="Comment Subject Char"/>
    <w:basedOn w:val="CommentTextChar"/>
    <w:link w:val="CommentSubject"/>
    <w:uiPriority w:val="99"/>
    <w:semiHidden/>
    <w:rsid w:val="0044689F"/>
    <w:rPr>
      <w:b/>
      <w:bCs/>
      <w:sz w:val="20"/>
      <w:szCs w:val="20"/>
    </w:rPr>
  </w:style>
  <w:style w:type="character" w:styleId="Mention">
    <w:name w:val="Mention"/>
    <w:basedOn w:val="DefaultParagraphFont"/>
    <w:uiPriority w:val="99"/>
    <w:unhideWhenUsed/>
    <w:rsid w:val="0044689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375571">
      <w:bodyDiv w:val="1"/>
      <w:marLeft w:val="0"/>
      <w:marRight w:val="0"/>
      <w:marTop w:val="0"/>
      <w:marBottom w:val="0"/>
      <w:divBdr>
        <w:top w:val="none" w:sz="0" w:space="0" w:color="auto"/>
        <w:left w:val="none" w:sz="0" w:space="0" w:color="auto"/>
        <w:bottom w:val="none" w:sz="0" w:space="0" w:color="auto"/>
        <w:right w:val="none" w:sz="0" w:space="0" w:color="auto"/>
      </w:divBdr>
    </w:div>
    <w:div w:id="503863160">
      <w:bodyDiv w:val="1"/>
      <w:marLeft w:val="0"/>
      <w:marRight w:val="0"/>
      <w:marTop w:val="0"/>
      <w:marBottom w:val="0"/>
      <w:divBdr>
        <w:top w:val="none" w:sz="0" w:space="0" w:color="auto"/>
        <w:left w:val="none" w:sz="0" w:space="0" w:color="auto"/>
        <w:bottom w:val="none" w:sz="0" w:space="0" w:color="auto"/>
        <w:right w:val="none" w:sz="0" w:space="0" w:color="auto"/>
      </w:divBdr>
    </w:div>
    <w:div w:id="544105276">
      <w:bodyDiv w:val="1"/>
      <w:marLeft w:val="0"/>
      <w:marRight w:val="0"/>
      <w:marTop w:val="0"/>
      <w:marBottom w:val="0"/>
      <w:divBdr>
        <w:top w:val="none" w:sz="0" w:space="0" w:color="auto"/>
        <w:left w:val="none" w:sz="0" w:space="0" w:color="auto"/>
        <w:bottom w:val="none" w:sz="0" w:space="0" w:color="auto"/>
        <w:right w:val="none" w:sz="0" w:space="0" w:color="auto"/>
      </w:divBdr>
    </w:div>
    <w:div w:id="853033871">
      <w:bodyDiv w:val="1"/>
      <w:marLeft w:val="0"/>
      <w:marRight w:val="0"/>
      <w:marTop w:val="0"/>
      <w:marBottom w:val="0"/>
      <w:divBdr>
        <w:top w:val="none" w:sz="0" w:space="0" w:color="auto"/>
        <w:left w:val="none" w:sz="0" w:space="0" w:color="auto"/>
        <w:bottom w:val="none" w:sz="0" w:space="0" w:color="auto"/>
        <w:right w:val="none" w:sz="0" w:space="0" w:color="auto"/>
      </w:divBdr>
    </w:div>
    <w:div w:id="952439160">
      <w:bodyDiv w:val="1"/>
      <w:marLeft w:val="0"/>
      <w:marRight w:val="0"/>
      <w:marTop w:val="0"/>
      <w:marBottom w:val="0"/>
      <w:divBdr>
        <w:top w:val="none" w:sz="0" w:space="0" w:color="auto"/>
        <w:left w:val="none" w:sz="0" w:space="0" w:color="auto"/>
        <w:bottom w:val="none" w:sz="0" w:space="0" w:color="auto"/>
        <w:right w:val="none" w:sz="0" w:space="0" w:color="auto"/>
      </w:divBdr>
    </w:div>
    <w:div w:id="1038699215">
      <w:bodyDiv w:val="1"/>
      <w:marLeft w:val="0"/>
      <w:marRight w:val="0"/>
      <w:marTop w:val="0"/>
      <w:marBottom w:val="0"/>
      <w:divBdr>
        <w:top w:val="none" w:sz="0" w:space="0" w:color="auto"/>
        <w:left w:val="none" w:sz="0" w:space="0" w:color="auto"/>
        <w:bottom w:val="none" w:sz="0" w:space="0" w:color="auto"/>
        <w:right w:val="none" w:sz="0" w:space="0" w:color="auto"/>
      </w:divBdr>
    </w:div>
    <w:div w:id="1237663833">
      <w:bodyDiv w:val="1"/>
      <w:marLeft w:val="0"/>
      <w:marRight w:val="0"/>
      <w:marTop w:val="0"/>
      <w:marBottom w:val="0"/>
      <w:divBdr>
        <w:top w:val="none" w:sz="0" w:space="0" w:color="auto"/>
        <w:left w:val="none" w:sz="0" w:space="0" w:color="auto"/>
        <w:bottom w:val="none" w:sz="0" w:space="0" w:color="auto"/>
        <w:right w:val="none" w:sz="0" w:space="0" w:color="auto"/>
      </w:divBdr>
    </w:div>
    <w:div w:id="1665432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documenttasks/documenttasks1.xml><?xml version="1.0" encoding="utf-8"?>
<t:Tasks xmlns:t="http://schemas.microsoft.com/office/tasks/2019/documenttasks" xmlns:oel="http://schemas.microsoft.com/office/2019/extlst">
  <t:Task id="{54EE8559-43B5-4B3E-BB4D-C55942C3A867}">
    <t:Anchor>
      <t:Comment id="99308617"/>
    </t:Anchor>
    <t:History>
      <t:Event id="{FAFE1CA0-23FC-4D1B-B0D0-20627BB7D532}" time="2026-06-09T07:52:23.774Z">
        <t:Attribution userId="S::SokhulKR@eskom.co.za::4f976767-7bb6-442b-b53e-2ec9e5e3a353" userProvider="AD" userName="Kgaugelo Sokhulu"/>
        <t:Anchor>
          <t:Comment id="99308617"/>
        </t:Anchor>
        <t:Create/>
      </t:Event>
      <t:Event id="{02B5AD9D-7EF2-4561-A1A7-9D2CAAD2E672}" time="2026-06-09T07:52:23.774Z">
        <t:Attribution userId="S::SokhulKR@eskom.co.za::4f976767-7bb6-442b-b53e-2ec9e5e3a353" userProvider="AD" userName="Kgaugelo Sokhulu"/>
        <t:Anchor>
          <t:Comment id="99308617"/>
        </t:Anchor>
        <t:Assign userId="S::MaphumSM@eskom.co.za::bfc4fa8c-a49a-4c40-99a2-aa7d1c1a7092" userProvider="AD" userName="Sibusiso Maphumulo"/>
      </t:Event>
      <t:Event id="{C6B3DCA5-B184-4571-B574-FD82D78FEECD}" time="2026-06-09T07:52:23.774Z">
        <t:Attribution userId="S::SokhulKR@eskom.co.za::4f976767-7bb6-442b-b53e-2ec9e5e3a353" userProvider="AD" userName="Kgaugelo Sokhulu"/>
        <t:Anchor>
          <t:Comment id="99308617"/>
        </t:Anchor>
        <t:SetTitle title="@Sibusiso Maphumulo could you answer this"/>
      </t:Event>
    </t:History>
  </t:Task>
  <t:Task id="{0EF7B73C-F6F5-4D02-BCE6-228BC95E2650}">
    <t:Anchor>
      <t:Comment id="1079282"/>
    </t:Anchor>
    <t:History>
      <t:Event id="{5675969C-28F3-4C57-BEDE-B6D94E68D254}" time="2026-06-09T07:52:54.855Z">
        <t:Attribution userId="S::SokhulKR@eskom.co.za::4f976767-7bb6-442b-b53e-2ec9e5e3a353" userProvider="AD" userName="Kgaugelo Sokhulu"/>
        <t:Anchor>
          <t:Comment id="1079282"/>
        </t:Anchor>
        <t:Create/>
      </t:Event>
      <t:Event id="{2F3A67D6-5D73-4580-BCF1-40E596B8928B}" time="2026-06-09T07:52:54.855Z">
        <t:Attribution userId="S::SokhulKR@eskom.co.za::4f976767-7bb6-442b-b53e-2ec9e5e3a353" userProvider="AD" userName="Kgaugelo Sokhulu"/>
        <t:Anchor>
          <t:Comment id="1079282"/>
        </t:Anchor>
        <t:Assign userId="S::MoumakLA@eskom.co.za::414ea17e-b48c-4f54-8041-1cbc1561d797" userProvider="AD" userName="Lesego Moumakoe-Leshika"/>
      </t:Event>
      <t:Event id="{393CD4C7-B8D7-494E-BD86-30F61545E069}" time="2026-06-09T07:52:54.855Z">
        <t:Attribution userId="S::SokhulKR@eskom.co.za::4f976767-7bb6-442b-b53e-2ec9e5e3a353" userProvider="AD" userName="Kgaugelo Sokhulu"/>
        <t:Anchor>
          <t:Comment id="1079282"/>
        </t:Anchor>
        <t:SetTitle title="@Lesego Moumakoe-Leshika please review"/>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2055239-ec6e-4208-9c85-62a9dca2d3dd" xsi:nil="true"/>
    <lcf76f155ced4ddcb4097134ff3c332f xmlns="1ae4e9f2-dc39-4e02-b989-bdf9eff3ae3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5ED3F2E9BDCD84C8530860B5726C35C" ma:contentTypeVersion="8" ma:contentTypeDescription="Create a new document." ma:contentTypeScope="" ma:versionID="22dac8c38512c401f6e706f392c31d84">
  <xsd:schema xmlns:xsd="http://www.w3.org/2001/XMLSchema" xmlns:xs="http://www.w3.org/2001/XMLSchema" xmlns:p="http://schemas.microsoft.com/office/2006/metadata/properties" xmlns:ns2="1ae4e9f2-dc39-4e02-b989-bdf9eff3ae3d" xmlns:ns3="82055239-ec6e-4208-9c85-62a9dca2d3dd" targetNamespace="http://schemas.microsoft.com/office/2006/metadata/properties" ma:root="true" ma:fieldsID="e9355cabaee8c2e932fc114c2e5ea3ec" ns2:_="" ns3:_="">
    <xsd:import namespace="1ae4e9f2-dc39-4e02-b989-bdf9eff3ae3d"/>
    <xsd:import namespace="82055239-ec6e-4208-9c85-62a9dca2d3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e4e9f2-dc39-4e02-b989-bdf9eff3a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5fa3029-581b-4330-9c67-5ed5a891eaa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2055239-ec6e-4208-9c85-62a9dca2d3d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baf0194-7a52-4dce-85dc-16118d1ee4df}" ma:internalName="TaxCatchAll" ma:showField="CatchAllData" ma:web="82055239-ec6e-4208-9c85-62a9dca2d3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85BEA3-230E-468E-8A55-56092628383E}">
  <ds:schemaRefs>
    <ds:schemaRef ds:uri="http://schemas.microsoft.com/office/2006/metadata/properties"/>
    <ds:schemaRef ds:uri="http://schemas.microsoft.com/office/infopath/2007/PartnerControls"/>
    <ds:schemaRef ds:uri="82055239-ec6e-4208-9c85-62a9dca2d3dd"/>
    <ds:schemaRef ds:uri="1ae4e9f2-dc39-4e02-b989-bdf9eff3ae3d"/>
  </ds:schemaRefs>
</ds:datastoreItem>
</file>

<file path=customXml/itemProps2.xml><?xml version="1.0" encoding="utf-8"?>
<ds:datastoreItem xmlns:ds="http://schemas.openxmlformats.org/officeDocument/2006/customXml" ds:itemID="{39EA29A0-0A62-418B-8AFC-9C073DD3F2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e4e9f2-dc39-4e02-b989-bdf9eff3ae3d"/>
    <ds:schemaRef ds:uri="82055239-ec6e-4208-9c85-62a9dca2d3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DB1479-D57B-41CB-88EB-CEDE88907A99}">
  <ds:schemaRefs>
    <ds:schemaRef ds:uri="http://schemas.openxmlformats.org/officeDocument/2006/bibliography"/>
  </ds:schemaRefs>
</ds:datastoreItem>
</file>

<file path=customXml/itemProps4.xml><?xml version="1.0" encoding="utf-8"?>
<ds:datastoreItem xmlns:ds="http://schemas.openxmlformats.org/officeDocument/2006/customXml" ds:itemID="{1035E8BB-835A-43B5-821E-68F5C99F836C}">
  <ds:schemaRefs>
    <ds:schemaRef ds:uri="http://schemas.microsoft.com/sharepoint/v3/contenttype/forms"/>
  </ds:schemaRefs>
</ds:datastoreItem>
</file>

<file path=docMetadata/LabelInfo.xml><?xml version="1.0" encoding="utf-8"?>
<clbl:labelList xmlns:clbl="http://schemas.microsoft.com/office/2020/mipLabelMetadata">
  <clbl:label id="{93aedbdc-cc67-4652-aa12-d250a876ae79}" enabled="0" method="" siteId="{93aedbdc-cc67-4652-aa12-d250a876ae79}" removed="1"/>
</clbl:labelList>
</file>

<file path=docProps/app.xml><?xml version="1.0" encoding="utf-8"?>
<Properties xmlns="http://schemas.openxmlformats.org/officeDocument/2006/extended-properties" xmlns:vt="http://schemas.openxmlformats.org/officeDocument/2006/docPropsVTypes">
  <Template>Normal</Template>
  <TotalTime>44</TotalTime>
  <Pages>6</Pages>
  <Words>1321</Words>
  <Characters>7613</Characters>
  <Application>Microsoft Office Word</Application>
  <DocSecurity>0</DocSecurity>
  <Lines>262</Lines>
  <Paragraphs>101</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8833</CharactersWithSpaces>
  <SharedDoc>false</SharedDoc>
  <HLinks>
    <vt:vector size="6" baseType="variant">
      <vt:variant>
        <vt:i4>1966189</vt:i4>
      </vt:variant>
      <vt:variant>
        <vt:i4>0</vt:i4>
      </vt:variant>
      <vt:variant>
        <vt:i4>0</vt:i4>
      </vt:variant>
      <vt:variant>
        <vt:i4>5</vt:i4>
      </vt:variant>
      <vt:variant>
        <vt:lpwstr>mailto:MaphumSM@eskom.co.za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André Hills</dc:creator>
  <cp:keywords/>
  <cp:lastModifiedBy>Jeanette Makume</cp:lastModifiedBy>
  <cp:revision>4</cp:revision>
  <dcterms:created xsi:type="dcterms:W3CDTF">2026-07-10T11:34:00Z</dcterms:created>
  <dcterms:modified xsi:type="dcterms:W3CDTF">2026-07-13T11:28:00Z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0x01010065ED3F2E9BDCD84C8530860B5726C35C</vt:lpwstr>
  </property>
  <property fmtid="{D5CDD505-2E9C-101B-9397-08002B2CF9AE}" pid="3" name="MediaServiceImageTags">
    <vt:lpwstr/>
  </property>
</Properties>
</file>