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353A" w14:textId="77777777" w:rsidR="00872868" w:rsidRPr="00AB6159" w:rsidRDefault="00872868" w:rsidP="00872868">
      <w:pPr>
        <w:contextualSpacing/>
        <w:rPr>
          <w:b/>
          <w:i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CA27ED6" wp14:editId="30E8B64E">
            <wp:simplePos x="0" y="0"/>
            <wp:positionH relativeFrom="column">
              <wp:posOffset>-72428</wp:posOffset>
            </wp:positionH>
            <wp:positionV relativeFrom="paragraph">
              <wp:posOffset>11512</wp:posOffset>
            </wp:positionV>
            <wp:extent cx="937317" cy="946785"/>
            <wp:effectExtent l="0" t="0" r="0" b="5715"/>
            <wp:wrapNone/>
            <wp:docPr id="1" name="Picture 1" descr="Description: Description: Description: Description: moqhaka logo k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moqhaka logo k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47" cy="9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B450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134E040F" w14:textId="77777777" w:rsidR="00872868" w:rsidRPr="00AB6159" w:rsidRDefault="005408CC" w:rsidP="00872868">
      <w:pPr>
        <w:contextualSpacing/>
        <w:rPr>
          <w:b/>
          <w:i/>
          <w:lang w:val="en-US"/>
        </w:rPr>
      </w:pPr>
      <w:r>
        <w:rPr>
          <w:b/>
          <w:i/>
          <w:lang w:val="en-US"/>
        </w:rPr>
        <w:t>242</w:t>
      </w:r>
    </w:p>
    <w:p w14:paraId="32FE6042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63BF8F47" w14:textId="77777777" w:rsidR="00872868" w:rsidRPr="00AB6159" w:rsidRDefault="00872868" w:rsidP="00872868">
      <w:pPr>
        <w:contextualSpacing/>
        <w:rPr>
          <w:b/>
          <w:i/>
          <w:lang w:val="en-US"/>
        </w:rPr>
      </w:pPr>
    </w:p>
    <w:p w14:paraId="615D842E" w14:textId="58AC0EC9" w:rsidR="00872868" w:rsidRPr="00AB6159" w:rsidRDefault="008E2120" w:rsidP="008E2120">
      <w:pPr>
        <w:spacing w:after="0" w:line="240" w:lineRule="auto"/>
        <w:ind w:left="142" w:right="-471"/>
        <w:rPr>
          <w:rFonts w:ascii="Arial" w:eastAsia="Times New Roman" w:hAnsi="Arial" w:cs="Arial"/>
          <w:noProof/>
        </w:rPr>
      </w:pPr>
      <w:r w:rsidRPr="008E2120">
        <w:rPr>
          <w:rFonts w:ascii="Arial" w:eastAsia="Times New Roman" w:hAnsi="Arial" w:cs="Arial"/>
          <w:b/>
          <w:noProof/>
          <w:sz w:val="28"/>
          <w:szCs w:val="32"/>
        </w:rPr>
        <w:t xml:space="preserve">SUPPLY, DELIVERY AND INSTALLATION OF A BACKUP EQUIPMENT AND SOFTWARE </w:t>
      </w:r>
      <w:r w:rsidR="00000000">
        <w:rPr>
          <w:rFonts w:ascii="Arial" w:eastAsia="Times New Roman" w:hAnsi="Arial" w:cs="Arial"/>
          <w:noProof/>
        </w:rPr>
        <w:pict w14:anchorId="6AA68ACD">
          <v:rect id="_x0000_i1025" style="width:510.35pt;height:4pt" o:hrstd="t" o:hrnoshade="t" o:hr="t" fillcolor="black" stroked="f"/>
        </w:pict>
      </w:r>
    </w:p>
    <w:p w14:paraId="742C0080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p w14:paraId="571C1FF1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sz w:val="20"/>
          <w:lang w:val="en-US"/>
        </w:rPr>
      </w:pPr>
    </w:p>
    <w:tbl>
      <w:tblPr>
        <w:tblW w:w="13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5"/>
      </w:tblGrid>
      <w:tr w:rsidR="00872868" w:rsidRPr="00AB6159" w14:paraId="4F65E11A" w14:textId="77777777" w:rsidTr="00495378">
        <w:trPr>
          <w:cantSplit/>
          <w:trHeight w:val="3"/>
          <w:tblHeader/>
        </w:trPr>
        <w:tc>
          <w:tcPr>
            <w:tcW w:w="13645" w:type="dxa"/>
            <w:tcBorders>
              <w:bottom w:val="nil"/>
            </w:tcBorders>
            <w:shd w:val="clear" w:color="auto" w:fill="A6A6A6"/>
          </w:tcPr>
          <w:p w14:paraId="6D023AB0" w14:textId="77777777" w:rsidR="00872868" w:rsidRPr="00A87D53" w:rsidRDefault="00872868" w:rsidP="00495378">
            <w:pPr>
              <w:spacing w:after="0" w:line="240" w:lineRule="auto"/>
              <w:ind w:right="-23"/>
              <w:rPr>
                <w:rFonts w:ascii="Arial" w:eastAsia="Arial Unicode MS" w:hAnsi="Arial" w:cs="Arial"/>
                <w:b/>
                <w:noProof/>
                <w:u w:val="single"/>
              </w:rPr>
            </w:pPr>
            <w:r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1.  </w:t>
            </w:r>
            <w:r w:rsidRPr="00A87D53">
              <w:rPr>
                <w:rFonts w:ascii="Arial" w:eastAsia="Arial Unicode MS" w:hAnsi="Arial" w:cs="Arial"/>
                <w:b/>
                <w:noProof/>
                <w:u w:val="single"/>
              </w:rPr>
              <w:t>Guideline for Terms of reference</w:t>
            </w:r>
          </w:p>
          <w:p w14:paraId="09925F7C" w14:textId="77777777" w:rsidR="00872868" w:rsidRPr="00AB6159" w:rsidRDefault="00872868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</w:p>
        </w:tc>
      </w:tr>
      <w:tr w:rsidR="00872868" w:rsidRPr="00AB6159" w14:paraId="5A346798" w14:textId="77777777" w:rsidTr="00495378">
        <w:trPr>
          <w:cantSplit/>
          <w:trHeight w:val="551"/>
          <w:tblHeader/>
        </w:trPr>
        <w:tc>
          <w:tcPr>
            <w:tcW w:w="13645" w:type="dxa"/>
            <w:tcBorders>
              <w:top w:val="nil"/>
            </w:tcBorders>
            <w:shd w:val="clear" w:color="auto" w:fill="auto"/>
          </w:tcPr>
          <w:p w14:paraId="1279801C" w14:textId="11E88D90" w:rsidR="00872868" w:rsidRPr="00AB6159" w:rsidRDefault="00872868" w:rsidP="00AA14D2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This tender is for the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A</w:t>
            </w:r>
            <w:r w:rsidR="00AA14D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ppointment of a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S</w:t>
            </w:r>
            <w:r w:rsidR="00AA14D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ervice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P</w:t>
            </w:r>
            <w:r w:rsidR="00AA14D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rovider for the </w:t>
            </w:r>
            <w:r w:rsidR="00CB7962" w:rsidRPr="00CB796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Supply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,</w:t>
            </w:r>
            <w:r w:rsidR="00CB7962" w:rsidRPr="00CB796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Delivery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and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I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nstallation </w:t>
            </w:r>
            <w:bookmarkStart w:id="0" w:name="_Hlk96943375"/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of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B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ackup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E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quipment and </w:t>
            </w:r>
            <w:r w:rsidR="00E1562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S</w:t>
            </w:r>
            <w:r w:rsidR="003A3328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oftware. This backup solution is required for disaster recovery and business continuity purposes.</w:t>
            </w:r>
            <w:bookmarkEnd w:id="0"/>
          </w:p>
        </w:tc>
      </w:tr>
    </w:tbl>
    <w:p w14:paraId="27771F9E" w14:textId="77777777" w:rsidR="00E861F2" w:rsidRDefault="00E861F2" w:rsidP="00E861F2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2004AB5F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Background</w:t>
      </w:r>
    </w:p>
    <w:p w14:paraId="6E2F0D1D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1E16F4D1" w14:textId="1338BB03" w:rsidR="00872868" w:rsidRDefault="00872868" w:rsidP="006071D7">
      <w:pPr>
        <w:ind w:left="720"/>
        <w:jc w:val="both"/>
        <w:rPr>
          <w:rFonts w:ascii="Arial" w:eastAsia="Times New Roman" w:hAnsi="Arial" w:cs="Arial"/>
          <w:i/>
          <w:lang w:eastAsia="en-ZA"/>
        </w:rPr>
      </w:pPr>
      <w:r>
        <w:rPr>
          <w:rFonts w:ascii="Arial" w:eastAsia="Times New Roman" w:hAnsi="Arial" w:cs="Arial"/>
          <w:i/>
          <w:lang w:eastAsia="en-ZA"/>
        </w:rPr>
        <w:t xml:space="preserve">The Moqhaka </w:t>
      </w:r>
      <w:r w:rsidR="006071D7">
        <w:rPr>
          <w:rFonts w:ascii="Arial" w:eastAsia="Times New Roman" w:hAnsi="Arial" w:cs="Arial"/>
          <w:i/>
          <w:lang w:eastAsia="en-ZA"/>
        </w:rPr>
        <w:t xml:space="preserve">Local </w:t>
      </w:r>
      <w:r>
        <w:rPr>
          <w:rFonts w:ascii="Arial" w:eastAsia="Times New Roman" w:hAnsi="Arial" w:cs="Arial"/>
          <w:i/>
          <w:lang w:eastAsia="en-ZA"/>
        </w:rPr>
        <w:t xml:space="preserve">Municipality </w:t>
      </w:r>
      <w:r w:rsidR="00F866E0">
        <w:rPr>
          <w:rFonts w:ascii="Arial" w:eastAsia="Times New Roman" w:hAnsi="Arial" w:cs="Arial"/>
          <w:i/>
          <w:lang w:eastAsia="en-ZA"/>
        </w:rPr>
        <w:t>requires the</w:t>
      </w:r>
      <w:r w:rsidR="00F866E0" w:rsidRPr="00F866E0">
        <w:t xml:space="preserve"> </w:t>
      </w:r>
      <w:r w:rsidR="00CB7962" w:rsidRPr="00CB7962">
        <w:rPr>
          <w:rFonts w:ascii="Arial" w:eastAsia="Times New Roman" w:hAnsi="Arial" w:cs="Arial"/>
          <w:i/>
          <w:lang w:eastAsia="en-ZA"/>
        </w:rPr>
        <w:t>Supply</w:t>
      </w:r>
      <w:r w:rsidR="003A3328">
        <w:rPr>
          <w:rFonts w:ascii="Arial" w:eastAsia="Times New Roman" w:hAnsi="Arial" w:cs="Arial"/>
          <w:i/>
          <w:lang w:eastAsia="en-ZA"/>
        </w:rPr>
        <w:t>, D</w:t>
      </w:r>
      <w:r w:rsidR="00CB7962">
        <w:rPr>
          <w:rFonts w:ascii="Arial" w:eastAsia="Times New Roman" w:hAnsi="Arial" w:cs="Arial"/>
          <w:i/>
          <w:lang w:eastAsia="en-ZA"/>
        </w:rPr>
        <w:t>elivery</w:t>
      </w:r>
      <w:r w:rsidR="003A3328">
        <w:rPr>
          <w:rFonts w:ascii="Arial" w:eastAsia="Times New Roman" w:hAnsi="Arial" w:cs="Arial"/>
          <w:i/>
          <w:lang w:eastAsia="en-ZA"/>
        </w:rPr>
        <w:t xml:space="preserve"> and Installation </w:t>
      </w:r>
      <w:r w:rsidR="003A3328" w:rsidRPr="003A3328">
        <w:rPr>
          <w:rFonts w:ascii="Arial" w:eastAsia="Times New Roman" w:hAnsi="Arial" w:cs="Arial"/>
          <w:i/>
          <w:lang w:eastAsia="en-ZA"/>
        </w:rPr>
        <w:t>of backup equipment and software. This backup solution is required for disaster recovery and business continuity purposes.</w:t>
      </w:r>
      <w:r w:rsidR="003A3328">
        <w:rPr>
          <w:rFonts w:ascii="Arial" w:eastAsia="Times New Roman" w:hAnsi="Arial" w:cs="Arial"/>
          <w:i/>
          <w:lang w:eastAsia="en-ZA"/>
        </w:rPr>
        <w:t xml:space="preserve"> That is inline with the current new technologies and can be integrated into our current infrastructure.</w:t>
      </w:r>
    </w:p>
    <w:p w14:paraId="71BAC353" w14:textId="77777777" w:rsidR="00CB7962" w:rsidRPr="00FD24E1" w:rsidRDefault="00CB7962" w:rsidP="006071D7">
      <w:pPr>
        <w:ind w:left="720"/>
        <w:jc w:val="both"/>
        <w:rPr>
          <w:rFonts w:ascii="Arial" w:eastAsia="Times New Roman" w:hAnsi="Arial" w:cs="Arial"/>
          <w:i/>
          <w:lang w:eastAsia="en-ZA"/>
        </w:rPr>
      </w:pPr>
    </w:p>
    <w:p w14:paraId="24E43958" w14:textId="73D82385" w:rsidR="00872868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Scope of Work / Terms of Reference</w:t>
      </w:r>
    </w:p>
    <w:p w14:paraId="45D7A452" w14:textId="77777777" w:rsidR="003A3328" w:rsidRDefault="003A3328" w:rsidP="003A332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6B786F58" w14:textId="1B279148" w:rsidR="003A3328" w:rsidRPr="0006756B" w:rsidRDefault="003A3328" w:rsidP="003A3328">
      <w:pPr>
        <w:pStyle w:val="ListParagraph"/>
        <w:numPr>
          <w:ilvl w:val="0"/>
          <w:numId w:val="13"/>
        </w:numPr>
        <w:spacing w:after="0" w:line="259" w:lineRule="auto"/>
        <w:rPr>
          <w:b/>
        </w:rPr>
      </w:pPr>
      <w:r>
        <w:rPr>
          <w:b/>
        </w:rPr>
        <w:t>Storage</w:t>
      </w:r>
      <w:r w:rsidR="00F13E4B">
        <w:rPr>
          <w:b/>
        </w:rPr>
        <w:t xml:space="preserve"> Array System</w:t>
      </w:r>
    </w:p>
    <w:p w14:paraId="58795E23" w14:textId="20FEC550" w:rsidR="00F13E4B" w:rsidRDefault="00F13E4B" w:rsidP="003A3328">
      <w:pPr>
        <w:spacing w:after="0"/>
        <w:ind w:left="709"/>
      </w:pPr>
      <w:r>
        <w:t>H</w:t>
      </w:r>
      <w:r w:rsidRPr="00F13E4B">
        <w:t>ybrid entry-level storage system</w:t>
      </w:r>
      <w:r>
        <w:t xml:space="preserve"> that meets the following dimensions and requirements:</w:t>
      </w:r>
    </w:p>
    <w:p w14:paraId="72392C50" w14:textId="4750ADDB" w:rsidR="003A3328" w:rsidRDefault="00F13E4B" w:rsidP="00F13E4B">
      <w:pPr>
        <w:pStyle w:val="ListParagraph"/>
        <w:numPr>
          <w:ilvl w:val="0"/>
          <w:numId w:val="16"/>
        </w:numPr>
        <w:spacing w:after="0"/>
      </w:pPr>
      <w:r>
        <w:t>2</w:t>
      </w:r>
      <w:r w:rsidR="003A3328" w:rsidRPr="008C310A">
        <w:t xml:space="preserve">U form-factor </w:t>
      </w:r>
    </w:p>
    <w:p w14:paraId="7D2A76D5" w14:textId="4E4A7B70" w:rsidR="00F13E4B" w:rsidRDefault="00F13E4B" w:rsidP="00F13E4B">
      <w:pPr>
        <w:pStyle w:val="ListParagraph"/>
        <w:numPr>
          <w:ilvl w:val="0"/>
          <w:numId w:val="16"/>
        </w:numPr>
        <w:spacing w:after="0"/>
      </w:pPr>
      <w:r>
        <w:t>FlashSystem 5010 SFF Control Enclosure</w:t>
      </w:r>
    </w:p>
    <w:p w14:paraId="1A6E4504" w14:textId="442EA7FF" w:rsidR="00F13E4B" w:rsidRDefault="00F13E4B" w:rsidP="00F13E4B">
      <w:pPr>
        <w:pStyle w:val="ListParagraph"/>
        <w:numPr>
          <w:ilvl w:val="0"/>
          <w:numId w:val="16"/>
        </w:numPr>
        <w:spacing w:after="0"/>
      </w:pPr>
      <w:r>
        <w:t>Power Cord – PDU Connection</w:t>
      </w:r>
    </w:p>
    <w:p w14:paraId="4CEFA838" w14:textId="5AA89D99" w:rsidR="00F13E4B" w:rsidRDefault="00F13E4B" w:rsidP="00F13E4B">
      <w:pPr>
        <w:pStyle w:val="ListParagraph"/>
        <w:numPr>
          <w:ilvl w:val="0"/>
          <w:numId w:val="16"/>
        </w:numPr>
        <w:spacing w:after="0"/>
      </w:pPr>
      <w:r>
        <w:t>5m OM3 Fiber Cable (LC)</w:t>
      </w:r>
    </w:p>
    <w:p w14:paraId="409A9F7A" w14:textId="3CE3261A" w:rsidR="00F13E4B" w:rsidRDefault="00F13E4B" w:rsidP="00F13E4B">
      <w:pPr>
        <w:pStyle w:val="ListParagraph"/>
        <w:numPr>
          <w:ilvl w:val="0"/>
          <w:numId w:val="16"/>
        </w:numPr>
        <w:spacing w:after="0"/>
      </w:pPr>
      <w:r>
        <w:t xml:space="preserve">Order Type 1 </w:t>
      </w:r>
      <w:r w:rsidR="002A6566">
        <w:t>–</w:t>
      </w:r>
      <w:r>
        <w:t xml:space="preserve"> CTO</w:t>
      </w:r>
    </w:p>
    <w:p w14:paraId="14A82035" w14:textId="7BCFEC17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t>AC Power Supply High Efficiency (Pair)</w:t>
      </w:r>
    </w:p>
    <w:p w14:paraId="370D8F1F" w14:textId="77777777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t>Hybrid Flash Indicator</w:t>
      </w:r>
    </w:p>
    <w:p w14:paraId="38918F3D" w14:textId="5AADA761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t>2.4TB 100000rpm 12Gb SAS 2.5 Inch HDD ---------------------------------------------------(Quantity: 24)</w:t>
      </w:r>
    </w:p>
    <w:p w14:paraId="1032898A" w14:textId="77777777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t>16 Gb FC 4 Port Adapter Cards (Pair)</w:t>
      </w:r>
    </w:p>
    <w:p w14:paraId="0E7AD8E3" w14:textId="77777777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t>ServicePac for Hard Drive or Media Retention for Storage 3 years</w:t>
      </w:r>
    </w:p>
    <w:p w14:paraId="72A12321" w14:textId="6B2DDE1F" w:rsidR="002A6566" w:rsidRDefault="002A6566" w:rsidP="00F13E4B">
      <w:pPr>
        <w:pStyle w:val="ListParagraph"/>
        <w:numPr>
          <w:ilvl w:val="0"/>
          <w:numId w:val="16"/>
        </w:numPr>
        <w:spacing w:after="0"/>
      </w:pPr>
      <w:r>
        <w:lastRenderedPageBreak/>
        <w:t xml:space="preserve">ServicePac Warranty Service Upgrade, same day onsite warranty </w:t>
      </w:r>
    </w:p>
    <w:p w14:paraId="1665F5E5" w14:textId="3E769284" w:rsidR="003A3328" w:rsidRDefault="003A3328" w:rsidP="003A3328">
      <w:pPr>
        <w:spacing w:after="0"/>
        <w:ind w:left="709"/>
      </w:pPr>
    </w:p>
    <w:p w14:paraId="3C8AACD2" w14:textId="6A6535A1" w:rsidR="003A3328" w:rsidRPr="0006756B" w:rsidRDefault="002A6566" w:rsidP="003A3328">
      <w:pPr>
        <w:pStyle w:val="ListParagraph"/>
        <w:numPr>
          <w:ilvl w:val="0"/>
          <w:numId w:val="13"/>
        </w:numPr>
        <w:spacing w:after="160" w:line="259" w:lineRule="auto"/>
        <w:rPr>
          <w:b/>
        </w:rPr>
      </w:pPr>
      <w:r>
        <w:rPr>
          <w:b/>
        </w:rPr>
        <w:t>Software and Licensing</w:t>
      </w:r>
    </w:p>
    <w:p w14:paraId="2F14D433" w14:textId="683E529A" w:rsidR="003A3328" w:rsidRDefault="00BA6E52" w:rsidP="003A3328">
      <w:pPr>
        <w:pStyle w:val="ListParagraph"/>
        <w:numPr>
          <w:ilvl w:val="0"/>
          <w:numId w:val="14"/>
        </w:numPr>
        <w:spacing w:after="160" w:line="259" w:lineRule="auto"/>
        <w:ind w:left="1276" w:hanging="491"/>
      </w:pPr>
      <w:r w:rsidRPr="00BA6E52">
        <w:t>Data Center Virtualization &amp; Cloud Infrastructure</w:t>
      </w:r>
      <w:r w:rsidR="00723998">
        <w:t xml:space="preserve"> </w:t>
      </w:r>
      <w:r w:rsidR="0099680D">
        <w:t>(Quantity: 1</w:t>
      </w:r>
      <w:r w:rsidR="00723998">
        <w:t xml:space="preserve"> Host, 12 months license</w:t>
      </w:r>
      <w:r w:rsidR="0099680D">
        <w:t>)</w:t>
      </w:r>
    </w:p>
    <w:p w14:paraId="41CE946D" w14:textId="47355040" w:rsidR="00BA6E52" w:rsidRDefault="00BA6E52" w:rsidP="00BA6E52">
      <w:pPr>
        <w:pStyle w:val="ListParagraph"/>
        <w:numPr>
          <w:ilvl w:val="1"/>
          <w:numId w:val="14"/>
        </w:numPr>
        <w:spacing w:after="160" w:line="259" w:lineRule="auto"/>
      </w:pPr>
      <w:r w:rsidRPr="00BA6E52">
        <w:t>Server virtualization</w:t>
      </w:r>
      <w:r>
        <w:t>.</w:t>
      </w:r>
    </w:p>
    <w:p w14:paraId="26951CAF" w14:textId="3D30D249" w:rsidR="00BA6E52" w:rsidRDefault="00BA6E52" w:rsidP="00BA6E52">
      <w:pPr>
        <w:pStyle w:val="ListParagraph"/>
        <w:numPr>
          <w:ilvl w:val="1"/>
          <w:numId w:val="14"/>
        </w:numPr>
        <w:spacing w:after="160" w:line="259" w:lineRule="auto"/>
      </w:pPr>
      <w:r>
        <w:t>C</w:t>
      </w:r>
      <w:r w:rsidRPr="00BA6E52">
        <w:t>onsolidation plus business continuity</w:t>
      </w:r>
      <w:r>
        <w:t>.</w:t>
      </w:r>
    </w:p>
    <w:p w14:paraId="15000A79" w14:textId="3DFAF7C1" w:rsidR="00BA6E52" w:rsidRDefault="00BA6E52" w:rsidP="00BA6E52">
      <w:pPr>
        <w:pStyle w:val="ListParagraph"/>
        <w:numPr>
          <w:ilvl w:val="1"/>
          <w:numId w:val="14"/>
        </w:numPr>
        <w:spacing w:after="160" w:line="259" w:lineRule="auto"/>
      </w:pPr>
      <w:r>
        <w:t xml:space="preserve">Server </w:t>
      </w:r>
      <w:r w:rsidR="00723998">
        <w:t>m</w:t>
      </w:r>
      <w:r>
        <w:t xml:space="preserve">anagement </w:t>
      </w:r>
      <w:r w:rsidR="00723998">
        <w:t>s</w:t>
      </w:r>
      <w:r>
        <w:t>uite</w:t>
      </w:r>
    </w:p>
    <w:p w14:paraId="78BBDA39" w14:textId="4589352A" w:rsidR="00BA6E52" w:rsidRDefault="00723998" w:rsidP="00BA6E52">
      <w:pPr>
        <w:pStyle w:val="ListParagraph"/>
        <w:numPr>
          <w:ilvl w:val="1"/>
          <w:numId w:val="14"/>
        </w:numPr>
        <w:spacing w:after="160" w:line="259" w:lineRule="auto"/>
      </w:pPr>
      <w:r>
        <w:t>Server migration across hosts</w:t>
      </w:r>
    </w:p>
    <w:p w14:paraId="3266A833" w14:textId="6595FE3F" w:rsidR="00723998" w:rsidRDefault="00723998" w:rsidP="00BA6E52">
      <w:pPr>
        <w:pStyle w:val="ListParagraph"/>
        <w:numPr>
          <w:ilvl w:val="1"/>
          <w:numId w:val="14"/>
        </w:numPr>
        <w:spacing w:after="160" w:line="259" w:lineRule="auto"/>
      </w:pPr>
      <w:r w:rsidRPr="00723998">
        <w:t xml:space="preserve">High </w:t>
      </w:r>
      <w:r>
        <w:t>a</w:t>
      </w:r>
      <w:r w:rsidRPr="00723998">
        <w:t>vailability</w:t>
      </w:r>
    </w:p>
    <w:p w14:paraId="2AB86439" w14:textId="43A1B491" w:rsidR="00723998" w:rsidRDefault="00723998" w:rsidP="00BA6E52">
      <w:pPr>
        <w:pStyle w:val="ListParagraph"/>
        <w:numPr>
          <w:ilvl w:val="1"/>
          <w:numId w:val="14"/>
        </w:numPr>
        <w:spacing w:after="160" w:line="259" w:lineRule="auto"/>
      </w:pPr>
      <w:r w:rsidRPr="00723998">
        <w:t xml:space="preserve">Data </w:t>
      </w:r>
      <w:r>
        <w:t>p</w:t>
      </w:r>
      <w:r w:rsidRPr="00723998">
        <w:t>rotection</w:t>
      </w:r>
    </w:p>
    <w:p w14:paraId="6A3AFC0F" w14:textId="4DFE1643" w:rsidR="00723998" w:rsidRDefault="00723998" w:rsidP="00BA6E52">
      <w:pPr>
        <w:pStyle w:val="ListParagraph"/>
        <w:numPr>
          <w:ilvl w:val="1"/>
          <w:numId w:val="14"/>
        </w:numPr>
        <w:spacing w:after="160" w:line="259" w:lineRule="auto"/>
      </w:pPr>
      <w:r>
        <w:t>Server replication</w:t>
      </w:r>
    </w:p>
    <w:p w14:paraId="273C5B49" w14:textId="39F3C772" w:rsidR="0099680D" w:rsidRDefault="0099680D" w:rsidP="0099680D">
      <w:pPr>
        <w:pStyle w:val="ListParagraph"/>
        <w:spacing w:after="160" w:line="259" w:lineRule="auto"/>
        <w:ind w:left="1276"/>
        <w:rPr>
          <w:i/>
          <w:iCs/>
        </w:rPr>
      </w:pPr>
      <w:r w:rsidRPr="00723998">
        <w:rPr>
          <w:i/>
          <w:iCs/>
        </w:rPr>
        <w:t>Including: Production Support for one (01) year</w:t>
      </w:r>
    </w:p>
    <w:p w14:paraId="583730A9" w14:textId="77777777" w:rsidR="00723998" w:rsidRPr="00723998" w:rsidRDefault="00723998" w:rsidP="0099680D">
      <w:pPr>
        <w:pStyle w:val="ListParagraph"/>
        <w:spacing w:after="160" w:line="259" w:lineRule="auto"/>
        <w:ind w:left="1276"/>
        <w:rPr>
          <w:i/>
          <w:iCs/>
        </w:rPr>
      </w:pPr>
    </w:p>
    <w:p w14:paraId="4D1D6F2F" w14:textId="3BA3BE30" w:rsidR="003A3328" w:rsidRDefault="008C6F6A" w:rsidP="003A3328">
      <w:pPr>
        <w:pStyle w:val="ListParagraph"/>
        <w:numPr>
          <w:ilvl w:val="0"/>
          <w:numId w:val="14"/>
        </w:numPr>
        <w:spacing w:after="160" w:line="259" w:lineRule="auto"/>
        <w:ind w:left="1276" w:hanging="491"/>
      </w:pPr>
      <w:r>
        <w:t>Backup, Recovery and Replication Software (Quantity: 1 Host, 12 months license)</w:t>
      </w:r>
    </w:p>
    <w:p w14:paraId="5EAF41E2" w14:textId="52A09E22" w:rsidR="008C6F6A" w:rsidRDefault="008C6F6A" w:rsidP="008C6F6A">
      <w:pPr>
        <w:pStyle w:val="ListParagraph"/>
        <w:numPr>
          <w:ilvl w:val="1"/>
          <w:numId w:val="14"/>
        </w:numPr>
        <w:spacing w:after="160" w:line="259" w:lineRule="auto"/>
      </w:pPr>
      <w:r>
        <w:t>Capabilities</w:t>
      </w:r>
    </w:p>
    <w:p w14:paraId="76DF5B09" w14:textId="250F0D28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Virtual: VMware, Hyper-V &amp; Nutanix</w:t>
      </w:r>
    </w:p>
    <w:p w14:paraId="4D7889F4" w14:textId="597AE090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Physical: Microsoft Windows, Linux &amp; Mac</w:t>
      </w:r>
    </w:p>
    <w:p w14:paraId="5A05E168" w14:textId="3CF34BC5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Cloud: AWS, Microsoft Azure, Google Cloud and more</w:t>
      </w:r>
    </w:p>
    <w:p w14:paraId="5CAEA24D" w14:textId="2A8CF641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NAS Backup</w:t>
      </w:r>
    </w:p>
    <w:p w14:paraId="7CCFEFAE" w14:textId="65F09F2A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Scale-out Backup Repository, including Capacity Tier &amp; Archive Tier</w:t>
      </w:r>
    </w:p>
    <w:p w14:paraId="5B16EFBD" w14:textId="6CCC0E53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Backup from Storage Snapshots</w:t>
      </w:r>
    </w:p>
    <w:p w14:paraId="6B4E6516" w14:textId="3B80F4DE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Built-in Replication</w:t>
      </w:r>
    </w:p>
    <w:p w14:paraId="5D3ECCFA" w14:textId="7F1B35D8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Continuous Data Protection</w:t>
      </w:r>
    </w:p>
    <w:p w14:paraId="51ED9E8C" w14:textId="15767088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Instant Recovery Engine</w:t>
      </w:r>
    </w:p>
    <w:p w14:paraId="7BC7D54A" w14:textId="24DD4011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APIs, self-service tools &amp; Enterprise Management</w:t>
      </w:r>
    </w:p>
    <w:p w14:paraId="56EF9BD3" w14:textId="681C23F9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Monitoring, Reporting &amp; Analytics</w:t>
      </w:r>
    </w:p>
    <w:p w14:paraId="1A9CE5A5" w14:textId="6F2C6536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Intelligent Diagnostics &amp; Remediation Actions</w:t>
      </w:r>
    </w:p>
    <w:p w14:paraId="1533AED3" w14:textId="15D91075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Capacity Planning and chargeback</w:t>
      </w:r>
    </w:p>
    <w:p w14:paraId="43591CEA" w14:textId="7ACF796A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DR failover orchestration</w:t>
      </w:r>
    </w:p>
    <w:p w14:paraId="0471DD1C" w14:textId="1FB70242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DR testing</w:t>
      </w:r>
    </w:p>
    <w:p w14:paraId="4ADE5B7E" w14:textId="1954BF6E" w:rsidR="008C6F6A" w:rsidRDefault="008C6F6A" w:rsidP="008C6F6A">
      <w:pPr>
        <w:pStyle w:val="ListParagraph"/>
        <w:numPr>
          <w:ilvl w:val="2"/>
          <w:numId w:val="14"/>
        </w:numPr>
        <w:spacing w:after="160" w:line="259" w:lineRule="auto"/>
      </w:pPr>
      <w:r w:rsidRPr="008C6F6A">
        <w:t>DR automated documentation</w:t>
      </w:r>
    </w:p>
    <w:p w14:paraId="40CFB240" w14:textId="63409894" w:rsidR="0099680D" w:rsidRDefault="0099680D" w:rsidP="008C6F6A">
      <w:pPr>
        <w:pStyle w:val="ListParagraph"/>
        <w:spacing w:after="160" w:line="259" w:lineRule="auto"/>
        <w:ind w:left="1429"/>
        <w:rPr>
          <w:i/>
          <w:iCs/>
        </w:rPr>
      </w:pPr>
      <w:r w:rsidRPr="008C6F6A">
        <w:rPr>
          <w:i/>
          <w:iCs/>
        </w:rPr>
        <w:t>Including: Support for one (01) year</w:t>
      </w:r>
    </w:p>
    <w:p w14:paraId="28820C65" w14:textId="77777777" w:rsidR="003A3328" w:rsidRPr="00FD24E1" w:rsidRDefault="003A3328" w:rsidP="003A332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Expected outputs / Outcomes</w:t>
      </w:r>
      <w:r>
        <w:rPr>
          <w:rFonts w:ascii="Arial" w:eastAsia="Times New Roman" w:hAnsi="Arial" w:cs="Arial"/>
          <w:b/>
          <w:lang w:eastAsia="en-ZA"/>
        </w:rPr>
        <w:t xml:space="preserve"> (Returnable)</w:t>
      </w:r>
    </w:p>
    <w:p w14:paraId="20223C96" w14:textId="77777777" w:rsidR="003A3328" w:rsidRPr="00FD24E1" w:rsidRDefault="003A3328" w:rsidP="003A3328">
      <w:pPr>
        <w:spacing w:after="0"/>
        <w:ind w:left="720"/>
        <w:contextualSpacing/>
        <w:rPr>
          <w:rFonts w:ascii="Arial" w:eastAsia="Times New Roman" w:hAnsi="Arial" w:cs="Arial"/>
          <w:i/>
          <w:color w:val="FF0000"/>
          <w:lang w:eastAsia="en-ZA"/>
        </w:rPr>
      </w:pPr>
    </w:p>
    <w:p w14:paraId="5C7AFB51" w14:textId="4CAFD94E" w:rsidR="003A3328" w:rsidRDefault="003A3328" w:rsidP="003A3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Once off pricing on the supply</w:t>
      </w:r>
      <w:r w:rsidR="00CB1D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delivery</w:t>
      </w:r>
      <w:r w:rsidR="00CB1DE9">
        <w:rPr>
          <w:rFonts w:ascii="Arial" w:hAnsi="Arial" w:cs="Arial"/>
        </w:rPr>
        <w:t xml:space="preserve"> and installation of the </w:t>
      </w:r>
      <w:r w:rsidR="008E2120">
        <w:rPr>
          <w:rFonts w:ascii="Arial" w:hAnsi="Arial" w:cs="Arial"/>
        </w:rPr>
        <w:t>backup solution</w:t>
      </w:r>
      <w:r>
        <w:rPr>
          <w:rFonts w:ascii="Arial" w:hAnsi="Arial" w:cs="Arial"/>
        </w:rPr>
        <w:t>.</w:t>
      </w:r>
    </w:p>
    <w:p w14:paraId="11305D15" w14:textId="196EAAFE" w:rsidR="008E2120" w:rsidRDefault="008E2120" w:rsidP="003A3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Detailed quotation, indicating proposed hardware and software.</w:t>
      </w:r>
    </w:p>
    <w:p w14:paraId="45A28C31" w14:textId="497DA35F" w:rsidR="008E2120" w:rsidRDefault="008E2120" w:rsidP="003A3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Brochure of proposed items.</w:t>
      </w:r>
    </w:p>
    <w:p w14:paraId="4FFA2084" w14:textId="17452404" w:rsidR="008E2120" w:rsidRDefault="008E2120" w:rsidP="003A332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Supply of licensing for the software (12 months).</w:t>
      </w:r>
    </w:p>
    <w:p w14:paraId="4281DEBF" w14:textId="52837D67" w:rsidR="008E2120" w:rsidRPr="008E2120" w:rsidRDefault="008E2120" w:rsidP="008E21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Supply of support on the software (12 months).</w:t>
      </w:r>
    </w:p>
    <w:p w14:paraId="7CA778C2" w14:textId="77777777" w:rsidR="00872868" w:rsidRPr="00FD24E1" w:rsidRDefault="00872868" w:rsidP="0087286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eastAsia="en-ZA"/>
        </w:rPr>
      </w:pPr>
      <w:r w:rsidRPr="00FD24E1">
        <w:rPr>
          <w:rFonts w:ascii="Arial" w:eastAsia="Times New Roman" w:hAnsi="Arial" w:cs="Arial"/>
          <w:b/>
          <w:lang w:eastAsia="en-ZA"/>
        </w:rPr>
        <w:t>Reporting</w:t>
      </w:r>
    </w:p>
    <w:p w14:paraId="3FD093D3" w14:textId="77777777" w:rsidR="00872868" w:rsidRPr="00FD24E1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b/>
          <w:lang w:eastAsia="en-ZA"/>
        </w:rPr>
      </w:pPr>
    </w:p>
    <w:p w14:paraId="3FC3EE7A" w14:textId="77777777" w:rsidR="00872868" w:rsidRDefault="00872868" w:rsidP="00872868">
      <w:pPr>
        <w:spacing w:after="0"/>
        <w:ind w:left="720"/>
        <w:contextualSpacing/>
        <w:rPr>
          <w:rFonts w:ascii="Arial" w:eastAsia="Times New Roman" w:hAnsi="Arial" w:cs="Arial"/>
          <w:i/>
          <w:lang w:eastAsia="en-ZA"/>
        </w:rPr>
      </w:pPr>
      <w:r w:rsidRPr="00FD24E1">
        <w:rPr>
          <w:rFonts w:ascii="Arial" w:eastAsia="Times New Roman" w:hAnsi="Arial" w:cs="Arial"/>
          <w:i/>
          <w:lang w:eastAsia="en-ZA"/>
        </w:rPr>
        <w:t xml:space="preserve">The </w:t>
      </w:r>
      <w:r w:rsidR="00273783">
        <w:rPr>
          <w:rFonts w:ascii="Arial" w:eastAsia="Times New Roman" w:hAnsi="Arial" w:cs="Arial"/>
          <w:i/>
          <w:lang w:eastAsia="en-ZA"/>
        </w:rPr>
        <w:t>Manager ICT</w:t>
      </w:r>
      <w:r w:rsidRPr="00FD24E1">
        <w:rPr>
          <w:rFonts w:ascii="Arial" w:eastAsia="Times New Roman" w:hAnsi="Arial" w:cs="Arial"/>
          <w:i/>
          <w:lang w:eastAsia="en-ZA"/>
        </w:rPr>
        <w:t xml:space="preserve"> will be responsible for the reporting as and when </w:t>
      </w:r>
      <w:r w:rsidR="00273783">
        <w:rPr>
          <w:rFonts w:ascii="Arial" w:eastAsia="Times New Roman" w:hAnsi="Arial" w:cs="Arial"/>
          <w:i/>
          <w:lang w:eastAsia="en-ZA"/>
        </w:rPr>
        <w:t>deliveries</w:t>
      </w:r>
      <w:r w:rsidRPr="00FD24E1">
        <w:rPr>
          <w:rFonts w:ascii="Arial" w:eastAsia="Times New Roman" w:hAnsi="Arial" w:cs="Arial"/>
          <w:i/>
          <w:lang w:eastAsia="en-ZA"/>
        </w:rPr>
        <w:t xml:space="preserve"> are done</w:t>
      </w:r>
      <w:r w:rsidR="00273783">
        <w:rPr>
          <w:rFonts w:ascii="Arial" w:eastAsia="Times New Roman" w:hAnsi="Arial" w:cs="Arial"/>
          <w:i/>
          <w:lang w:eastAsia="en-ZA"/>
        </w:rPr>
        <w:t>.</w:t>
      </w:r>
      <w:r w:rsidRPr="00FD24E1">
        <w:rPr>
          <w:rFonts w:ascii="Arial" w:eastAsia="Times New Roman" w:hAnsi="Arial" w:cs="Arial"/>
          <w:i/>
          <w:lang w:eastAsia="en-ZA"/>
        </w:rPr>
        <w:t xml:space="preserve">  </w:t>
      </w:r>
    </w:p>
    <w:p w14:paraId="5AA09C94" w14:textId="77777777" w:rsidR="00143CB2" w:rsidRDefault="00143CB2" w:rsidP="00872868">
      <w:pPr>
        <w:spacing w:after="0"/>
        <w:ind w:left="720"/>
        <w:contextualSpacing/>
        <w:rPr>
          <w:rFonts w:ascii="Arial" w:eastAsia="Times New Roman" w:hAnsi="Arial" w:cs="Arial"/>
          <w:i/>
          <w:lang w:eastAsia="en-ZA"/>
        </w:rPr>
      </w:pPr>
    </w:p>
    <w:p w14:paraId="68170447" w14:textId="77777777" w:rsidR="00872868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p w14:paraId="560C18BE" w14:textId="77777777" w:rsidR="0083365E" w:rsidRPr="00AB6159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tbl>
      <w:tblPr>
        <w:tblW w:w="1370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4"/>
      </w:tblGrid>
      <w:tr w:rsidR="00872868" w:rsidRPr="00AB6159" w14:paraId="040BCA00" w14:textId="77777777" w:rsidTr="0083365E">
        <w:trPr>
          <w:cantSplit/>
          <w:trHeight w:val="305"/>
          <w:tblHeader/>
        </w:trPr>
        <w:tc>
          <w:tcPr>
            <w:tcW w:w="13704" w:type="dxa"/>
            <w:tcBorders>
              <w:bottom w:val="nil"/>
            </w:tcBorders>
            <w:shd w:val="clear" w:color="auto" w:fill="A6A6A6"/>
          </w:tcPr>
          <w:p w14:paraId="291E2204" w14:textId="2526D623" w:rsidR="00872868" w:rsidRPr="00AB6159" w:rsidRDefault="00E1562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2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Preferential Points System</w:t>
            </w:r>
          </w:p>
        </w:tc>
      </w:tr>
      <w:tr w:rsidR="00872868" w:rsidRPr="00AB6159" w14:paraId="6783E892" w14:textId="77777777" w:rsidTr="0083365E">
        <w:trPr>
          <w:cantSplit/>
          <w:trHeight w:val="198"/>
          <w:tblHeader/>
        </w:trPr>
        <w:tc>
          <w:tcPr>
            <w:tcW w:w="13704" w:type="dxa"/>
            <w:tcBorders>
              <w:top w:val="nil"/>
              <w:bottom w:val="nil"/>
            </w:tcBorders>
            <w:shd w:val="pct5" w:color="auto" w:fill="FFFFFF"/>
          </w:tcPr>
          <w:p w14:paraId="53510D9B" w14:textId="56F7DF04" w:rsidR="00872868" w:rsidRPr="00AB6159" w:rsidRDefault="00872868" w:rsidP="00D60E12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Indicate whether the tender will be evaluated in terms of 80/20 below </w:t>
            </w:r>
            <w:r w:rsidR="00B9213F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 and 90/10 above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</w:t>
            </w:r>
            <w:r w:rsidR="00B9213F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R</w:t>
            </w:r>
            <w:r w:rsidR="00D60E12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>50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million.</w:t>
            </w:r>
          </w:p>
        </w:tc>
      </w:tr>
      <w:tr w:rsidR="00872868" w:rsidRPr="00AB6159" w14:paraId="60CB11B1" w14:textId="77777777" w:rsidTr="0083365E">
        <w:trPr>
          <w:cantSplit/>
          <w:trHeight w:val="422"/>
          <w:tblHeader/>
        </w:trPr>
        <w:tc>
          <w:tcPr>
            <w:tcW w:w="13704" w:type="dxa"/>
            <w:tcBorders>
              <w:top w:val="nil"/>
            </w:tcBorders>
          </w:tcPr>
          <w:p w14:paraId="4A7E0D25" w14:textId="77777777" w:rsidR="00872868" w:rsidRPr="00AB6159" w:rsidRDefault="00262A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n-US" w:eastAsia="en-GB"/>
              </w:rPr>
              <w:t>80/20</w:t>
            </w:r>
          </w:p>
        </w:tc>
      </w:tr>
    </w:tbl>
    <w:p w14:paraId="6972978D" w14:textId="77777777" w:rsidR="00872868" w:rsidRPr="00AB6159" w:rsidRDefault="00872868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lang w:val="en-US"/>
        </w:rPr>
      </w:pPr>
    </w:p>
    <w:tbl>
      <w:tblPr>
        <w:tblW w:w="137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0"/>
      </w:tblGrid>
      <w:tr w:rsidR="00872868" w:rsidRPr="00AB6159" w14:paraId="151070F2" w14:textId="77777777" w:rsidTr="0083365E">
        <w:trPr>
          <w:cantSplit/>
          <w:trHeight w:val="355"/>
          <w:tblHeader/>
        </w:trPr>
        <w:tc>
          <w:tcPr>
            <w:tcW w:w="13750" w:type="dxa"/>
            <w:tcBorders>
              <w:bottom w:val="nil"/>
            </w:tcBorders>
            <w:shd w:val="clear" w:color="auto" w:fill="A6A6A6"/>
          </w:tcPr>
          <w:p w14:paraId="6C2CFDC5" w14:textId="1FEC4C57" w:rsidR="00872868" w:rsidRPr="00AB6159" w:rsidRDefault="00E1562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3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.  Duration of the Contract</w:t>
            </w:r>
          </w:p>
        </w:tc>
      </w:tr>
      <w:tr w:rsidR="00872868" w:rsidRPr="00AB6159" w14:paraId="7D77F560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  <w:bottom w:val="nil"/>
            </w:tcBorders>
            <w:shd w:val="pct5" w:color="auto" w:fill="FFFFFF"/>
          </w:tcPr>
          <w:p w14:paraId="32C9A97D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State how long the contract will take  </w:t>
            </w:r>
          </w:p>
        </w:tc>
      </w:tr>
      <w:tr w:rsidR="00872868" w:rsidRPr="00AB6159" w14:paraId="62A8664E" w14:textId="77777777" w:rsidTr="00495378">
        <w:trPr>
          <w:cantSplit/>
          <w:tblHeader/>
        </w:trPr>
        <w:tc>
          <w:tcPr>
            <w:tcW w:w="13750" w:type="dxa"/>
            <w:tcBorders>
              <w:top w:val="nil"/>
            </w:tcBorders>
          </w:tcPr>
          <w:p w14:paraId="7E0D6353" w14:textId="28BA2698" w:rsidR="00872868" w:rsidRPr="006D2C73" w:rsidRDefault="00262A68" w:rsidP="00CB7962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 </w:t>
            </w:r>
            <w:r w:rsidR="00322BF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 Months</w:t>
            </w:r>
          </w:p>
        </w:tc>
      </w:tr>
    </w:tbl>
    <w:p w14:paraId="7169A19D" w14:textId="77777777" w:rsidR="0083365E" w:rsidRPr="00AB6159" w:rsidRDefault="0083365E" w:rsidP="00872868">
      <w:pPr>
        <w:tabs>
          <w:tab w:val="center" w:pos="4680"/>
          <w:tab w:val="right" w:pos="9360"/>
        </w:tabs>
        <w:spacing w:after="0" w:line="240" w:lineRule="auto"/>
        <w:rPr>
          <w:rFonts w:ascii="Arial" w:hAnsi="Arial"/>
          <w:b/>
          <w:lang w:val="en-US"/>
        </w:rPr>
      </w:pPr>
    </w:p>
    <w:tbl>
      <w:tblPr>
        <w:tblW w:w="137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5"/>
      </w:tblGrid>
      <w:tr w:rsidR="00872868" w:rsidRPr="00AB6159" w14:paraId="08515F6F" w14:textId="77777777" w:rsidTr="0083365E">
        <w:trPr>
          <w:cantSplit/>
          <w:trHeight w:val="510"/>
          <w:tblHeader/>
        </w:trPr>
        <w:tc>
          <w:tcPr>
            <w:tcW w:w="13765" w:type="dxa"/>
            <w:tcBorders>
              <w:bottom w:val="nil"/>
            </w:tcBorders>
            <w:shd w:val="clear" w:color="auto" w:fill="A6A6A6"/>
          </w:tcPr>
          <w:p w14:paraId="7C69F7B9" w14:textId="00F84B54" w:rsidR="00872868" w:rsidRPr="00AB6159" w:rsidRDefault="00E15622" w:rsidP="00495378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>4</w:t>
            </w:r>
            <w:r w:rsidR="00872868" w:rsidRPr="00AB6159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.  </w:t>
            </w:r>
            <w:r w:rsidR="00872868">
              <w:rPr>
                <w:rFonts w:ascii="Arial" w:eastAsia="Times New Roman" w:hAnsi="Arial"/>
                <w:b/>
                <w:sz w:val="26"/>
                <w:szCs w:val="20"/>
                <w:lang w:val="en-US" w:eastAsia="en-GB"/>
              </w:rPr>
              <w:t xml:space="preserve">Functional or Technical Evaluation Criteria  (If Applicable) </w:t>
            </w:r>
          </w:p>
        </w:tc>
      </w:tr>
      <w:tr w:rsidR="00872868" w:rsidRPr="00AB6159" w14:paraId="4B1086CD" w14:textId="77777777" w:rsidTr="0083365E">
        <w:trPr>
          <w:cantSplit/>
          <w:trHeight w:val="331"/>
          <w:tblHeader/>
        </w:trPr>
        <w:tc>
          <w:tcPr>
            <w:tcW w:w="13765" w:type="dxa"/>
            <w:tcBorders>
              <w:top w:val="nil"/>
              <w:bottom w:val="nil"/>
            </w:tcBorders>
            <w:shd w:val="pct5" w:color="auto" w:fill="FFFFFF"/>
          </w:tcPr>
          <w:p w14:paraId="34C6D61B" w14:textId="77777777" w:rsidR="00872868" w:rsidRPr="00AB6159" w:rsidRDefault="00872868" w:rsidP="00495378">
            <w:pPr>
              <w:spacing w:before="120" w:after="60" w:line="240" w:lineRule="auto"/>
              <w:ind w:left="72" w:right="72"/>
              <w:rPr>
                <w:rFonts w:ascii="Arial" w:eastAsia="Times New Roman" w:hAnsi="Arial"/>
                <w:b/>
                <w:i/>
                <w:sz w:val="18"/>
                <w:szCs w:val="20"/>
                <w:lang w:val="en-US" w:eastAsia="en-GB"/>
              </w:rPr>
            </w:pPr>
            <w:r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See examples of Functional Evaluation Criteria below in Annexure A </w:t>
            </w:r>
            <w:r w:rsidRPr="00AB6159">
              <w:rPr>
                <w:rFonts w:ascii="Arial" w:eastAsia="Times New Roman" w:hAnsi="Arial"/>
                <w:i/>
                <w:sz w:val="18"/>
                <w:szCs w:val="20"/>
                <w:lang w:val="en-US" w:eastAsia="en-GB"/>
              </w:rPr>
              <w:t xml:space="preserve">  </w:t>
            </w:r>
          </w:p>
        </w:tc>
      </w:tr>
      <w:tr w:rsidR="00872868" w:rsidRPr="00AB6159" w14:paraId="0DAB584F" w14:textId="77777777" w:rsidTr="0083365E">
        <w:trPr>
          <w:cantSplit/>
          <w:trHeight w:val="68"/>
          <w:tblHeader/>
        </w:trPr>
        <w:tc>
          <w:tcPr>
            <w:tcW w:w="13765" w:type="dxa"/>
            <w:tcBorders>
              <w:top w:val="nil"/>
            </w:tcBorders>
          </w:tcPr>
          <w:p w14:paraId="54103AC4" w14:textId="77777777" w:rsidR="00872868" w:rsidRPr="00AB6159" w:rsidRDefault="00872868" w:rsidP="00495378">
            <w:pPr>
              <w:spacing w:before="120" w:after="60" w:line="240" w:lineRule="auto"/>
              <w:ind w:right="72"/>
              <w:rPr>
                <w:rFonts w:ascii="Arial" w:eastAsia="Times New Roman" w:hAnsi="Arial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393744B8" w14:textId="77777777" w:rsidR="00E15622" w:rsidRDefault="00E15622" w:rsidP="00AE5609">
      <w:pPr>
        <w:pStyle w:val="Heading3"/>
      </w:pPr>
    </w:p>
    <w:p w14:paraId="6BB94ACD" w14:textId="77777777" w:rsidR="00E15622" w:rsidRDefault="00E15622" w:rsidP="00AE5609">
      <w:pPr>
        <w:pStyle w:val="Heading3"/>
      </w:pPr>
    </w:p>
    <w:p w14:paraId="08DB259F" w14:textId="77777777" w:rsidR="00E15622" w:rsidRDefault="00E15622" w:rsidP="00AE5609">
      <w:pPr>
        <w:pStyle w:val="Heading3"/>
      </w:pPr>
    </w:p>
    <w:p w14:paraId="3DFF5FBC" w14:textId="77777777" w:rsidR="00E15622" w:rsidRDefault="00E15622" w:rsidP="00AE5609">
      <w:pPr>
        <w:pStyle w:val="Heading3"/>
      </w:pPr>
    </w:p>
    <w:p w14:paraId="08E1FE08" w14:textId="77777777" w:rsidR="00E15622" w:rsidRDefault="00E15622" w:rsidP="00AE5609">
      <w:pPr>
        <w:pStyle w:val="Heading3"/>
      </w:pPr>
    </w:p>
    <w:p w14:paraId="01677FC8" w14:textId="0A4E2736" w:rsidR="00872868" w:rsidRDefault="00872868" w:rsidP="00AE5609">
      <w:pPr>
        <w:pStyle w:val="Heading3"/>
      </w:pPr>
      <w:r>
        <w:t>ANNEXURE ‘’A’’</w:t>
      </w:r>
    </w:p>
    <w:p w14:paraId="7A9DCE28" w14:textId="77777777" w:rsidR="00872868" w:rsidRDefault="00872868" w:rsidP="00872868">
      <w:pPr>
        <w:spacing w:after="0" w:line="240" w:lineRule="auto"/>
        <w:contextualSpacing/>
        <w:jc w:val="both"/>
        <w:rPr>
          <w:rFonts w:ascii="Arial" w:eastAsia="Times New Roman" w:hAnsi="Arial"/>
          <w:b/>
          <w:sz w:val="26"/>
          <w:szCs w:val="20"/>
          <w:lang w:val="en-US" w:eastAsia="en-GB"/>
        </w:rPr>
      </w:pP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     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Technical 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or Functional </w:t>
      </w:r>
      <w:r w:rsidRPr="00AB6159">
        <w:rPr>
          <w:rFonts w:ascii="Arial" w:eastAsia="Times New Roman" w:hAnsi="Arial"/>
          <w:b/>
          <w:sz w:val="26"/>
          <w:szCs w:val="20"/>
          <w:lang w:val="en-US" w:eastAsia="en-GB"/>
        </w:rPr>
        <w:t>Evaluation Criteria</w:t>
      </w:r>
      <w:r>
        <w:rPr>
          <w:rFonts w:ascii="Arial" w:eastAsia="Times New Roman" w:hAnsi="Arial"/>
          <w:b/>
          <w:sz w:val="26"/>
          <w:szCs w:val="20"/>
          <w:lang w:val="en-US" w:eastAsia="en-GB"/>
        </w:rPr>
        <w:t xml:space="preserve"> and Functional Evaluation Report Guideline</w:t>
      </w:r>
    </w:p>
    <w:p w14:paraId="12FABEB5" w14:textId="7F620F0E" w:rsidR="00872868" w:rsidRDefault="00872868" w:rsidP="00872868">
      <w:pPr>
        <w:ind w:left="720"/>
        <w:contextualSpacing/>
        <w:jc w:val="both"/>
        <w:rPr>
          <w:rFonts w:ascii="Arial" w:eastAsia="Times New Roman" w:hAnsi="Arial" w:cs="Arial"/>
          <w:i/>
          <w:lang w:eastAsia="en-ZA"/>
        </w:rPr>
      </w:pPr>
      <w:r w:rsidRPr="003210DC">
        <w:rPr>
          <w:rFonts w:ascii="Arial" w:eastAsia="Times New Roman" w:hAnsi="Arial" w:cs="Arial"/>
          <w:i/>
          <w:lang w:eastAsia="en-ZA"/>
        </w:rPr>
        <w:lastRenderedPageBreak/>
        <w:t xml:space="preserve">Only those tenderers who score the </w:t>
      </w:r>
      <w:r>
        <w:rPr>
          <w:rFonts w:ascii="Arial" w:eastAsia="Times New Roman" w:hAnsi="Arial" w:cs="Arial"/>
          <w:i/>
          <w:lang w:eastAsia="en-ZA"/>
        </w:rPr>
        <w:t xml:space="preserve">minimum of </w:t>
      </w:r>
      <w:r w:rsidR="00322BFC">
        <w:rPr>
          <w:rFonts w:ascii="Arial" w:eastAsia="Times New Roman" w:hAnsi="Arial" w:cs="Arial"/>
          <w:i/>
          <w:lang w:eastAsia="en-ZA"/>
        </w:rPr>
        <w:t>7</w:t>
      </w:r>
      <w:r w:rsidRPr="003210DC">
        <w:rPr>
          <w:rFonts w:ascii="Arial" w:eastAsia="Times New Roman" w:hAnsi="Arial" w:cs="Arial"/>
          <w:i/>
          <w:lang w:eastAsia="en-ZA"/>
        </w:rPr>
        <w:t>0 points in respect of the following criteria are eligible for further evaluation</w:t>
      </w:r>
    </w:p>
    <w:p w14:paraId="3872F39B" w14:textId="77777777" w:rsidR="0083365E" w:rsidRPr="0083365E" w:rsidRDefault="0083365E" w:rsidP="00872868">
      <w:pPr>
        <w:ind w:left="720"/>
        <w:contextualSpacing/>
        <w:jc w:val="both"/>
        <w:rPr>
          <w:rFonts w:ascii="Arial" w:eastAsia="Times New Roman" w:hAnsi="Arial" w:cs="Arial"/>
          <w:lang w:eastAsia="en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970"/>
        <w:gridCol w:w="795"/>
        <w:gridCol w:w="4675"/>
      </w:tblGrid>
      <w:tr w:rsidR="00543FCC" w:rsidRPr="00521391" w14:paraId="24EC63B2" w14:textId="77777777" w:rsidTr="00DD63CA">
        <w:trPr>
          <w:trHeight w:val="187"/>
          <w:tblHeader/>
          <w:jc w:val="center"/>
        </w:trPr>
        <w:tc>
          <w:tcPr>
            <w:tcW w:w="4470" w:type="dxa"/>
          </w:tcPr>
          <w:p w14:paraId="2CF85096" w14:textId="77777777" w:rsidR="00543FCC" w:rsidRPr="00521391" w:rsidRDefault="00543FCC" w:rsidP="00C35446">
            <w:pPr>
              <w:spacing w:after="0" w:line="240" w:lineRule="auto"/>
              <w:jc w:val="center"/>
              <w:rPr>
                <w:b/>
              </w:rPr>
            </w:pPr>
            <w:r w:rsidRPr="00521391">
              <w:rPr>
                <w:b/>
              </w:rPr>
              <w:t>CRITERIA</w:t>
            </w:r>
          </w:p>
        </w:tc>
        <w:tc>
          <w:tcPr>
            <w:tcW w:w="970" w:type="dxa"/>
          </w:tcPr>
          <w:p w14:paraId="4D3844B6" w14:textId="77777777" w:rsidR="00543FCC" w:rsidRPr="00521391" w:rsidRDefault="00543FCC" w:rsidP="00C354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WEIGH</w:t>
            </w:r>
            <w:r w:rsidR="002E2275">
              <w:rPr>
                <w:b/>
              </w:rPr>
              <w:t>T</w:t>
            </w:r>
          </w:p>
        </w:tc>
        <w:tc>
          <w:tcPr>
            <w:tcW w:w="795" w:type="dxa"/>
          </w:tcPr>
          <w:p w14:paraId="02B0D921" w14:textId="77777777" w:rsidR="00543FCC" w:rsidRDefault="00543FCC" w:rsidP="00543F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POINT</w:t>
            </w:r>
          </w:p>
        </w:tc>
        <w:tc>
          <w:tcPr>
            <w:tcW w:w="4675" w:type="dxa"/>
          </w:tcPr>
          <w:p w14:paraId="558686C0" w14:textId="7FE72D2E" w:rsidR="00543FCC" w:rsidRDefault="00AA14D2" w:rsidP="00543F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DOCUMENTS TO BE SUBMITTED AS PROOF OF SCORING</w:t>
            </w:r>
          </w:p>
        </w:tc>
      </w:tr>
      <w:tr w:rsidR="00543FCC" w:rsidRPr="00521391" w14:paraId="4F3296EE" w14:textId="77777777" w:rsidTr="00DD63CA">
        <w:trPr>
          <w:trHeight w:val="282"/>
          <w:jc w:val="center"/>
        </w:trPr>
        <w:tc>
          <w:tcPr>
            <w:tcW w:w="4470" w:type="dxa"/>
            <w:vAlign w:val="center"/>
          </w:tcPr>
          <w:p w14:paraId="1BB97C62" w14:textId="77777777" w:rsidR="00543FCC" w:rsidRPr="00693613" w:rsidRDefault="00543FCC" w:rsidP="00495378">
            <w:pPr>
              <w:spacing w:after="0" w:line="240" w:lineRule="auto"/>
              <w:rPr>
                <w:b/>
              </w:rPr>
            </w:pPr>
            <w:r w:rsidRPr="00693613">
              <w:rPr>
                <w:b/>
              </w:rPr>
              <w:t>Company’s experience with similar projects:</w:t>
            </w:r>
          </w:p>
          <w:p w14:paraId="35E5717A" w14:textId="77777777" w:rsidR="00543FCC" w:rsidRDefault="00543FCC" w:rsidP="00693613">
            <w:pPr>
              <w:spacing w:after="0" w:line="240" w:lineRule="auto"/>
            </w:pPr>
            <w:r>
              <w:t>0 Project</w:t>
            </w:r>
          </w:p>
          <w:p w14:paraId="3E3F1FCD" w14:textId="77777777" w:rsidR="00543FCC" w:rsidRDefault="00543FCC" w:rsidP="00693613">
            <w:pPr>
              <w:spacing w:after="0" w:line="240" w:lineRule="auto"/>
            </w:pPr>
            <w:r>
              <w:t>1 Project</w:t>
            </w:r>
          </w:p>
          <w:p w14:paraId="16B3C415" w14:textId="77777777" w:rsidR="00543FCC" w:rsidRDefault="00543FCC" w:rsidP="00693613">
            <w:pPr>
              <w:spacing w:after="0" w:line="240" w:lineRule="auto"/>
            </w:pPr>
            <w:r>
              <w:t>2 Projects</w:t>
            </w:r>
          </w:p>
          <w:p w14:paraId="09760D7C" w14:textId="77777777" w:rsidR="00543FCC" w:rsidRDefault="00543FCC" w:rsidP="00693613">
            <w:pPr>
              <w:spacing w:after="0" w:line="240" w:lineRule="auto"/>
            </w:pPr>
            <w:r>
              <w:t>3 Projects</w:t>
            </w:r>
          </w:p>
          <w:p w14:paraId="10EFF5D6" w14:textId="77777777" w:rsidR="00543FCC" w:rsidRDefault="00543FCC" w:rsidP="00693613">
            <w:pPr>
              <w:spacing w:after="0" w:line="240" w:lineRule="auto"/>
            </w:pPr>
            <w:r>
              <w:t>4 Projects</w:t>
            </w:r>
          </w:p>
          <w:p w14:paraId="60B6D786" w14:textId="77777777" w:rsidR="00543FCC" w:rsidRPr="00521391" w:rsidRDefault="00543FCC" w:rsidP="00693613">
            <w:pPr>
              <w:spacing w:after="0" w:line="240" w:lineRule="auto"/>
            </w:pPr>
            <w:r>
              <w:t>5 &gt; Projects</w:t>
            </w:r>
          </w:p>
        </w:tc>
        <w:tc>
          <w:tcPr>
            <w:tcW w:w="970" w:type="dxa"/>
          </w:tcPr>
          <w:p w14:paraId="61772624" w14:textId="77777777" w:rsidR="00543FCC" w:rsidRDefault="00543FCC" w:rsidP="00C35446">
            <w:pPr>
              <w:spacing w:after="0" w:line="240" w:lineRule="auto"/>
              <w:jc w:val="center"/>
            </w:pPr>
          </w:p>
          <w:p w14:paraId="32FF1396" w14:textId="77777777" w:rsidR="00543FCC" w:rsidRDefault="00543FCC" w:rsidP="00C35446">
            <w:pPr>
              <w:spacing w:after="0" w:line="240" w:lineRule="auto"/>
              <w:jc w:val="center"/>
            </w:pPr>
            <w:r>
              <w:t>0</w:t>
            </w:r>
          </w:p>
          <w:p w14:paraId="7E9F3988" w14:textId="77777777" w:rsidR="00543FCC" w:rsidRDefault="00543FCC" w:rsidP="00C35446">
            <w:pPr>
              <w:spacing w:after="0" w:line="240" w:lineRule="auto"/>
              <w:jc w:val="center"/>
            </w:pPr>
            <w:r>
              <w:t>1</w:t>
            </w:r>
          </w:p>
          <w:p w14:paraId="3D6F00A8" w14:textId="77777777" w:rsidR="00543FCC" w:rsidRDefault="00543FCC" w:rsidP="00C35446">
            <w:pPr>
              <w:spacing w:after="0" w:line="240" w:lineRule="auto"/>
              <w:jc w:val="center"/>
            </w:pPr>
            <w:r>
              <w:t>2</w:t>
            </w:r>
          </w:p>
          <w:p w14:paraId="6678F662" w14:textId="77777777" w:rsidR="00543FCC" w:rsidRDefault="00543FCC" w:rsidP="00C35446">
            <w:pPr>
              <w:spacing w:after="0" w:line="240" w:lineRule="auto"/>
              <w:jc w:val="center"/>
            </w:pPr>
            <w:r>
              <w:t>3</w:t>
            </w:r>
          </w:p>
          <w:p w14:paraId="49910723" w14:textId="77777777" w:rsidR="00543FCC" w:rsidRDefault="00543FCC" w:rsidP="00C35446">
            <w:pPr>
              <w:spacing w:after="0" w:line="240" w:lineRule="auto"/>
              <w:jc w:val="center"/>
            </w:pPr>
            <w:r>
              <w:t>4</w:t>
            </w:r>
          </w:p>
          <w:p w14:paraId="5BCB9504" w14:textId="77777777" w:rsidR="00543FCC" w:rsidRPr="00521391" w:rsidRDefault="00543FCC" w:rsidP="00C3544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5" w:type="dxa"/>
          </w:tcPr>
          <w:p w14:paraId="2C20A959" w14:textId="77777777" w:rsidR="00543FCC" w:rsidRDefault="00543FCC" w:rsidP="00543FCC">
            <w:pPr>
              <w:spacing w:after="0" w:line="240" w:lineRule="auto"/>
              <w:ind w:left="325" w:hanging="141"/>
              <w:jc w:val="center"/>
            </w:pPr>
          </w:p>
          <w:p w14:paraId="7C0D8E93" w14:textId="77777777" w:rsidR="00543FCC" w:rsidRDefault="00543FCC" w:rsidP="00543FCC">
            <w:pPr>
              <w:spacing w:after="0" w:line="240" w:lineRule="auto"/>
              <w:ind w:left="325" w:hanging="141"/>
              <w:jc w:val="center"/>
            </w:pPr>
          </w:p>
          <w:p w14:paraId="2F23960A" w14:textId="5652A690" w:rsidR="00543FCC" w:rsidRDefault="00543FCC" w:rsidP="00543FCC">
            <w:pPr>
              <w:spacing w:after="0" w:line="240" w:lineRule="auto"/>
              <w:ind w:left="325" w:hanging="141"/>
              <w:jc w:val="center"/>
            </w:pPr>
          </w:p>
          <w:p w14:paraId="3BCCD255" w14:textId="77777777" w:rsidR="00DD63CA" w:rsidRDefault="00DD63CA" w:rsidP="00543FCC">
            <w:pPr>
              <w:spacing w:after="0" w:line="240" w:lineRule="auto"/>
              <w:ind w:left="325" w:hanging="141"/>
              <w:jc w:val="center"/>
            </w:pPr>
          </w:p>
          <w:p w14:paraId="033FC232" w14:textId="7D7EEAB8" w:rsidR="00543FCC" w:rsidRPr="00E43028" w:rsidRDefault="00A733EF" w:rsidP="00543FCC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4</w:t>
            </w:r>
            <w:r w:rsidR="00A60D1E" w:rsidRPr="00E43028">
              <w:rPr>
                <w:b/>
                <w:bCs/>
              </w:rPr>
              <w:t>0</w:t>
            </w:r>
          </w:p>
        </w:tc>
        <w:tc>
          <w:tcPr>
            <w:tcW w:w="4675" w:type="dxa"/>
          </w:tcPr>
          <w:p w14:paraId="25B382D8" w14:textId="77777777" w:rsidR="00782002" w:rsidRDefault="00782002" w:rsidP="00543FCC">
            <w:pPr>
              <w:spacing w:after="0" w:line="240" w:lineRule="auto"/>
            </w:pPr>
          </w:p>
          <w:p w14:paraId="4009B35C" w14:textId="79DACC70" w:rsidR="00543FCC" w:rsidRDefault="00A60D1E" w:rsidP="00543FCC">
            <w:pPr>
              <w:spacing w:after="0" w:line="240" w:lineRule="auto"/>
            </w:pPr>
            <w:r>
              <w:t>Provide proof of appointment</w:t>
            </w:r>
            <w:r w:rsidR="00E43028">
              <w:t xml:space="preserve"> letters</w:t>
            </w:r>
            <w:r>
              <w:t xml:space="preserve"> of similar projects completed, with contact details for references that can be contacted by the Municipality to confirm outcome of the appointed services.</w:t>
            </w:r>
          </w:p>
        </w:tc>
      </w:tr>
      <w:tr w:rsidR="00543FCC" w:rsidRPr="00521391" w14:paraId="09A98138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62D51661" w14:textId="77777777" w:rsidR="00543FCC" w:rsidRPr="00693613" w:rsidRDefault="00543FCC" w:rsidP="00495378">
            <w:pPr>
              <w:spacing w:after="0" w:line="240" w:lineRule="auto"/>
              <w:rPr>
                <w:b/>
              </w:rPr>
            </w:pPr>
            <w:r w:rsidRPr="00693613">
              <w:rPr>
                <w:b/>
              </w:rPr>
              <w:t>Alignment of quoted items to the specifications:</w:t>
            </w:r>
          </w:p>
          <w:p w14:paraId="23C872FD" w14:textId="77777777" w:rsidR="00A60D1E" w:rsidRPr="001D60F0" w:rsidRDefault="00A60D1E" w:rsidP="00A60D1E">
            <w:pPr>
              <w:spacing w:after="0" w:line="240" w:lineRule="auto"/>
            </w:pPr>
            <w:r w:rsidRPr="001D60F0">
              <w:t>Not aligned</w:t>
            </w:r>
          </w:p>
          <w:p w14:paraId="5BF00F07" w14:textId="77777777" w:rsidR="00543FCC" w:rsidRDefault="00A60D1E" w:rsidP="00A60D1E">
            <w:pPr>
              <w:spacing w:after="0" w:line="240" w:lineRule="auto"/>
            </w:pPr>
            <w:r w:rsidRPr="001D60F0">
              <w:t>Aligned</w:t>
            </w:r>
          </w:p>
        </w:tc>
        <w:tc>
          <w:tcPr>
            <w:tcW w:w="970" w:type="dxa"/>
          </w:tcPr>
          <w:p w14:paraId="237D6573" w14:textId="77777777" w:rsidR="00A60D1E" w:rsidRDefault="00A60D1E" w:rsidP="00A60D1E">
            <w:pPr>
              <w:spacing w:after="0" w:line="240" w:lineRule="auto"/>
              <w:jc w:val="center"/>
            </w:pPr>
          </w:p>
          <w:p w14:paraId="6A872B07" w14:textId="77777777" w:rsidR="00DD63CA" w:rsidRDefault="00DD63CA" w:rsidP="00A60D1E">
            <w:pPr>
              <w:spacing w:after="0" w:line="240" w:lineRule="auto"/>
              <w:jc w:val="center"/>
            </w:pPr>
          </w:p>
          <w:p w14:paraId="1CA9A174" w14:textId="11865C14" w:rsidR="00A60D1E" w:rsidRPr="001D60F0" w:rsidRDefault="00A60D1E" w:rsidP="00A60D1E">
            <w:pPr>
              <w:spacing w:after="0" w:line="240" w:lineRule="auto"/>
              <w:jc w:val="center"/>
            </w:pPr>
            <w:r w:rsidRPr="001D60F0">
              <w:t>0</w:t>
            </w:r>
          </w:p>
          <w:p w14:paraId="32A3AD38" w14:textId="77777777" w:rsidR="00543FCC" w:rsidRDefault="00A60D1E" w:rsidP="00A60D1E">
            <w:pPr>
              <w:spacing w:after="0" w:line="240" w:lineRule="auto"/>
              <w:jc w:val="center"/>
            </w:pPr>
            <w:r w:rsidRPr="001D60F0">
              <w:t>5</w:t>
            </w:r>
          </w:p>
        </w:tc>
        <w:tc>
          <w:tcPr>
            <w:tcW w:w="795" w:type="dxa"/>
          </w:tcPr>
          <w:p w14:paraId="4C38FB29" w14:textId="77777777" w:rsidR="00543FCC" w:rsidRDefault="00543FCC" w:rsidP="00543FCC">
            <w:pPr>
              <w:spacing w:after="0" w:line="240" w:lineRule="auto"/>
              <w:ind w:left="325" w:hanging="141"/>
              <w:jc w:val="center"/>
            </w:pPr>
          </w:p>
          <w:p w14:paraId="4108281D" w14:textId="5E8A9B7C" w:rsidR="00543FCC" w:rsidRDefault="00543FCC" w:rsidP="00543FCC">
            <w:pPr>
              <w:spacing w:after="0" w:line="240" w:lineRule="auto"/>
              <w:ind w:left="325" w:hanging="141"/>
              <w:jc w:val="center"/>
            </w:pPr>
          </w:p>
          <w:p w14:paraId="70F7C0AA" w14:textId="6F894EB6" w:rsidR="00543FCC" w:rsidRPr="00E43028" w:rsidRDefault="00322BFC" w:rsidP="00E43028">
            <w:pPr>
              <w:spacing w:after="0" w:line="240" w:lineRule="auto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25</w:t>
            </w:r>
          </w:p>
        </w:tc>
        <w:tc>
          <w:tcPr>
            <w:tcW w:w="4675" w:type="dxa"/>
          </w:tcPr>
          <w:p w14:paraId="6BD97C67" w14:textId="335CA09E" w:rsidR="00DD63CA" w:rsidRDefault="00322BFC" w:rsidP="00543FCC">
            <w:pPr>
              <w:spacing w:after="0" w:line="240" w:lineRule="auto"/>
            </w:pPr>
            <w:r>
              <w:t>Alignment of scope of work for ‘B’ and ‘C’.</w:t>
            </w:r>
          </w:p>
          <w:p w14:paraId="6BA73BAE" w14:textId="05821E85" w:rsidR="00543FCC" w:rsidRDefault="00543FCC" w:rsidP="00543FCC">
            <w:pPr>
              <w:spacing w:after="0" w:line="240" w:lineRule="auto"/>
            </w:pPr>
            <w:r>
              <w:t>Bidder must submit brochure (with detailed specifications) of the items they propose to supply.</w:t>
            </w:r>
          </w:p>
        </w:tc>
      </w:tr>
      <w:tr w:rsidR="008E2120" w:rsidRPr="00521391" w14:paraId="7C8B7CCD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48BB088E" w14:textId="77777777" w:rsidR="008E2120" w:rsidRPr="001D60F0" w:rsidRDefault="008E2120" w:rsidP="008E2120">
            <w:pPr>
              <w:spacing w:after="0" w:line="240" w:lineRule="auto"/>
              <w:rPr>
                <w:b/>
              </w:rPr>
            </w:pPr>
            <w:r w:rsidRPr="001D60F0">
              <w:rPr>
                <w:b/>
              </w:rPr>
              <w:t>Vendor Certification</w:t>
            </w:r>
          </w:p>
          <w:p w14:paraId="4A440228" w14:textId="77777777" w:rsidR="008E2120" w:rsidRPr="001D60F0" w:rsidRDefault="008E2120" w:rsidP="008E2120">
            <w:pPr>
              <w:spacing w:after="0" w:line="240" w:lineRule="auto"/>
              <w:rPr>
                <w:b/>
              </w:rPr>
            </w:pPr>
          </w:p>
          <w:p w14:paraId="2E1398D1" w14:textId="77777777" w:rsidR="008E2120" w:rsidRPr="001D60F0" w:rsidRDefault="008E2120" w:rsidP="008E2120">
            <w:pPr>
              <w:spacing w:after="0" w:line="240" w:lineRule="auto"/>
            </w:pPr>
            <w:r w:rsidRPr="001D60F0">
              <w:t>Not Certified</w:t>
            </w:r>
          </w:p>
          <w:p w14:paraId="6197C850" w14:textId="40DA4D10" w:rsidR="008E2120" w:rsidRPr="00693613" w:rsidRDefault="008E2120" w:rsidP="008E2120">
            <w:pPr>
              <w:spacing w:after="0" w:line="240" w:lineRule="auto"/>
              <w:rPr>
                <w:b/>
              </w:rPr>
            </w:pPr>
            <w:r w:rsidRPr="001D60F0">
              <w:t>Certified</w:t>
            </w:r>
            <w:r w:rsidRPr="001D60F0">
              <w:rPr>
                <w:b/>
              </w:rPr>
              <w:t xml:space="preserve"> </w:t>
            </w:r>
          </w:p>
        </w:tc>
        <w:tc>
          <w:tcPr>
            <w:tcW w:w="970" w:type="dxa"/>
          </w:tcPr>
          <w:p w14:paraId="3AD940E5" w14:textId="77777777" w:rsidR="008E2120" w:rsidRPr="00B022F4" w:rsidRDefault="008E2120" w:rsidP="008E2120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59DD4AC0" w14:textId="77777777" w:rsidR="00DD63CA" w:rsidRDefault="00DD63CA" w:rsidP="008E2120">
            <w:pPr>
              <w:spacing w:after="0" w:line="240" w:lineRule="auto"/>
              <w:jc w:val="center"/>
            </w:pPr>
          </w:p>
          <w:p w14:paraId="3B9B60FE" w14:textId="3E54E4E0" w:rsidR="008E2120" w:rsidRPr="001D60F0" w:rsidRDefault="008E2120" w:rsidP="008E2120">
            <w:pPr>
              <w:spacing w:after="0" w:line="240" w:lineRule="auto"/>
              <w:jc w:val="center"/>
            </w:pPr>
            <w:r w:rsidRPr="001D60F0">
              <w:t>0</w:t>
            </w:r>
          </w:p>
          <w:p w14:paraId="16ECA1E5" w14:textId="52E4B4E8" w:rsidR="008E2120" w:rsidRDefault="008E2120" w:rsidP="008E2120">
            <w:pPr>
              <w:spacing w:after="0" w:line="240" w:lineRule="auto"/>
              <w:jc w:val="center"/>
            </w:pPr>
            <w:r w:rsidRPr="001D60F0">
              <w:t>5</w:t>
            </w:r>
          </w:p>
        </w:tc>
        <w:tc>
          <w:tcPr>
            <w:tcW w:w="795" w:type="dxa"/>
          </w:tcPr>
          <w:p w14:paraId="7F162CC8" w14:textId="77777777" w:rsidR="008E2120" w:rsidRDefault="008E2120" w:rsidP="008E2120">
            <w:pPr>
              <w:spacing w:after="0" w:line="240" w:lineRule="auto"/>
              <w:ind w:left="325" w:hanging="141"/>
              <w:jc w:val="center"/>
              <w:rPr>
                <w:highlight w:val="yellow"/>
              </w:rPr>
            </w:pPr>
          </w:p>
          <w:p w14:paraId="7397582A" w14:textId="77777777" w:rsidR="00DD63CA" w:rsidRDefault="00DD63CA" w:rsidP="008E2120">
            <w:pPr>
              <w:spacing w:after="0" w:line="240" w:lineRule="auto"/>
              <w:ind w:left="325" w:hanging="141"/>
              <w:jc w:val="center"/>
            </w:pPr>
          </w:p>
          <w:p w14:paraId="0F0B9933" w14:textId="782D8D1D" w:rsidR="008E2120" w:rsidRPr="00E43028" w:rsidRDefault="00DD63CA" w:rsidP="00E43028">
            <w:pPr>
              <w:spacing w:after="0" w:line="240" w:lineRule="auto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1</w:t>
            </w:r>
            <w:r w:rsidR="00322BFC" w:rsidRPr="00E43028">
              <w:rPr>
                <w:b/>
                <w:bCs/>
              </w:rPr>
              <w:t>8</w:t>
            </w:r>
          </w:p>
        </w:tc>
        <w:tc>
          <w:tcPr>
            <w:tcW w:w="4675" w:type="dxa"/>
          </w:tcPr>
          <w:p w14:paraId="29859A6D" w14:textId="77777777" w:rsidR="00DD63CA" w:rsidRDefault="00DD63CA" w:rsidP="008E2120">
            <w:pPr>
              <w:spacing w:after="0" w:line="240" w:lineRule="auto"/>
            </w:pPr>
          </w:p>
          <w:p w14:paraId="4B00E62F" w14:textId="1B1FAEE7" w:rsidR="008E2120" w:rsidRDefault="008E2120" w:rsidP="008E2120">
            <w:pPr>
              <w:spacing w:after="0" w:line="240" w:lineRule="auto"/>
            </w:pPr>
            <w:r w:rsidRPr="001D60F0">
              <w:t>Provide proof that service provider is a certified product vendor of the quoted items. This is for warranty purposes.</w:t>
            </w:r>
          </w:p>
        </w:tc>
      </w:tr>
      <w:tr w:rsidR="008E2120" w:rsidRPr="00521391" w14:paraId="65D939B6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0BE675B9" w14:textId="38DAE327" w:rsidR="008E2120" w:rsidRPr="00693613" w:rsidRDefault="00322BFC" w:rsidP="008E2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Delivery Period</w:t>
            </w:r>
          </w:p>
          <w:p w14:paraId="233EFE52" w14:textId="2BE36FE4" w:rsidR="008E2120" w:rsidRDefault="000E2F08" w:rsidP="008E2120">
            <w:pPr>
              <w:spacing w:after="0" w:line="240" w:lineRule="auto"/>
            </w:pPr>
            <w:r>
              <w:t>1 Month or Less</w:t>
            </w:r>
            <w:r w:rsidR="008E2120">
              <w:t xml:space="preserve"> </w:t>
            </w:r>
          </w:p>
          <w:p w14:paraId="42AF4789" w14:textId="0438AB55" w:rsidR="008E2120" w:rsidRDefault="000E2F08" w:rsidP="008E2120">
            <w:pPr>
              <w:spacing w:after="0" w:line="240" w:lineRule="auto"/>
            </w:pPr>
            <w:r>
              <w:t>Within 3 Months</w:t>
            </w:r>
          </w:p>
          <w:p w14:paraId="59583201" w14:textId="71427071" w:rsidR="008E2120" w:rsidRDefault="000E2F08" w:rsidP="008E2120">
            <w:pPr>
              <w:spacing w:after="0" w:line="240" w:lineRule="auto"/>
            </w:pPr>
            <w:r>
              <w:t>More than 3 Months</w:t>
            </w:r>
          </w:p>
          <w:p w14:paraId="79CA893E" w14:textId="1CE0931E" w:rsidR="008E2120" w:rsidRPr="00521391" w:rsidRDefault="008E2120" w:rsidP="008E212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70" w:type="dxa"/>
          </w:tcPr>
          <w:p w14:paraId="6A00109F" w14:textId="77777777" w:rsidR="008E2120" w:rsidRDefault="008E2120" w:rsidP="008E2120">
            <w:pPr>
              <w:spacing w:after="0" w:line="240" w:lineRule="auto"/>
              <w:jc w:val="center"/>
            </w:pPr>
          </w:p>
          <w:p w14:paraId="1F8AA2C4" w14:textId="4F485891" w:rsidR="008E2120" w:rsidRDefault="000E2F08" w:rsidP="008E2120">
            <w:pPr>
              <w:spacing w:after="0" w:line="240" w:lineRule="auto"/>
              <w:jc w:val="center"/>
            </w:pPr>
            <w:r>
              <w:t>5</w:t>
            </w:r>
          </w:p>
          <w:p w14:paraId="24930E79" w14:textId="0D11986D" w:rsidR="008E2120" w:rsidRDefault="000E2F08" w:rsidP="008E2120">
            <w:pPr>
              <w:spacing w:after="0" w:line="240" w:lineRule="auto"/>
              <w:jc w:val="center"/>
            </w:pPr>
            <w:r>
              <w:t>3</w:t>
            </w:r>
          </w:p>
          <w:p w14:paraId="379CB8E5" w14:textId="3A8D060E" w:rsidR="008E2120" w:rsidRPr="00521391" w:rsidRDefault="008E2120" w:rsidP="000E2F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95" w:type="dxa"/>
          </w:tcPr>
          <w:p w14:paraId="126E0AE7" w14:textId="77777777" w:rsidR="008E2120" w:rsidRPr="00E43028" w:rsidRDefault="008E2120" w:rsidP="008E2120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</w:p>
          <w:p w14:paraId="5E96700C" w14:textId="77777777" w:rsidR="008E2120" w:rsidRPr="00E43028" w:rsidRDefault="008E2120" w:rsidP="008E2120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</w:p>
          <w:p w14:paraId="4C5555F9" w14:textId="3AC43BCC" w:rsidR="008E2120" w:rsidRPr="00E43028" w:rsidRDefault="008E2120" w:rsidP="00DD63CA">
            <w:pPr>
              <w:spacing w:after="0" w:line="240" w:lineRule="auto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10</w:t>
            </w:r>
          </w:p>
        </w:tc>
        <w:tc>
          <w:tcPr>
            <w:tcW w:w="4675" w:type="dxa"/>
          </w:tcPr>
          <w:p w14:paraId="00D01497" w14:textId="77777777" w:rsidR="008E2120" w:rsidRDefault="008E2120" w:rsidP="008E2120">
            <w:pPr>
              <w:spacing w:after="0" w:line="240" w:lineRule="auto"/>
            </w:pPr>
          </w:p>
          <w:p w14:paraId="5856E458" w14:textId="77777777" w:rsidR="000E2F08" w:rsidRDefault="000E2F08" w:rsidP="008E2120">
            <w:pPr>
              <w:spacing w:after="0" w:line="240" w:lineRule="auto"/>
            </w:pPr>
          </w:p>
          <w:p w14:paraId="5BABB8B1" w14:textId="6D545BE9" w:rsidR="008E2120" w:rsidRDefault="000E2F08" w:rsidP="008E2120">
            <w:pPr>
              <w:spacing w:after="0" w:line="240" w:lineRule="auto"/>
            </w:pPr>
            <w:r>
              <w:t>Provide letter of commitment for delivery period</w:t>
            </w:r>
            <w:r w:rsidR="008E2120">
              <w:t>.</w:t>
            </w:r>
          </w:p>
        </w:tc>
      </w:tr>
      <w:tr w:rsidR="008E2120" w:rsidRPr="00521391" w14:paraId="34289BF6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5987EC08" w14:textId="77777777" w:rsidR="008E2120" w:rsidRPr="00543FCC" w:rsidRDefault="008E2120" w:rsidP="008E2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Locality</w:t>
            </w:r>
            <w:r w:rsidRPr="00543FCC">
              <w:rPr>
                <w:b/>
              </w:rPr>
              <w:t>:</w:t>
            </w:r>
          </w:p>
          <w:p w14:paraId="4E76E4D8" w14:textId="77777777" w:rsidR="008E2120" w:rsidRDefault="008E2120" w:rsidP="008E2120">
            <w:pPr>
              <w:spacing w:after="0" w:line="240" w:lineRule="auto"/>
            </w:pPr>
            <w:r>
              <w:t>Outside Free State</w:t>
            </w:r>
          </w:p>
          <w:p w14:paraId="42360890" w14:textId="77777777" w:rsidR="008E2120" w:rsidRDefault="008E2120" w:rsidP="008E2120">
            <w:pPr>
              <w:spacing w:after="0" w:line="240" w:lineRule="auto"/>
            </w:pPr>
            <w:r>
              <w:t>Free State</w:t>
            </w:r>
          </w:p>
          <w:p w14:paraId="2DF34AD7" w14:textId="77777777" w:rsidR="008E2120" w:rsidRDefault="008E2120" w:rsidP="008E2120">
            <w:pPr>
              <w:spacing w:after="0" w:line="240" w:lineRule="auto"/>
            </w:pPr>
            <w:r>
              <w:t>Fezile Dabi</w:t>
            </w:r>
          </w:p>
          <w:p w14:paraId="698ADB5E" w14:textId="77777777" w:rsidR="008E2120" w:rsidRDefault="008E2120" w:rsidP="008E2120">
            <w:pPr>
              <w:spacing w:after="0" w:line="240" w:lineRule="auto"/>
            </w:pPr>
            <w:r>
              <w:t>Moqhaka</w:t>
            </w:r>
          </w:p>
        </w:tc>
        <w:tc>
          <w:tcPr>
            <w:tcW w:w="970" w:type="dxa"/>
          </w:tcPr>
          <w:p w14:paraId="0F0E8702" w14:textId="77777777" w:rsidR="008E2120" w:rsidRDefault="008E2120" w:rsidP="008E2120">
            <w:pPr>
              <w:spacing w:after="0" w:line="240" w:lineRule="auto"/>
              <w:jc w:val="center"/>
            </w:pPr>
          </w:p>
          <w:p w14:paraId="3B5E13BF" w14:textId="77777777" w:rsidR="008E2120" w:rsidRDefault="008E2120" w:rsidP="008E2120">
            <w:pPr>
              <w:spacing w:after="0" w:line="240" w:lineRule="auto"/>
              <w:jc w:val="center"/>
            </w:pPr>
            <w:r>
              <w:t>0</w:t>
            </w:r>
          </w:p>
          <w:p w14:paraId="23284CD2" w14:textId="70FF8ECC" w:rsidR="008E2120" w:rsidRDefault="000E2F08" w:rsidP="008E2120">
            <w:pPr>
              <w:spacing w:after="0" w:line="240" w:lineRule="auto"/>
              <w:jc w:val="center"/>
            </w:pPr>
            <w:r>
              <w:t>1</w:t>
            </w:r>
          </w:p>
          <w:p w14:paraId="5C17E43C" w14:textId="46FBA37C" w:rsidR="008E2120" w:rsidRDefault="000E2F08" w:rsidP="008E2120">
            <w:pPr>
              <w:spacing w:after="0" w:line="240" w:lineRule="auto"/>
              <w:jc w:val="center"/>
            </w:pPr>
            <w:r>
              <w:t>3</w:t>
            </w:r>
          </w:p>
          <w:p w14:paraId="1B9BCABC" w14:textId="3E1A3B2F" w:rsidR="008E2120" w:rsidRDefault="000E2F08" w:rsidP="008E21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5" w:type="dxa"/>
          </w:tcPr>
          <w:p w14:paraId="42BD4837" w14:textId="77777777" w:rsidR="008E2120" w:rsidRDefault="008E2120" w:rsidP="008E2120">
            <w:pPr>
              <w:spacing w:after="0" w:line="240" w:lineRule="auto"/>
              <w:ind w:left="325" w:hanging="141"/>
              <w:jc w:val="center"/>
            </w:pPr>
          </w:p>
          <w:p w14:paraId="72884F7A" w14:textId="77777777" w:rsidR="008E2120" w:rsidRDefault="008E2120" w:rsidP="008E2120">
            <w:pPr>
              <w:spacing w:after="0" w:line="240" w:lineRule="auto"/>
              <w:ind w:left="325" w:hanging="141"/>
              <w:jc w:val="center"/>
            </w:pPr>
          </w:p>
          <w:p w14:paraId="725DF1EE" w14:textId="77777777" w:rsidR="008E2120" w:rsidRPr="00E43028" w:rsidRDefault="008E2120" w:rsidP="008E2120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7</w:t>
            </w:r>
          </w:p>
        </w:tc>
        <w:tc>
          <w:tcPr>
            <w:tcW w:w="4675" w:type="dxa"/>
          </w:tcPr>
          <w:p w14:paraId="191725FC" w14:textId="77777777" w:rsidR="008E2120" w:rsidRDefault="008E2120" w:rsidP="008E2120">
            <w:pPr>
              <w:spacing w:after="0" w:line="240" w:lineRule="auto"/>
            </w:pPr>
          </w:p>
          <w:p w14:paraId="2818E507" w14:textId="77777777" w:rsidR="008E2120" w:rsidRDefault="008E2120" w:rsidP="008E2120">
            <w:pPr>
              <w:spacing w:after="0" w:line="240" w:lineRule="auto"/>
            </w:pPr>
          </w:p>
          <w:p w14:paraId="5E170506" w14:textId="7B49749A" w:rsidR="008E2120" w:rsidRDefault="008E2120" w:rsidP="008E2120">
            <w:pPr>
              <w:spacing w:after="0" w:line="240" w:lineRule="auto"/>
            </w:pPr>
          </w:p>
        </w:tc>
      </w:tr>
      <w:tr w:rsidR="00E43028" w:rsidRPr="00521391" w14:paraId="2FF3BC47" w14:textId="77777777" w:rsidTr="00DD63CA">
        <w:trPr>
          <w:trHeight w:val="660"/>
          <w:jc w:val="center"/>
        </w:trPr>
        <w:tc>
          <w:tcPr>
            <w:tcW w:w="4470" w:type="dxa"/>
            <w:vAlign w:val="center"/>
          </w:tcPr>
          <w:p w14:paraId="4CA0FB7A" w14:textId="7FBFCC6F" w:rsidR="00E43028" w:rsidRDefault="00E43028" w:rsidP="008E21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70" w:type="dxa"/>
          </w:tcPr>
          <w:p w14:paraId="56DC5E0C" w14:textId="77777777" w:rsidR="00E43028" w:rsidRDefault="00E43028" w:rsidP="008E2120">
            <w:pPr>
              <w:spacing w:after="0" w:line="240" w:lineRule="auto"/>
              <w:jc w:val="center"/>
            </w:pPr>
          </w:p>
        </w:tc>
        <w:tc>
          <w:tcPr>
            <w:tcW w:w="795" w:type="dxa"/>
          </w:tcPr>
          <w:p w14:paraId="5F10CD52" w14:textId="4BAB6BAA" w:rsidR="00E43028" w:rsidRPr="00E43028" w:rsidRDefault="00E43028" w:rsidP="008E2120">
            <w:pPr>
              <w:spacing w:after="0" w:line="240" w:lineRule="auto"/>
              <w:ind w:left="325" w:hanging="141"/>
              <w:jc w:val="center"/>
              <w:rPr>
                <w:b/>
                <w:bCs/>
              </w:rPr>
            </w:pPr>
            <w:r w:rsidRPr="00E43028">
              <w:rPr>
                <w:b/>
                <w:bCs/>
              </w:rPr>
              <w:t>100</w:t>
            </w:r>
          </w:p>
        </w:tc>
        <w:tc>
          <w:tcPr>
            <w:tcW w:w="4675" w:type="dxa"/>
          </w:tcPr>
          <w:p w14:paraId="22A1B043" w14:textId="77777777" w:rsidR="00E43028" w:rsidRDefault="00E43028" w:rsidP="008E2120">
            <w:pPr>
              <w:spacing w:after="0" w:line="240" w:lineRule="auto"/>
            </w:pPr>
          </w:p>
        </w:tc>
      </w:tr>
    </w:tbl>
    <w:p w14:paraId="14F3EB9C" w14:textId="77777777" w:rsidR="00872868" w:rsidRDefault="00872868" w:rsidP="00B966EB">
      <w:pPr>
        <w:spacing w:after="0" w:line="240" w:lineRule="auto"/>
        <w:jc w:val="both"/>
      </w:pPr>
    </w:p>
    <w:sectPr w:rsidR="00872868" w:rsidSect="00143CB2">
      <w:pgSz w:w="15840" w:h="12240" w:orient="landscape"/>
      <w:pgMar w:top="709" w:right="1239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9AA5" w14:textId="77777777" w:rsidR="00A30BD6" w:rsidRDefault="00A30BD6">
      <w:pPr>
        <w:spacing w:after="0" w:line="240" w:lineRule="auto"/>
      </w:pPr>
      <w:r>
        <w:separator/>
      </w:r>
    </w:p>
  </w:endnote>
  <w:endnote w:type="continuationSeparator" w:id="0">
    <w:p w14:paraId="7C006B29" w14:textId="77777777" w:rsidR="00A30BD6" w:rsidRDefault="00A3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1D7B" w14:textId="77777777" w:rsidR="00A30BD6" w:rsidRDefault="00A30BD6">
      <w:pPr>
        <w:spacing w:after="0" w:line="240" w:lineRule="auto"/>
      </w:pPr>
      <w:r>
        <w:separator/>
      </w:r>
    </w:p>
  </w:footnote>
  <w:footnote w:type="continuationSeparator" w:id="0">
    <w:p w14:paraId="5943D76F" w14:textId="77777777" w:rsidR="00A30BD6" w:rsidRDefault="00A3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2C0D"/>
    <w:multiLevelType w:val="hybridMultilevel"/>
    <w:tmpl w:val="5A5615E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0F0384"/>
    <w:multiLevelType w:val="hybridMultilevel"/>
    <w:tmpl w:val="EF04033E"/>
    <w:lvl w:ilvl="0" w:tplc="16ECB5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C3E7E"/>
    <w:multiLevelType w:val="hybridMultilevel"/>
    <w:tmpl w:val="3B7C4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C9637D"/>
    <w:multiLevelType w:val="hybridMultilevel"/>
    <w:tmpl w:val="7B4C91A0"/>
    <w:lvl w:ilvl="0" w:tplc="2382B21C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86A"/>
    <w:multiLevelType w:val="hybridMultilevel"/>
    <w:tmpl w:val="84E8471C"/>
    <w:lvl w:ilvl="0" w:tplc="3252FA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3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64CBE"/>
    <w:multiLevelType w:val="hybridMultilevel"/>
    <w:tmpl w:val="90323AB0"/>
    <w:lvl w:ilvl="0" w:tplc="4A28677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378B0"/>
    <w:multiLevelType w:val="hybridMultilevel"/>
    <w:tmpl w:val="83DE490C"/>
    <w:lvl w:ilvl="0" w:tplc="1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0764D9F"/>
    <w:multiLevelType w:val="hybridMultilevel"/>
    <w:tmpl w:val="247E3BE8"/>
    <w:lvl w:ilvl="0" w:tplc="3D7C356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B2E1B"/>
    <w:multiLevelType w:val="hybridMultilevel"/>
    <w:tmpl w:val="C296756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798"/>
    <w:multiLevelType w:val="hybridMultilevel"/>
    <w:tmpl w:val="60643E2C"/>
    <w:lvl w:ilvl="0" w:tplc="1C241B1C">
      <w:numFmt w:val="bullet"/>
      <w:lvlText w:val="-"/>
      <w:lvlJc w:val="left"/>
      <w:pPr>
        <w:ind w:left="720" w:hanging="360"/>
      </w:pPr>
      <w:rPr>
        <w:rFonts w:ascii="Arial" w:eastAsia="Yu Gothic Medium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0695"/>
    <w:multiLevelType w:val="hybridMultilevel"/>
    <w:tmpl w:val="C420B4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B4E4E"/>
    <w:multiLevelType w:val="hybridMultilevel"/>
    <w:tmpl w:val="AFF28D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9754EC"/>
    <w:multiLevelType w:val="hybridMultilevel"/>
    <w:tmpl w:val="B29EE906"/>
    <w:lvl w:ilvl="0" w:tplc="BB2CF5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537CB"/>
    <w:multiLevelType w:val="hybridMultilevel"/>
    <w:tmpl w:val="5E7639D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6A12D3"/>
    <w:multiLevelType w:val="hybridMultilevel"/>
    <w:tmpl w:val="DC5A2B0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A7650"/>
    <w:multiLevelType w:val="hybridMultilevel"/>
    <w:tmpl w:val="ADCE5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700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13121">
    <w:abstractNumId w:val="6"/>
  </w:num>
  <w:num w:numId="2" w16cid:durableId="742801947">
    <w:abstractNumId w:val="8"/>
  </w:num>
  <w:num w:numId="3" w16cid:durableId="694382039">
    <w:abstractNumId w:val="12"/>
  </w:num>
  <w:num w:numId="4" w16cid:durableId="48501878">
    <w:abstractNumId w:val="2"/>
  </w:num>
  <w:num w:numId="5" w16cid:durableId="1573351103">
    <w:abstractNumId w:val="1"/>
  </w:num>
  <w:num w:numId="6" w16cid:durableId="546458460">
    <w:abstractNumId w:val="11"/>
  </w:num>
  <w:num w:numId="7" w16cid:durableId="217908868">
    <w:abstractNumId w:val="4"/>
  </w:num>
  <w:num w:numId="8" w16cid:durableId="1346782923">
    <w:abstractNumId w:val="3"/>
  </w:num>
  <w:num w:numId="9" w16cid:durableId="1852185348">
    <w:abstractNumId w:val="7"/>
  </w:num>
  <w:num w:numId="10" w16cid:durableId="1493987798">
    <w:abstractNumId w:val="9"/>
  </w:num>
  <w:num w:numId="11" w16cid:durableId="705521635">
    <w:abstractNumId w:val="5"/>
  </w:num>
  <w:num w:numId="12" w16cid:durableId="1411728545">
    <w:abstractNumId w:val="15"/>
  </w:num>
  <w:num w:numId="13" w16cid:durableId="1659269040">
    <w:abstractNumId w:val="10"/>
  </w:num>
  <w:num w:numId="14" w16cid:durableId="152644514">
    <w:abstractNumId w:val="0"/>
  </w:num>
  <w:num w:numId="15" w16cid:durableId="589511487">
    <w:abstractNumId w:val="14"/>
  </w:num>
  <w:num w:numId="16" w16cid:durableId="390541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68"/>
    <w:rsid w:val="00034276"/>
    <w:rsid w:val="00050C14"/>
    <w:rsid w:val="00086762"/>
    <w:rsid w:val="00097354"/>
    <w:rsid w:val="000A3F97"/>
    <w:rsid w:val="000D6E96"/>
    <w:rsid w:val="000E2F08"/>
    <w:rsid w:val="0012516B"/>
    <w:rsid w:val="00140DD7"/>
    <w:rsid w:val="00143CB2"/>
    <w:rsid w:val="001508FC"/>
    <w:rsid w:val="00155BA0"/>
    <w:rsid w:val="00173DD1"/>
    <w:rsid w:val="00183751"/>
    <w:rsid w:val="00262A68"/>
    <w:rsid w:val="00262BB0"/>
    <w:rsid w:val="00270F5A"/>
    <w:rsid w:val="00273783"/>
    <w:rsid w:val="002862C5"/>
    <w:rsid w:val="002A6566"/>
    <w:rsid w:val="002E2275"/>
    <w:rsid w:val="0030255C"/>
    <w:rsid w:val="0031228C"/>
    <w:rsid w:val="00322BFC"/>
    <w:rsid w:val="00391AFD"/>
    <w:rsid w:val="003A3328"/>
    <w:rsid w:val="003B2BB9"/>
    <w:rsid w:val="003D3C7C"/>
    <w:rsid w:val="003D640F"/>
    <w:rsid w:val="003F11AF"/>
    <w:rsid w:val="003F70FF"/>
    <w:rsid w:val="00443253"/>
    <w:rsid w:val="004448D7"/>
    <w:rsid w:val="00447D62"/>
    <w:rsid w:val="0048169A"/>
    <w:rsid w:val="00495378"/>
    <w:rsid w:val="00495392"/>
    <w:rsid w:val="004A7153"/>
    <w:rsid w:val="005020F4"/>
    <w:rsid w:val="005408CC"/>
    <w:rsid w:val="00543C29"/>
    <w:rsid w:val="00543FCC"/>
    <w:rsid w:val="0054760C"/>
    <w:rsid w:val="00575D7A"/>
    <w:rsid w:val="006071D7"/>
    <w:rsid w:val="006257E8"/>
    <w:rsid w:val="00693613"/>
    <w:rsid w:val="006C195F"/>
    <w:rsid w:val="006D03DB"/>
    <w:rsid w:val="006D2C73"/>
    <w:rsid w:val="006E519C"/>
    <w:rsid w:val="006E5543"/>
    <w:rsid w:val="006F4E04"/>
    <w:rsid w:val="007009C6"/>
    <w:rsid w:val="00706849"/>
    <w:rsid w:val="00723998"/>
    <w:rsid w:val="00743A02"/>
    <w:rsid w:val="00762542"/>
    <w:rsid w:val="00782002"/>
    <w:rsid w:val="007838C3"/>
    <w:rsid w:val="007C4F02"/>
    <w:rsid w:val="007D446E"/>
    <w:rsid w:val="0083365E"/>
    <w:rsid w:val="00872868"/>
    <w:rsid w:val="008C31DE"/>
    <w:rsid w:val="008C3AF5"/>
    <w:rsid w:val="008C6F6A"/>
    <w:rsid w:val="008E1C8C"/>
    <w:rsid w:val="008E2120"/>
    <w:rsid w:val="0099680D"/>
    <w:rsid w:val="009C33F5"/>
    <w:rsid w:val="009E41DA"/>
    <w:rsid w:val="00A022FC"/>
    <w:rsid w:val="00A03410"/>
    <w:rsid w:val="00A07CB6"/>
    <w:rsid w:val="00A30580"/>
    <w:rsid w:val="00A30BD6"/>
    <w:rsid w:val="00A451FF"/>
    <w:rsid w:val="00A525AB"/>
    <w:rsid w:val="00A60D1E"/>
    <w:rsid w:val="00A733EF"/>
    <w:rsid w:val="00A96356"/>
    <w:rsid w:val="00AA14D2"/>
    <w:rsid w:val="00AB42C3"/>
    <w:rsid w:val="00AE5609"/>
    <w:rsid w:val="00AF5E80"/>
    <w:rsid w:val="00B11525"/>
    <w:rsid w:val="00B222C4"/>
    <w:rsid w:val="00B33551"/>
    <w:rsid w:val="00B9213F"/>
    <w:rsid w:val="00B9512E"/>
    <w:rsid w:val="00B966EB"/>
    <w:rsid w:val="00BA6E52"/>
    <w:rsid w:val="00C35446"/>
    <w:rsid w:val="00C73244"/>
    <w:rsid w:val="00C95E67"/>
    <w:rsid w:val="00CB1DE9"/>
    <w:rsid w:val="00CB7962"/>
    <w:rsid w:val="00D22622"/>
    <w:rsid w:val="00D260F0"/>
    <w:rsid w:val="00D300A0"/>
    <w:rsid w:val="00D60E12"/>
    <w:rsid w:val="00D76A21"/>
    <w:rsid w:val="00D86901"/>
    <w:rsid w:val="00DD63CA"/>
    <w:rsid w:val="00E15622"/>
    <w:rsid w:val="00E43028"/>
    <w:rsid w:val="00E44C85"/>
    <w:rsid w:val="00E60DCA"/>
    <w:rsid w:val="00E861F2"/>
    <w:rsid w:val="00E87475"/>
    <w:rsid w:val="00E96D20"/>
    <w:rsid w:val="00F10C6B"/>
    <w:rsid w:val="00F13E4B"/>
    <w:rsid w:val="00F866E0"/>
    <w:rsid w:val="00F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AA4D"/>
  <w15:docId w15:val="{AA8536D1-A40A-4B2E-BC53-44C4C9C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68"/>
    <w:rPr>
      <w:rFonts w:ascii="Calibri" w:eastAsia="Calibri" w:hAnsi="Calibri" w:cs="Times New Roman"/>
      <w:lang w:val="en-ZA"/>
    </w:rPr>
  </w:style>
  <w:style w:type="paragraph" w:styleId="Heading3">
    <w:name w:val="heading 3"/>
    <w:basedOn w:val="Normal"/>
    <w:next w:val="Normal"/>
    <w:link w:val="Heading3Char"/>
    <w:qFormat/>
    <w:rsid w:val="005408C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286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72868"/>
    <w:rPr>
      <w:rFonts w:ascii="Calibri" w:eastAsia="Calibri" w:hAnsi="Calibri" w:cs="Times New Roman"/>
      <w:lang w:val="x-none"/>
    </w:rPr>
  </w:style>
  <w:style w:type="paragraph" w:styleId="ListParagraph">
    <w:name w:val="List Paragraph"/>
    <w:basedOn w:val="Normal"/>
    <w:uiPriority w:val="34"/>
    <w:qFormat/>
    <w:rsid w:val="00872868"/>
    <w:pPr>
      <w:ind w:left="720"/>
      <w:contextualSpacing/>
    </w:pPr>
    <w:rPr>
      <w:rFonts w:eastAsia="Times New Roman"/>
      <w:lang w:eastAsia="en-ZA"/>
    </w:rPr>
  </w:style>
  <w:style w:type="paragraph" w:styleId="BlockText">
    <w:name w:val="Block Text"/>
    <w:basedOn w:val="Normal"/>
    <w:rsid w:val="00AF5E80"/>
    <w:pPr>
      <w:spacing w:before="120" w:after="60" w:line="240" w:lineRule="auto"/>
      <w:ind w:left="72" w:right="72"/>
    </w:pPr>
    <w:rPr>
      <w:rFonts w:ascii="Arial" w:eastAsia="Times New Roman" w:hAnsi="Arial"/>
      <w:sz w:val="18"/>
      <w:szCs w:val="20"/>
      <w:lang w:val="en-US" w:eastAsia="en-GB"/>
    </w:rPr>
  </w:style>
  <w:style w:type="paragraph" w:styleId="Header">
    <w:name w:val="header"/>
    <w:basedOn w:val="Normal"/>
    <w:link w:val="HeaderChar"/>
    <w:unhideWhenUsed/>
    <w:rsid w:val="00AF5E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F5E8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5408CC"/>
    <w:rPr>
      <w:rFonts w:ascii="Arial" w:eastAsia="Times New Roman" w:hAnsi="Arial" w:cs="Times New Roman"/>
      <w:b/>
      <w:sz w:val="2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D62"/>
    <w:rPr>
      <w:rFonts w:ascii="Segoe UI" w:eastAsia="Calibri" w:hAnsi="Segoe UI" w:cs="Segoe UI"/>
      <w:sz w:val="18"/>
      <w:szCs w:val="18"/>
      <w:lang w:val="en-ZA"/>
    </w:rPr>
  </w:style>
  <w:style w:type="table" w:customStyle="1" w:styleId="TableGrid1">
    <w:name w:val="Table Grid1"/>
    <w:basedOn w:val="TableNormal"/>
    <w:next w:val="TableGrid"/>
    <w:uiPriority w:val="39"/>
    <w:rsid w:val="00F866E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8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9A9F-2A39-4F62-9E9E-58A5651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Letsie Mokoena</dc:creator>
  <cp:lastModifiedBy>Palesa Liphoko</cp:lastModifiedBy>
  <cp:revision>7</cp:revision>
  <cp:lastPrinted>2022-08-25T10:37:00Z</cp:lastPrinted>
  <dcterms:created xsi:type="dcterms:W3CDTF">2022-08-18T12:02:00Z</dcterms:created>
  <dcterms:modified xsi:type="dcterms:W3CDTF">2023-01-09T12:06:00Z</dcterms:modified>
</cp:coreProperties>
</file>