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3B9F" w14:textId="77777777" w:rsidR="00ED1A6D" w:rsidRDefault="00ED1A6D"/>
    <w:p w14:paraId="797D44D9" w14:textId="77777777" w:rsidR="00ED1A6D" w:rsidRPr="00ED1A6D" w:rsidRDefault="00ED1A6D" w:rsidP="00ED1A6D">
      <w:pPr>
        <w:jc w:val="both"/>
        <w:rPr>
          <w:rFonts w:ascii="Arial" w:hAnsi="Arial" w:cs="Arial"/>
          <w:b/>
          <w:bCs/>
        </w:rPr>
      </w:pPr>
      <w:r w:rsidRPr="00ED1A6D">
        <w:rPr>
          <w:rFonts w:ascii="Arial" w:hAnsi="Arial" w:cs="Arial"/>
          <w:b/>
          <w:bCs/>
        </w:rPr>
        <w:t xml:space="preserve">BIDDERS LIST </w:t>
      </w:r>
    </w:p>
    <w:p w14:paraId="3DE1670F" w14:textId="5E17FA3B" w:rsidR="00A005CB" w:rsidRDefault="00D86ADC" w:rsidP="00ED1A6D">
      <w:pPr>
        <w:jc w:val="both"/>
        <w:rPr>
          <w:rFonts w:ascii="Arial" w:hAnsi="Arial" w:cs="Arial"/>
          <w:b/>
          <w:lang w:val="en-US"/>
        </w:rPr>
      </w:pPr>
      <w:r>
        <w:rPr>
          <w:rFonts w:ascii="Arial" w:hAnsi="Arial" w:cs="Arial"/>
          <w:b/>
          <w:lang w:val="en-US"/>
        </w:rPr>
        <w:t xml:space="preserve">NT003-2024 - </w:t>
      </w:r>
      <w:r w:rsidRPr="00D86ADC">
        <w:rPr>
          <w:rFonts w:ascii="Arial" w:hAnsi="Arial" w:cs="Arial"/>
          <w:b/>
          <w:lang w:val="en-US"/>
        </w:rPr>
        <w:t>APPOINTMENT OF A SERVICE PROVIDER FOR THE PROVISION OF ADVISORY SERVICES, SUPPORT TO LGI AND GENERAL COORDINATION OF MUNICIPAL SUPPORT INITIATIVES INCLUDING THE IMPLEMENTATION OVERSIGHT ON THE INFRASTRUCTURE DELIVERY MANAGEMENT SYSTEM IN LOCAL GOVERNMENT OVER A PERIOD OF THREE YEARS.</w:t>
      </w:r>
    </w:p>
    <w:p w14:paraId="45927B5E" w14:textId="77777777" w:rsidR="00D86ADC" w:rsidRDefault="00D86ADC" w:rsidP="00ED1A6D">
      <w:pPr>
        <w:jc w:val="both"/>
        <w:rPr>
          <w:rFonts w:ascii="Arial" w:hAnsi="Arial" w:cs="Arial"/>
          <w:b/>
          <w:lang w:val="en-US"/>
        </w:rPr>
      </w:pPr>
    </w:p>
    <w:tbl>
      <w:tblPr>
        <w:tblStyle w:val="TableGrid"/>
        <w:tblW w:w="0" w:type="auto"/>
        <w:tblLook w:val="04A0" w:firstRow="1" w:lastRow="0" w:firstColumn="1" w:lastColumn="0" w:noHBand="0" w:noVBand="1"/>
      </w:tblPr>
      <w:tblGrid>
        <w:gridCol w:w="1271"/>
        <w:gridCol w:w="7745"/>
      </w:tblGrid>
      <w:tr w:rsidR="00D86ADC" w14:paraId="2048AEB0" w14:textId="77777777" w:rsidTr="00D86ADC">
        <w:tc>
          <w:tcPr>
            <w:tcW w:w="1271" w:type="dxa"/>
          </w:tcPr>
          <w:p w14:paraId="3B2F8491" w14:textId="7CAE5FC1" w:rsidR="00D86ADC" w:rsidRDefault="00D86ADC" w:rsidP="00ED1A6D">
            <w:pPr>
              <w:jc w:val="both"/>
              <w:rPr>
                <w:rFonts w:ascii="Arial" w:hAnsi="Arial" w:cs="Arial"/>
                <w:b/>
                <w:lang w:val="en-US"/>
              </w:rPr>
            </w:pPr>
            <w:r>
              <w:rPr>
                <w:rFonts w:ascii="Arial" w:hAnsi="Arial" w:cs="Arial"/>
                <w:b/>
                <w:lang w:val="en-US"/>
              </w:rPr>
              <w:t>BID NO</w:t>
            </w:r>
          </w:p>
        </w:tc>
        <w:tc>
          <w:tcPr>
            <w:tcW w:w="7745" w:type="dxa"/>
          </w:tcPr>
          <w:p w14:paraId="2C6576C8" w14:textId="5BFBA862" w:rsidR="00D86ADC" w:rsidRDefault="00D86ADC" w:rsidP="00ED1A6D">
            <w:pPr>
              <w:jc w:val="both"/>
              <w:rPr>
                <w:rFonts w:ascii="Arial" w:hAnsi="Arial" w:cs="Arial"/>
                <w:b/>
                <w:lang w:val="en-US"/>
              </w:rPr>
            </w:pPr>
            <w:r>
              <w:rPr>
                <w:rFonts w:ascii="Arial" w:hAnsi="Arial" w:cs="Arial"/>
                <w:b/>
                <w:lang w:val="en-US"/>
              </w:rPr>
              <w:t>BIDDER</w:t>
            </w:r>
            <w:r w:rsidR="00AB3C67">
              <w:rPr>
                <w:rFonts w:ascii="Arial" w:hAnsi="Arial" w:cs="Arial"/>
                <w:b/>
                <w:lang w:val="en-US"/>
              </w:rPr>
              <w:t>S</w:t>
            </w:r>
            <w:r>
              <w:rPr>
                <w:rFonts w:ascii="Arial" w:hAnsi="Arial" w:cs="Arial"/>
                <w:b/>
                <w:lang w:val="en-US"/>
              </w:rPr>
              <w:t xml:space="preserve"> NAME</w:t>
            </w:r>
          </w:p>
          <w:p w14:paraId="28FD80F3" w14:textId="5BBF96CA" w:rsidR="00573369" w:rsidRDefault="00573369" w:rsidP="00ED1A6D">
            <w:pPr>
              <w:jc w:val="both"/>
              <w:rPr>
                <w:rFonts w:ascii="Arial" w:hAnsi="Arial" w:cs="Arial"/>
                <w:b/>
                <w:lang w:val="en-US"/>
              </w:rPr>
            </w:pPr>
          </w:p>
        </w:tc>
      </w:tr>
      <w:tr w:rsidR="00573369" w14:paraId="1A337A2F" w14:textId="77777777" w:rsidTr="00D86ADC">
        <w:tc>
          <w:tcPr>
            <w:tcW w:w="1271" w:type="dxa"/>
          </w:tcPr>
          <w:p w14:paraId="557EC372" w14:textId="2B86B08A" w:rsidR="00573369" w:rsidRPr="00AB3C67" w:rsidRDefault="00AB3C67" w:rsidP="00AB3C67">
            <w:pPr>
              <w:spacing w:line="480" w:lineRule="auto"/>
              <w:rPr>
                <w:rFonts w:ascii="Arial" w:hAnsi="Arial" w:cs="Arial"/>
                <w:bCs/>
                <w:lang w:val="en-US"/>
              </w:rPr>
            </w:pPr>
            <w:r>
              <w:rPr>
                <w:rFonts w:ascii="Arial" w:hAnsi="Arial" w:cs="Arial"/>
                <w:bCs/>
                <w:lang w:val="en-US"/>
              </w:rPr>
              <w:t>1</w:t>
            </w:r>
          </w:p>
        </w:tc>
        <w:tc>
          <w:tcPr>
            <w:tcW w:w="7745" w:type="dxa"/>
          </w:tcPr>
          <w:p w14:paraId="7B1CC80C"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DARK HORSE PROJECTS &amp; INVESTMENT GROUP</w:t>
            </w:r>
          </w:p>
        </w:tc>
      </w:tr>
      <w:tr w:rsidR="00573369" w14:paraId="32D75567" w14:textId="77777777" w:rsidTr="00D86ADC">
        <w:tc>
          <w:tcPr>
            <w:tcW w:w="1271" w:type="dxa"/>
          </w:tcPr>
          <w:p w14:paraId="43E3206F" w14:textId="692F6E61" w:rsidR="00573369" w:rsidRPr="00AB3C67" w:rsidRDefault="00AB3C67" w:rsidP="00AB3C67">
            <w:pPr>
              <w:spacing w:line="480" w:lineRule="auto"/>
              <w:jc w:val="both"/>
              <w:rPr>
                <w:rFonts w:ascii="Arial" w:hAnsi="Arial" w:cs="Arial"/>
                <w:bCs/>
                <w:lang w:val="en-US"/>
              </w:rPr>
            </w:pPr>
            <w:r w:rsidRPr="00AB3C67">
              <w:rPr>
                <w:rFonts w:ascii="Arial" w:hAnsi="Arial" w:cs="Arial"/>
                <w:bCs/>
                <w:lang w:val="en-US"/>
              </w:rPr>
              <w:t>2</w:t>
            </w:r>
          </w:p>
        </w:tc>
        <w:tc>
          <w:tcPr>
            <w:tcW w:w="7745" w:type="dxa"/>
          </w:tcPr>
          <w:p w14:paraId="7B602779"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DURAPI CONSULTING (PTY) LTD</w:t>
            </w:r>
          </w:p>
        </w:tc>
      </w:tr>
      <w:tr w:rsidR="00573369" w14:paraId="6685A598" w14:textId="77777777" w:rsidTr="00D86ADC">
        <w:tc>
          <w:tcPr>
            <w:tcW w:w="1271" w:type="dxa"/>
          </w:tcPr>
          <w:p w14:paraId="09F4216B" w14:textId="768465AC" w:rsidR="00573369" w:rsidRPr="00AB3C67" w:rsidRDefault="00AB3C67" w:rsidP="00AB3C67">
            <w:pPr>
              <w:spacing w:line="480" w:lineRule="auto"/>
              <w:rPr>
                <w:rFonts w:ascii="Arial" w:hAnsi="Arial" w:cs="Arial"/>
                <w:bCs/>
                <w:lang w:val="en-US"/>
              </w:rPr>
            </w:pPr>
            <w:r>
              <w:rPr>
                <w:rFonts w:ascii="Arial" w:hAnsi="Arial" w:cs="Arial"/>
                <w:bCs/>
                <w:lang w:val="en-US"/>
              </w:rPr>
              <w:t>3</w:t>
            </w:r>
          </w:p>
        </w:tc>
        <w:tc>
          <w:tcPr>
            <w:tcW w:w="7745" w:type="dxa"/>
          </w:tcPr>
          <w:p w14:paraId="75B2C6E8"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GOMANI CONSULTING &amp; ADVISORY SERVICES (PTY) LTD</w:t>
            </w:r>
          </w:p>
        </w:tc>
      </w:tr>
      <w:tr w:rsidR="00573369" w14:paraId="6D6F1F09" w14:textId="77777777" w:rsidTr="00D86ADC">
        <w:tc>
          <w:tcPr>
            <w:tcW w:w="1271" w:type="dxa"/>
          </w:tcPr>
          <w:p w14:paraId="302EA70A" w14:textId="503D69E6" w:rsidR="00573369" w:rsidRPr="00AB3C67" w:rsidRDefault="00AB3C67" w:rsidP="00AB3C67">
            <w:pPr>
              <w:spacing w:line="480" w:lineRule="auto"/>
              <w:rPr>
                <w:rFonts w:ascii="Arial" w:hAnsi="Arial" w:cs="Arial"/>
                <w:bCs/>
                <w:lang w:val="en-US"/>
              </w:rPr>
            </w:pPr>
            <w:r>
              <w:rPr>
                <w:rFonts w:ascii="Arial" w:hAnsi="Arial" w:cs="Arial"/>
                <w:bCs/>
                <w:lang w:val="en-US"/>
              </w:rPr>
              <w:t>4</w:t>
            </w:r>
          </w:p>
        </w:tc>
        <w:tc>
          <w:tcPr>
            <w:tcW w:w="7745" w:type="dxa"/>
          </w:tcPr>
          <w:p w14:paraId="08CAF6EA"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ID1 CONSULTING PROJECTS</w:t>
            </w:r>
          </w:p>
        </w:tc>
      </w:tr>
      <w:tr w:rsidR="00573369" w14:paraId="70C75EB1" w14:textId="77777777" w:rsidTr="00D86ADC">
        <w:tc>
          <w:tcPr>
            <w:tcW w:w="1271" w:type="dxa"/>
          </w:tcPr>
          <w:p w14:paraId="5B0686AB" w14:textId="5F14847B" w:rsidR="00573369" w:rsidRPr="00AB3C67" w:rsidRDefault="00AB3C67" w:rsidP="00AB3C67">
            <w:pPr>
              <w:spacing w:line="480" w:lineRule="auto"/>
              <w:rPr>
                <w:rFonts w:ascii="Arial" w:hAnsi="Arial" w:cs="Arial"/>
                <w:bCs/>
                <w:lang w:val="en-US"/>
              </w:rPr>
            </w:pPr>
            <w:r w:rsidRPr="00AB3C67">
              <w:rPr>
                <w:rFonts w:ascii="Arial" w:hAnsi="Arial" w:cs="Arial"/>
                <w:bCs/>
                <w:lang w:val="en-US"/>
              </w:rPr>
              <w:t>5</w:t>
            </w:r>
          </w:p>
        </w:tc>
        <w:tc>
          <w:tcPr>
            <w:tcW w:w="7745" w:type="dxa"/>
          </w:tcPr>
          <w:p w14:paraId="24692544"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IKEMELE (PTY) LTD</w:t>
            </w:r>
          </w:p>
        </w:tc>
      </w:tr>
      <w:tr w:rsidR="00573369" w14:paraId="44667F1F" w14:textId="77777777" w:rsidTr="00D86ADC">
        <w:tc>
          <w:tcPr>
            <w:tcW w:w="1271" w:type="dxa"/>
          </w:tcPr>
          <w:p w14:paraId="2B88A6F6" w14:textId="4F381521" w:rsidR="00573369" w:rsidRPr="00AB3C67" w:rsidRDefault="00AB3C67" w:rsidP="00AB3C67">
            <w:pPr>
              <w:spacing w:line="480" w:lineRule="auto"/>
              <w:rPr>
                <w:rFonts w:ascii="Arial" w:hAnsi="Arial" w:cs="Arial"/>
                <w:bCs/>
                <w:lang w:val="en-US"/>
              </w:rPr>
            </w:pPr>
            <w:r>
              <w:rPr>
                <w:rFonts w:ascii="Arial" w:hAnsi="Arial" w:cs="Arial"/>
                <w:bCs/>
                <w:lang w:val="en-US"/>
              </w:rPr>
              <w:t>6</w:t>
            </w:r>
          </w:p>
        </w:tc>
        <w:tc>
          <w:tcPr>
            <w:tcW w:w="7745" w:type="dxa"/>
          </w:tcPr>
          <w:p w14:paraId="3479EC2E"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LUTAK CONSULTING</w:t>
            </w:r>
          </w:p>
        </w:tc>
      </w:tr>
      <w:tr w:rsidR="00573369" w14:paraId="2351E4BA" w14:textId="77777777" w:rsidTr="00D86ADC">
        <w:tc>
          <w:tcPr>
            <w:tcW w:w="1271" w:type="dxa"/>
          </w:tcPr>
          <w:p w14:paraId="2B279D02" w14:textId="358F60B1" w:rsidR="00573369" w:rsidRPr="00AB3C67" w:rsidRDefault="00AB3C67" w:rsidP="00AB3C67">
            <w:pPr>
              <w:spacing w:line="480" w:lineRule="auto"/>
              <w:rPr>
                <w:rFonts w:ascii="Arial" w:hAnsi="Arial" w:cs="Arial"/>
                <w:bCs/>
                <w:lang w:val="en-US"/>
              </w:rPr>
            </w:pPr>
            <w:r>
              <w:rPr>
                <w:rFonts w:ascii="Arial" w:hAnsi="Arial" w:cs="Arial"/>
                <w:bCs/>
                <w:lang w:val="en-US"/>
              </w:rPr>
              <w:t>7</w:t>
            </w:r>
          </w:p>
        </w:tc>
        <w:tc>
          <w:tcPr>
            <w:tcW w:w="7745" w:type="dxa"/>
          </w:tcPr>
          <w:p w14:paraId="29BF19EA"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NEXOR 312 (PTY) LTD</w:t>
            </w:r>
          </w:p>
        </w:tc>
      </w:tr>
      <w:tr w:rsidR="00573369" w14:paraId="789A596F" w14:textId="77777777" w:rsidTr="00D86ADC">
        <w:tc>
          <w:tcPr>
            <w:tcW w:w="1271" w:type="dxa"/>
          </w:tcPr>
          <w:p w14:paraId="17C06853" w14:textId="4DA48325" w:rsidR="00573369" w:rsidRPr="00AB3C67" w:rsidRDefault="00AB3C67" w:rsidP="00AB3C67">
            <w:pPr>
              <w:spacing w:line="480" w:lineRule="auto"/>
              <w:rPr>
                <w:rFonts w:ascii="Arial" w:hAnsi="Arial" w:cs="Arial"/>
                <w:bCs/>
                <w:lang w:val="en-US"/>
              </w:rPr>
            </w:pPr>
            <w:r>
              <w:rPr>
                <w:rFonts w:ascii="Arial" w:hAnsi="Arial" w:cs="Arial"/>
                <w:bCs/>
                <w:lang w:val="en-US"/>
              </w:rPr>
              <w:t>8</w:t>
            </w:r>
          </w:p>
        </w:tc>
        <w:tc>
          <w:tcPr>
            <w:tcW w:w="7745" w:type="dxa"/>
          </w:tcPr>
          <w:p w14:paraId="4B6EE6D5"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SMAY INVESTMENTS (PTY) LTD</w:t>
            </w:r>
          </w:p>
        </w:tc>
      </w:tr>
      <w:tr w:rsidR="00573369" w14:paraId="0B1D7C66" w14:textId="77777777" w:rsidTr="00D86ADC">
        <w:tc>
          <w:tcPr>
            <w:tcW w:w="1271" w:type="dxa"/>
          </w:tcPr>
          <w:p w14:paraId="5465F248" w14:textId="4B896808" w:rsidR="00573369" w:rsidRPr="00AB3C67" w:rsidRDefault="00AB3C67" w:rsidP="00AB3C67">
            <w:pPr>
              <w:spacing w:line="480" w:lineRule="auto"/>
              <w:rPr>
                <w:rFonts w:ascii="Arial" w:hAnsi="Arial" w:cs="Arial"/>
                <w:bCs/>
                <w:lang w:val="en-US"/>
              </w:rPr>
            </w:pPr>
            <w:r>
              <w:rPr>
                <w:rFonts w:ascii="Arial" w:hAnsi="Arial" w:cs="Arial"/>
                <w:bCs/>
                <w:lang w:val="en-US"/>
              </w:rPr>
              <w:t>9</w:t>
            </w:r>
          </w:p>
        </w:tc>
        <w:tc>
          <w:tcPr>
            <w:tcW w:w="7745" w:type="dxa"/>
          </w:tcPr>
          <w:p w14:paraId="660C90D7"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THORIUM PROJECTS (PTY) LTD</w:t>
            </w:r>
          </w:p>
        </w:tc>
      </w:tr>
      <w:tr w:rsidR="00573369" w14:paraId="20F5CCE8" w14:textId="77777777" w:rsidTr="00D86ADC">
        <w:tc>
          <w:tcPr>
            <w:tcW w:w="1271" w:type="dxa"/>
          </w:tcPr>
          <w:p w14:paraId="053A04F0" w14:textId="48D11F72" w:rsidR="00573369" w:rsidRPr="00AB3C67" w:rsidRDefault="00AB3C67" w:rsidP="00AB3C67">
            <w:pPr>
              <w:spacing w:line="480" w:lineRule="auto"/>
              <w:rPr>
                <w:rFonts w:ascii="Arial" w:hAnsi="Arial" w:cs="Arial"/>
                <w:bCs/>
                <w:lang w:val="en-US"/>
              </w:rPr>
            </w:pPr>
            <w:r>
              <w:rPr>
                <w:rFonts w:ascii="Arial" w:hAnsi="Arial" w:cs="Arial"/>
                <w:bCs/>
                <w:lang w:val="en-US"/>
              </w:rPr>
              <w:t>10</w:t>
            </w:r>
          </w:p>
        </w:tc>
        <w:tc>
          <w:tcPr>
            <w:tcW w:w="7745" w:type="dxa"/>
          </w:tcPr>
          <w:p w14:paraId="1DDC214A"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TTE GROUPS (PTY) LTD</w:t>
            </w:r>
          </w:p>
        </w:tc>
      </w:tr>
      <w:tr w:rsidR="00573369" w14:paraId="139D2F68" w14:textId="77777777" w:rsidTr="00D86ADC">
        <w:tc>
          <w:tcPr>
            <w:tcW w:w="1271" w:type="dxa"/>
          </w:tcPr>
          <w:p w14:paraId="10C29C87" w14:textId="79F3D4F9" w:rsidR="00573369" w:rsidRPr="00AB3C67" w:rsidRDefault="00AB3C67" w:rsidP="00AB3C67">
            <w:pPr>
              <w:spacing w:line="480" w:lineRule="auto"/>
              <w:rPr>
                <w:rFonts w:ascii="Arial" w:hAnsi="Arial" w:cs="Arial"/>
                <w:bCs/>
                <w:lang w:val="en-US"/>
              </w:rPr>
            </w:pPr>
            <w:r>
              <w:rPr>
                <w:rFonts w:ascii="Arial" w:hAnsi="Arial" w:cs="Arial"/>
                <w:bCs/>
                <w:lang w:val="en-US"/>
              </w:rPr>
              <w:t>11</w:t>
            </w:r>
          </w:p>
        </w:tc>
        <w:tc>
          <w:tcPr>
            <w:tcW w:w="7745" w:type="dxa"/>
          </w:tcPr>
          <w:p w14:paraId="14FB9C05"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VMQ PROPERTY SERVICES (PTY) LTD</w:t>
            </w:r>
          </w:p>
        </w:tc>
      </w:tr>
      <w:tr w:rsidR="00573369" w14:paraId="0C99CBAA" w14:textId="77777777" w:rsidTr="00D86ADC">
        <w:tc>
          <w:tcPr>
            <w:tcW w:w="1271" w:type="dxa"/>
          </w:tcPr>
          <w:p w14:paraId="1030561E" w14:textId="1568B0BA" w:rsidR="00573369" w:rsidRPr="00AB3C67" w:rsidRDefault="00AB3C67" w:rsidP="00AB3C67">
            <w:pPr>
              <w:spacing w:line="480" w:lineRule="auto"/>
              <w:rPr>
                <w:rFonts w:ascii="Arial" w:hAnsi="Arial" w:cs="Arial"/>
                <w:bCs/>
                <w:lang w:val="en-US"/>
              </w:rPr>
            </w:pPr>
            <w:r>
              <w:rPr>
                <w:rFonts w:ascii="Arial" w:hAnsi="Arial" w:cs="Arial"/>
                <w:bCs/>
                <w:lang w:val="en-US"/>
              </w:rPr>
              <w:t>12</w:t>
            </w:r>
          </w:p>
        </w:tc>
        <w:tc>
          <w:tcPr>
            <w:tcW w:w="7745" w:type="dxa"/>
          </w:tcPr>
          <w:p w14:paraId="29646C41"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VNMM HOLDINGS (PTY) LTD</w:t>
            </w:r>
          </w:p>
        </w:tc>
      </w:tr>
      <w:tr w:rsidR="00573369" w14:paraId="23FC67C8" w14:textId="77777777" w:rsidTr="00D86ADC">
        <w:tc>
          <w:tcPr>
            <w:tcW w:w="1271" w:type="dxa"/>
          </w:tcPr>
          <w:p w14:paraId="0326E844" w14:textId="485204E9" w:rsidR="00573369" w:rsidRPr="00AB3C67" w:rsidRDefault="00AB3C67" w:rsidP="00AB3C67">
            <w:pPr>
              <w:spacing w:line="480" w:lineRule="auto"/>
              <w:rPr>
                <w:rFonts w:ascii="Arial" w:hAnsi="Arial" w:cs="Arial"/>
                <w:bCs/>
                <w:lang w:val="en-US"/>
              </w:rPr>
            </w:pPr>
            <w:r>
              <w:rPr>
                <w:rFonts w:ascii="Arial" w:hAnsi="Arial" w:cs="Arial"/>
                <w:bCs/>
                <w:lang w:val="en-US"/>
              </w:rPr>
              <w:t>13</w:t>
            </w:r>
          </w:p>
        </w:tc>
        <w:tc>
          <w:tcPr>
            <w:tcW w:w="7745" w:type="dxa"/>
          </w:tcPr>
          <w:p w14:paraId="06A93254" w14:textId="77777777" w:rsidR="00573369" w:rsidRPr="00AB3C67" w:rsidRDefault="00573369" w:rsidP="0012062B">
            <w:pPr>
              <w:spacing w:line="480" w:lineRule="auto"/>
              <w:jc w:val="both"/>
              <w:rPr>
                <w:rFonts w:ascii="Arial" w:hAnsi="Arial" w:cs="Arial"/>
                <w:bCs/>
                <w:lang w:val="en-US"/>
              </w:rPr>
            </w:pPr>
            <w:r w:rsidRPr="00AB3C67">
              <w:rPr>
                <w:rFonts w:ascii="Arial" w:hAnsi="Arial" w:cs="Arial"/>
                <w:bCs/>
                <w:lang w:val="en-US"/>
              </w:rPr>
              <w:t>ZWELISHA GROUP (PTY) LTD</w:t>
            </w:r>
          </w:p>
        </w:tc>
      </w:tr>
    </w:tbl>
    <w:p w14:paraId="7DB17CCB" w14:textId="77777777" w:rsidR="00D86ADC" w:rsidRDefault="00D86ADC" w:rsidP="00ED1A6D">
      <w:pPr>
        <w:jc w:val="both"/>
        <w:rPr>
          <w:rFonts w:ascii="Arial" w:hAnsi="Arial" w:cs="Arial"/>
          <w:b/>
          <w:lang w:val="en-US"/>
        </w:rPr>
      </w:pPr>
    </w:p>
    <w:p w14:paraId="0488857B" w14:textId="77777777" w:rsidR="00A005CB" w:rsidRDefault="00A005CB" w:rsidP="00ED1A6D">
      <w:pPr>
        <w:jc w:val="both"/>
        <w:rPr>
          <w:rFonts w:ascii="Arial" w:hAnsi="Arial" w:cs="Arial"/>
          <w:b/>
          <w:lang w:val="en-US"/>
        </w:rPr>
      </w:pPr>
    </w:p>
    <w:p w14:paraId="6A6DF9EF" w14:textId="77777777" w:rsidR="00A005CB" w:rsidRDefault="00A005CB" w:rsidP="00ED1A6D">
      <w:pPr>
        <w:jc w:val="both"/>
        <w:rPr>
          <w:rFonts w:ascii="Arial" w:hAnsi="Arial" w:cs="Arial"/>
          <w:b/>
          <w:lang w:val="en-US"/>
        </w:rPr>
      </w:pPr>
    </w:p>
    <w:p w14:paraId="78DB9511" w14:textId="77777777" w:rsidR="00A005CB" w:rsidRDefault="00A005CB" w:rsidP="00ED1A6D">
      <w:pPr>
        <w:jc w:val="both"/>
        <w:rPr>
          <w:rFonts w:ascii="Arial" w:hAnsi="Arial" w:cs="Arial"/>
          <w:b/>
          <w:lang w:val="en-US"/>
        </w:rPr>
      </w:pPr>
    </w:p>
    <w:p w14:paraId="7C3EFA1A" w14:textId="77777777" w:rsidR="00B82651" w:rsidRDefault="00B82651" w:rsidP="00ED1A6D">
      <w:pPr>
        <w:jc w:val="both"/>
        <w:rPr>
          <w:rFonts w:ascii="Arial" w:hAnsi="Arial" w:cs="Arial"/>
          <w:b/>
          <w:lang w:val="en-US"/>
        </w:rPr>
      </w:pPr>
    </w:p>
    <w:p w14:paraId="5A19DA07" w14:textId="77777777" w:rsidR="00B82651" w:rsidRPr="00ED1A6D" w:rsidRDefault="00B82651" w:rsidP="00ED1A6D">
      <w:pPr>
        <w:jc w:val="both"/>
        <w:rPr>
          <w:rFonts w:ascii="Arial" w:hAnsi="Arial" w:cs="Arial"/>
          <w:b/>
          <w:lang w:val="en-US"/>
        </w:rPr>
      </w:pPr>
    </w:p>
    <w:p w14:paraId="4222466A" w14:textId="77777777" w:rsidR="00ED1A6D" w:rsidRDefault="00ED1A6D"/>
    <w:p w14:paraId="6D6CC73B" w14:textId="77777777" w:rsidR="00ED1A6D" w:rsidRDefault="00ED1A6D"/>
    <w:sectPr w:rsidR="00ED1A6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06CB" w14:textId="77777777" w:rsidR="00ED1A6D" w:rsidRDefault="00ED1A6D" w:rsidP="00ED1A6D">
      <w:pPr>
        <w:spacing w:after="0" w:line="240" w:lineRule="auto"/>
      </w:pPr>
      <w:r>
        <w:separator/>
      </w:r>
    </w:p>
  </w:endnote>
  <w:endnote w:type="continuationSeparator" w:id="0">
    <w:p w14:paraId="127B2715" w14:textId="77777777" w:rsidR="00ED1A6D" w:rsidRDefault="00ED1A6D" w:rsidP="00ED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CE23" w14:textId="77777777" w:rsidR="00ED1A6D" w:rsidRDefault="00ED1A6D" w:rsidP="00ED1A6D">
      <w:pPr>
        <w:spacing w:after="0" w:line="240" w:lineRule="auto"/>
      </w:pPr>
      <w:r>
        <w:separator/>
      </w:r>
    </w:p>
  </w:footnote>
  <w:footnote w:type="continuationSeparator" w:id="0">
    <w:p w14:paraId="0BFB586A" w14:textId="77777777" w:rsidR="00ED1A6D" w:rsidRDefault="00ED1A6D" w:rsidP="00ED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0F05" w14:textId="087FA3BE" w:rsidR="00ED1A6D" w:rsidRDefault="00ED1A6D">
    <w:pPr>
      <w:pStyle w:val="Header"/>
    </w:pPr>
    <w:r w:rsidRPr="00B14D50">
      <w:rPr>
        <w:rFonts w:ascii="Arial" w:hAnsi="Arial" w:cs="Arial"/>
        <w:noProof/>
        <w:color w:val="0D0D0D" w:themeColor="text1" w:themeTint="F2"/>
        <w:lang w:eastAsia="en-ZA"/>
      </w:rPr>
      <w:drawing>
        <wp:anchor distT="0" distB="0" distL="114300" distR="114300" simplePos="0" relativeHeight="251659264" behindDoc="0" locked="0" layoutInCell="1" allowOverlap="1" wp14:anchorId="23B967FF" wp14:editId="2A26F44C">
          <wp:simplePos x="0" y="0"/>
          <wp:positionH relativeFrom="column">
            <wp:posOffset>-400050</wp:posOffset>
          </wp:positionH>
          <wp:positionV relativeFrom="paragraph">
            <wp:posOffset>-325755</wp:posOffset>
          </wp:positionV>
          <wp:extent cx="2114550" cy="751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114550" cy="75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60E02"/>
    <w:multiLevelType w:val="hybridMultilevel"/>
    <w:tmpl w:val="1480C87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47694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A9"/>
    <w:rsid w:val="000D03C7"/>
    <w:rsid w:val="0012062B"/>
    <w:rsid w:val="002E077C"/>
    <w:rsid w:val="00573369"/>
    <w:rsid w:val="006F4B7C"/>
    <w:rsid w:val="007D328C"/>
    <w:rsid w:val="007E7E4D"/>
    <w:rsid w:val="008748A9"/>
    <w:rsid w:val="0093443E"/>
    <w:rsid w:val="00A005CB"/>
    <w:rsid w:val="00AB3C67"/>
    <w:rsid w:val="00B82651"/>
    <w:rsid w:val="00D86ADC"/>
    <w:rsid w:val="00DE68AA"/>
    <w:rsid w:val="00ED1A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C0FF"/>
  <w15:chartTrackingRefBased/>
  <w15:docId w15:val="{F05B6078-7E6C-433A-8174-279C62A1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6D"/>
  </w:style>
  <w:style w:type="paragraph" w:styleId="Footer">
    <w:name w:val="footer"/>
    <w:basedOn w:val="Normal"/>
    <w:link w:val="FooterChar"/>
    <w:uiPriority w:val="99"/>
    <w:unhideWhenUsed/>
    <w:rsid w:val="00ED1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6D"/>
  </w:style>
  <w:style w:type="paragraph" w:styleId="ListParagraph">
    <w:name w:val="List Paragraph"/>
    <w:basedOn w:val="Normal"/>
    <w:uiPriority w:val="34"/>
    <w:qFormat/>
    <w:rsid w:val="00D86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1BBC-8D68-4984-9CBD-C0C2C5D6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Maponya</dc:creator>
  <cp:keywords/>
  <dc:description/>
  <cp:lastModifiedBy>Lebogang Maponya</cp:lastModifiedBy>
  <cp:revision>10</cp:revision>
  <dcterms:created xsi:type="dcterms:W3CDTF">2023-12-05T13:02:00Z</dcterms:created>
  <dcterms:modified xsi:type="dcterms:W3CDTF">2024-04-17T07:54:00Z</dcterms:modified>
</cp:coreProperties>
</file>